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B5" w:rsidRDefault="004074B5" w:rsidP="004074B5">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Mathew Dean [</w:t>
      </w:r>
      <w:hyperlink r:id="rId8" w:history="1">
        <w:r>
          <w:rPr>
            <w:rStyle w:val="Hyperlink"/>
            <w:rFonts w:ascii="Tahoma" w:hAnsi="Tahoma" w:cs="Tahoma"/>
            <w:sz w:val="20"/>
            <w:szCs w:val="20"/>
            <w:lang w:val="en-US"/>
          </w:rPr>
          <w:t>mailto:Mathew.Dean@kennedyslaw.com</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Thursday, 4 April 2019 9:35 AM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Chambers - Gostencnik DP</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Persephone Forster; Naomi Cooper</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AM2018/12 - Aide memoir [KEN-Legal_APAC.FID177744]</w:t>
      </w:r>
    </w:p>
    <w:p w:rsidR="004074B5" w:rsidRDefault="004074B5" w:rsidP="004074B5"/>
    <w:p w:rsidR="004074B5" w:rsidRDefault="004074B5" w:rsidP="004074B5">
      <w:pPr>
        <w:rPr>
          <w:rFonts w:ascii="Trebuchet MS" w:hAnsi="Trebuchet MS"/>
          <w:sz w:val="20"/>
          <w:szCs w:val="20"/>
        </w:rPr>
      </w:pPr>
      <w:r>
        <w:rPr>
          <w:rFonts w:ascii="Trebuchet MS" w:hAnsi="Trebuchet MS"/>
          <w:sz w:val="20"/>
          <w:szCs w:val="20"/>
        </w:rPr>
        <w:t>Dear Associate</w:t>
      </w:r>
    </w:p>
    <w:p w:rsidR="004074B5" w:rsidRDefault="004074B5" w:rsidP="004074B5">
      <w:pPr>
        <w:rPr>
          <w:rFonts w:ascii="Trebuchet MS" w:hAnsi="Trebuchet MS"/>
          <w:b/>
          <w:bCs/>
          <w:sz w:val="20"/>
          <w:szCs w:val="20"/>
        </w:rPr>
      </w:pPr>
    </w:p>
    <w:p w:rsidR="004074B5" w:rsidRDefault="004074B5" w:rsidP="004074B5">
      <w:pPr>
        <w:rPr>
          <w:rFonts w:ascii="Trebuchet MS" w:hAnsi="Trebuchet MS"/>
          <w:sz w:val="20"/>
          <w:szCs w:val="20"/>
        </w:rPr>
      </w:pPr>
      <w:r>
        <w:rPr>
          <w:rFonts w:ascii="Trebuchet MS" w:hAnsi="Trebuchet MS"/>
          <w:sz w:val="20"/>
          <w:szCs w:val="20"/>
        </w:rPr>
        <w:t>We refer to the Directions conference before Deputy President Gostencnik at 10.30am in AM2018/12 (to occur via videoconference) and confirm that we act for the National Aboriginal and Torres Strait Islander Health Worker Association.</w:t>
      </w:r>
    </w:p>
    <w:p w:rsidR="004074B5" w:rsidRDefault="004074B5" w:rsidP="004074B5">
      <w:pPr>
        <w:rPr>
          <w:rFonts w:ascii="Trebuchet MS" w:hAnsi="Trebuchet MS"/>
          <w:sz w:val="20"/>
          <w:szCs w:val="20"/>
        </w:rPr>
      </w:pPr>
    </w:p>
    <w:p w:rsidR="004074B5" w:rsidRDefault="004074B5" w:rsidP="004074B5">
      <w:pPr>
        <w:rPr>
          <w:rFonts w:ascii="Trebuchet MS" w:hAnsi="Trebuchet MS"/>
          <w:sz w:val="20"/>
          <w:szCs w:val="20"/>
        </w:rPr>
      </w:pPr>
      <w:r>
        <w:rPr>
          <w:rFonts w:ascii="Trebuchet MS" w:hAnsi="Trebuchet MS"/>
          <w:sz w:val="20"/>
          <w:szCs w:val="20"/>
        </w:rPr>
        <w:t xml:space="preserve">In advance of the conference and for the purpose of assisting the conference, please find </w:t>
      </w:r>
      <w:r>
        <w:rPr>
          <w:rFonts w:ascii="Trebuchet MS" w:hAnsi="Trebuchet MS"/>
          <w:b/>
          <w:bCs/>
          <w:sz w:val="20"/>
          <w:szCs w:val="20"/>
        </w:rPr>
        <w:t xml:space="preserve">attached </w:t>
      </w:r>
      <w:r>
        <w:rPr>
          <w:rFonts w:ascii="Trebuchet MS" w:hAnsi="Trebuchet MS"/>
          <w:sz w:val="20"/>
          <w:szCs w:val="20"/>
        </w:rPr>
        <w:t xml:space="preserve">an aide memoir (in MS Word format). We propose to provide each of the parties in attendance at the conference with a copy of the aide memoir. </w:t>
      </w:r>
    </w:p>
    <w:p w:rsidR="004074B5" w:rsidRDefault="004074B5" w:rsidP="004074B5">
      <w:pPr>
        <w:rPr>
          <w:rFonts w:ascii="Trebuchet MS" w:hAnsi="Trebuchet MS"/>
          <w:sz w:val="20"/>
          <w:szCs w:val="20"/>
        </w:rPr>
      </w:pPr>
    </w:p>
    <w:p w:rsidR="004074B5" w:rsidRDefault="004074B5" w:rsidP="004074B5">
      <w:pPr>
        <w:rPr>
          <w:rFonts w:ascii="Trebuchet MS" w:hAnsi="Trebuchet MS"/>
          <w:sz w:val="20"/>
          <w:szCs w:val="20"/>
        </w:rPr>
      </w:pPr>
      <w:r>
        <w:rPr>
          <w:rFonts w:ascii="Trebuchet MS" w:hAnsi="Trebuchet MS"/>
          <w:sz w:val="20"/>
          <w:szCs w:val="20"/>
        </w:rPr>
        <w:t>Yours sincerely</w:t>
      </w:r>
    </w:p>
    <w:p w:rsidR="004074B5" w:rsidRDefault="004074B5" w:rsidP="004074B5">
      <w:pPr>
        <w:rPr>
          <w:rFonts w:ascii="Trebuchet MS" w:hAnsi="Trebuchet MS"/>
          <w:sz w:val="20"/>
          <w:szCs w:val="20"/>
        </w:rPr>
      </w:pPr>
    </w:p>
    <w:tbl>
      <w:tblPr>
        <w:tblW w:w="0" w:type="auto"/>
        <w:tblCellSpacing w:w="0" w:type="dxa"/>
        <w:tblCellMar>
          <w:left w:w="0" w:type="dxa"/>
          <w:right w:w="0" w:type="dxa"/>
        </w:tblCellMar>
        <w:tblLook w:val="04A0" w:firstRow="1" w:lastRow="0" w:firstColumn="1" w:lastColumn="0" w:noHBand="0" w:noVBand="1"/>
      </w:tblPr>
      <w:tblGrid>
        <w:gridCol w:w="1686"/>
      </w:tblGrid>
      <w:tr w:rsidR="004074B5" w:rsidTr="004074B5">
        <w:trPr>
          <w:trHeight w:val="15"/>
          <w:tblCellSpacing w:w="0" w:type="dxa"/>
        </w:trPr>
        <w:tc>
          <w:tcPr>
            <w:tcW w:w="0" w:type="auto"/>
            <w:noWrap/>
            <w:vAlign w:val="center"/>
            <w:hideMark/>
          </w:tcPr>
          <w:p w:rsidR="004074B5" w:rsidRDefault="004074B5">
            <w:pPr>
              <w:rPr>
                <w:rFonts w:ascii="Times New Roman" w:eastAsia="Times New Roman" w:hAnsi="Times New Roman"/>
                <w:sz w:val="20"/>
                <w:szCs w:val="20"/>
              </w:rPr>
            </w:pPr>
          </w:p>
        </w:tc>
      </w:tr>
      <w:tr w:rsidR="004074B5" w:rsidTr="004074B5">
        <w:trPr>
          <w:trHeight w:val="225"/>
          <w:tblCellSpacing w:w="0" w:type="dxa"/>
        </w:trPr>
        <w:tc>
          <w:tcPr>
            <w:tcW w:w="0" w:type="auto"/>
            <w:noWrap/>
            <w:hideMark/>
          </w:tcPr>
          <w:p w:rsidR="004074B5" w:rsidRDefault="004074B5">
            <w:pPr>
              <w:rPr>
                <w:rFonts w:ascii="Trebuchet MS" w:hAnsi="Trebuchet MS"/>
                <w:sz w:val="20"/>
                <w:szCs w:val="20"/>
              </w:rPr>
            </w:pPr>
            <w:r>
              <w:rPr>
                <w:rFonts w:ascii="Trebuchet MS" w:hAnsi="Trebuchet MS"/>
                <w:sz w:val="20"/>
                <w:szCs w:val="20"/>
              </w:rPr>
              <w:t xml:space="preserve">Mathew Dean </w:t>
            </w:r>
          </w:p>
        </w:tc>
      </w:tr>
      <w:tr w:rsidR="004074B5" w:rsidTr="004074B5">
        <w:trPr>
          <w:trHeight w:val="225"/>
          <w:tblCellSpacing w:w="0" w:type="dxa"/>
        </w:trPr>
        <w:tc>
          <w:tcPr>
            <w:tcW w:w="0" w:type="auto"/>
            <w:noWrap/>
            <w:hideMark/>
          </w:tcPr>
          <w:p w:rsidR="004074B5" w:rsidRDefault="004074B5">
            <w:pPr>
              <w:rPr>
                <w:rFonts w:ascii="Trebuchet MS" w:hAnsi="Trebuchet MS"/>
                <w:sz w:val="20"/>
                <w:szCs w:val="20"/>
              </w:rPr>
            </w:pPr>
            <w:r>
              <w:rPr>
                <w:rFonts w:ascii="Trebuchet MS" w:hAnsi="Trebuchet MS"/>
                <w:sz w:val="20"/>
                <w:szCs w:val="20"/>
              </w:rPr>
              <w:t xml:space="preserve">Associate </w:t>
            </w:r>
          </w:p>
        </w:tc>
      </w:tr>
      <w:tr w:rsidR="004074B5" w:rsidTr="004074B5">
        <w:trPr>
          <w:trHeight w:val="405"/>
          <w:tblCellSpacing w:w="0" w:type="dxa"/>
        </w:trPr>
        <w:tc>
          <w:tcPr>
            <w:tcW w:w="0" w:type="auto"/>
            <w:noWrap/>
            <w:hideMark/>
          </w:tcPr>
          <w:p w:rsidR="004074B5" w:rsidRDefault="004074B5">
            <w:pPr>
              <w:rPr>
                <w:rFonts w:ascii="Trebuchet MS" w:hAnsi="Trebuchet MS"/>
                <w:sz w:val="20"/>
                <w:szCs w:val="20"/>
              </w:rPr>
            </w:pPr>
            <w:r>
              <w:rPr>
                <w:rFonts w:ascii="Trebuchet MS" w:hAnsi="Trebuchet MS"/>
                <w:sz w:val="20"/>
                <w:szCs w:val="20"/>
              </w:rPr>
              <w:t xml:space="preserve">for Kennedys </w:t>
            </w:r>
          </w:p>
        </w:tc>
      </w:tr>
      <w:tr w:rsidR="004074B5" w:rsidTr="004074B5">
        <w:trPr>
          <w:trHeight w:val="315"/>
          <w:tblCellSpacing w:w="0" w:type="dxa"/>
        </w:trPr>
        <w:tc>
          <w:tcPr>
            <w:tcW w:w="0" w:type="auto"/>
            <w:noWrap/>
            <w:hideMark/>
          </w:tcPr>
          <w:p w:rsidR="004074B5" w:rsidRDefault="004074B5">
            <w:pPr>
              <w:rPr>
                <w:rFonts w:ascii="Trebuchet MS" w:hAnsi="Trebuchet MS"/>
                <w:b/>
                <w:bCs/>
                <w:sz w:val="28"/>
                <w:szCs w:val="28"/>
              </w:rPr>
            </w:pPr>
            <w:r>
              <w:rPr>
                <w:rFonts w:ascii="Trebuchet MS" w:hAnsi="Trebuchet MS"/>
                <w:b/>
                <w:bCs/>
                <w:sz w:val="28"/>
                <w:szCs w:val="28"/>
              </w:rPr>
              <w:t>Kennedys</w:t>
            </w:r>
          </w:p>
        </w:tc>
      </w:tr>
      <w:tr w:rsidR="004074B5" w:rsidTr="004074B5">
        <w:trPr>
          <w:trHeight w:val="180"/>
          <w:tblCellSpacing w:w="0" w:type="dxa"/>
        </w:trPr>
        <w:tc>
          <w:tcPr>
            <w:tcW w:w="0" w:type="auto"/>
            <w:noWrap/>
            <w:hideMark/>
          </w:tcPr>
          <w:p w:rsidR="004074B5" w:rsidRDefault="004074B5">
            <w:pPr>
              <w:rPr>
                <w:rFonts w:ascii="Trebuchet MS" w:hAnsi="Trebuchet MS"/>
                <w:sz w:val="16"/>
                <w:szCs w:val="16"/>
              </w:rPr>
            </w:pPr>
            <w:r>
              <w:rPr>
                <w:rFonts w:ascii="Trebuchet MS" w:hAnsi="Trebuchet MS"/>
                <w:sz w:val="16"/>
                <w:szCs w:val="16"/>
              </w:rPr>
              <w:t xml:space="preserve">T +61 2 8215 5944 </w:t>
            </w:r>
          </w:p>
        </w:tc>
      </w:tr>
      <w:tr w:rsidR="004074B5" w:rsidTr="004074B5">
        <w:trPr>
          <w:trHeight w:val="180"/>
          <w:tblCellSpacing w:w="0" w:type="dxa"/>
        </w:trPr>
        <w:tc>
          <w:tcPr>
            <w:tcW w:w="0" w:type="auto"/>
            <w:noWrap/>
            <w:hideMark/>
          </w:tcPr>
          <w:p w:rsidR="004074B5" w:rsidRDefault="004074B5">
            <w:pPr>
              <w:rPr>
                <w:rFonts w:ascii="Trebuchet MS" w:hAnsi="Trebuchet MS"/>
                <w:sz w:val="16"/>
                <w:szCs w:val="16"/>
              </w:rPr>
            </w:pPr>
            <w:r>
              <w:rPr>
                <w:rFonts w:ascii="Trebuchet MS" w:hAnsi="Trebuchet MS"/>
                <w:sz w:val="16"/>
                <w:szCs w:val="16"/>
              </w:rPr>
              <w:t xml:space="preserve">F +61 2 8215 5988 </w:t>
            </w:r>
          </w:p>
        </w:tc>
        <w:bookmarkStart w:id="0" w:name="_GoBack"/>
        <w:bookmarkEnd w:id="0"/>
      </w:tr>
      <w:tr w:rsidR="004074B5" w:rsidTr="004074B5">
        <w:trPr>
          <w:trHeight w:val="360"/>
          <w:tblCellSpacing w:w="0" w:type="dxa"/>
        </w:trPr>
        <w:tc>
          <w:tcPr>
            <w:tcW w:w="0" w:type="auto"/>
            <w:noWrap/>
            <w:hideMark/>
          </w:tcPr>
          <w:p w:rsidR="004074B5" w:rsidRDefault="00B771B4">
            <w:pPr>
              <w:rPr>
                <w:rFonts w:ascii="Trebuchet MS" w:hAnsi="Trebuchet MS"/>
                <w:sz w:val="16"/>
                <w:szCs w:val="16"/>
              </w:rPr>
            </w:pPr>
            <w:hyperlink r:id="rId9" w:history="1">
              <w:r w:rsidR="004074B5">
                <w:rPr>
                  <w:rStyle w:val="Hyperlink"/>
                  <w:rFonts w:ascii="Trebuchet MS" w:hAnsi="Trebuchet MS"/>
                  <w:sz w:val="16"/>
                  <w:szCs w:val="16"/>
                </w:rPr>
                <w:t>www.kennedyslaw.com</w:t>
              </w:r>
            </w:hyperlink>
          </w:p>
        </w:tc>
      </w:tr>
    </w:tbl>
    <w:p w:rsidR="004074B5" w:rsidRDefault="004074B5"/>
    <w:p w:rsidR="004074B5" w:rsidRDefault="004074B5">
      <w:pPr>
        <w:spacing w:after="200" w:line="276" w:lineRule="auto"/>
      </w:pPr>
      <w:r>
        <w:br w:type="page"/>
      </w:r>
    </w:p>
    <w:p w:rsidR="004074B5" w:rsidRDefault="004074B5">
      <w:pPr>
        <w:sectPr w:rsidR="004074B5">
          <w:headerReference w:type="default" r:id="rId10"/>
          <w:pgSz w:w="11906" w:h="16838"/>
          <w:pgMar w:top="1440" w:right="1440" w:bottom="1440" w:left="1440" w:header="708" w:footer="708" w:gutter="0"/>
          <w:cols w:space="708"/>
          <w:docGrid w:linePitch="360"/>
        </w:sectPr>
      </w:pPr>
    </w:p>
    <w:tbl>
      <w:tblPr>
        <w:tblStyle w:val="TableGrid"/>
        <w:tblW w:w="14176" w:type="dxa"/>
        <w:tblInd w:w="421" w:type="dxa"/>
        <w:tblLook w:val="04A0" w:firstRow="1" w:lastRow="0" w:firstColumn="1" w:lastColumn="0" w:noHBand="0" w:noVBand="1"/>
      </w:tblPr>
      <w:tblGrid>
        <w:gridCol w:w="475"/>
        <w:gridCol w:w="5479"/>
        <w:gridCol w:w="1418"/>
        <w:gridCol w:w="6804"/>
      </w:tblGrid>
      <w:tr w:rsidR="004074B5" w:rsidRPr="004074B5" w:rsidTr="00E67B61">
        <w:trPr>
          <w:tblHeader/>
        </w:trPr>
        <w:tc>
          <w:tcPr>
            <w:tcW w:w="475" w:type="dxa"/>
            <w:shd w:val="clear" w:color="auto" w:fill="D9D9D9" w:themeFill="background1" w:themeFillShade="D9"/>
          </w:tcPr>
          <w:p w:rsidR="004074B5" w:rsidRPr="004074B5" w:rsidRDefault="004074B5" w:rsidP="004074B5">
            <w:pPr>
              <w:rPr>
                <w:lang w:val="en-GB"/>
              </w:rPr>
            </w:pPr>
          </w:p>
        </w:tc>
        <w:tc>
          <w:tcPr>
            <w:tcW w:w="5479" w:type="dxa"/>
            <w:shd w:val="clear" w:color="auto" w:fill="D9D9D9" w:themeFill="background1" w:themeFillShade="D9"/>
          </w:tcPr>
          <w:p w:rsidR="004074B5" w:rsidRPr="004074B5" w:rsidRDefault="004074B5" w:rsidP="004074B5">
            <w:pPr>
              <w:rPr>
                <w:b/>
                <w:bCs/>
                <w:lang w:val="en-GB"/>
              </w:rPr>
            </w:pPr>
            <w:r w:rsidRPr="004074B5">
              <w:rPr>
                <w:b/>
                <w:bCs/>
                <w:lang w:val="en-GB"/>
              </w:rPr>
              <w:t>Substantive claim</w:t>
            </w:r>
          </w:p>
        </w:tc>
        <w:tc>
          <w:tcPr>
            <w:tcW w:w="1418" w:type="dxa"/>
            <w:shd w:val="clear" w:color="auto" w:fill="D9D9D9" w:themeFill="background1" w:themeFillShade="D9"/>
          </w:tcPr>
          <w:p w:rsidR="004074B5" w:rsidRPr="004074B5" w:rsidRDefault="004074B5" w:rsidP="004074B5">
            <w:pPr>
              <w:rPr>
                <w:b/>
                <w:bCs/>
                <w:lang w:val="en-GB"/>
              </w:rPr>
            </w:pPr>
            <w:r w:rsidRPr="004074B5">
              <w:rPr>
                <w:b/>
                <w:bCs/>
                <w:lang w:val="en-GB"/>
              </w:rPr>
              <w:t>Included in the Exposure Draft</w:t>
            </w:r>
          </w:p>
        </w:tc>
        <w:tc>
          <w:tcPr>
            <w:tcW w:w="6804" w:type="dxa"/>
            <w:shd w:val="clear" w:color="auto" w:fill="D9D9D9" w:themeFill="background1" w:themeFillShade="D9"/>
          </w:tcPr>
          <w:p w:rsidR="004074B5" w:rsidRPr="004074B5" w:rsidRDefault="004074B5" w:rsidP="004074B5">
            <w:pPr>
              <w:rPr>
                <w:b/>
                <w:bCs/>
                <w:lang w:val="en-GB"/>
              </w:rPr>
            </w:pPr>
            <w:r w:rsidRPr="004074B5">
              <w:rPr>
                <w:b/>
                <w:bCs/>
                <w:lang w:val="en-GB"/>
              </w:rPr>
              <w:t>Comments</w:t>
            </w:r>
          </w:p>
        </w:tc>
      </w:tr>
      <w:tr w:rsidR="004074B5" w:rsidRPr="004074B5" w:rsidTr="00E67B61">
        <w:tc>
          <w:tcPr>
            <w:tcW w:w="475" w:type="dxa"/>
          </w:tcPr>
          <w:p w:rsidR="004074B5" w:rsidRPr="004074B5" w:rsidRDefault="004074B5" w:rsidP="004074B5">
            <w:pPr>
              <w:rPr>
                <w:lang w:val="en-GB"/>
              </w:rPr>
            </w:pPr>
            <w:r w:rsidRPr="004074B5">
              <w:rPr>
                <w:lang w:val="en-GB"/>
              </w:rPr>
              <w:t>1</w:t>
            </w:r>
          </w:p>
        </w:tc>
        <w:tc>
          <w:tcPr>
            <w:tcW w:w="5479" w:type="dxa"/>
          </w:tcPr>
          <w:p w:rsidR="004074B5" w:rsidRPr="004074B5" w:rsidRDefault="004074B5" w:rsidP="004074B5">
            <w:pPr>
              <w:rPr>
                <w:lang w:val="en-GB"/>
              </w:rPr>
            </w:pPr>
            <w:r w:rsidRPr="004074B5">
              <w:rPr>
                <w:lang w:val="en-GB"/>
              </w:rPr>
              <w:t>Clause 1 of the Amended Draft Determination -</w:t>
            </w:r>
            <w:r w:rsidRPr="004074B5">
              <w:rPr>
                <w:b/>
                <w:bCs/>
                <w:lang w:val="en-GB"/>
              </w:rPr>
              <w:t xml:space="preserve"> </w:t>
            </w:r>
            <w:r w:rsidRPr="004074B5">
              <w:rPr>
                <w:lang w:val="en-GB"/>
              </w:rPr>
              <w:t>Delete the definition of ‘Aboriginal Health Worker’ in clause 3.1 and insert the following definitions:</w:t>
            </w:r>
          </w:p>
          <w:p w:rsidR="004074B5" w:rsidRPr="004074B5" w:rsidRDefault="004074B5" w:rsidP="004074B5">
            <w:pPr>
              <w:numPr>
                <w:ilvl w:val="0"/>
                <w:numId w:val="1"/>
              </w:numPr>
              <w:rPr>
                <w:lang w:val="en-GB"/>
              </w:rPr>
            </w:pPr>
            <w:r w:rsidRPr="004074B5">
              <w:rPr>
                <w:lang w:val="en-GB"/>
              </w:rPr>
              <w:t>Aboriginal and/or Torres Strait Islander Health Worker</w:t>
            </w:r>
          </w:p>
          <w:p w:rsidR="004074B5" w:rsidRPr="004074B5" w:rsidRDefault="004074B5" w:rsidP="004074B5">
            <w:pPr>
              <w:numPr>
                <w:ilvl w:val="0"/>
                <w:numId w:val="1"/>
              </w:numPr>
              <w:rPr>
                <w:lang w:val="en-GB"/>
              </w:rPr>
            </w:pPr>
            <w:r w:rsidRPr="004074B5">
              <w:rPr>
                <w:lang w:val="en-GB"/>
              </w:rPr>
              <w:t>Advanced Health Worker – Care</w:t>
            </w:r>
          </w:p>
          <w:p w:rsidR="004074B5" w:rsidRPr="004074B5" w:rsidRDefault="004074B5" w:rsidP="004074B5">
            <w:pPr>
              <w:numPr>
                <w:ilvl w:val="0"/>
                <w:numId w:val="1"/>
              </w:numPr>
              <w:rPr>
                <w:lang w:val="en-GB"/>
              </w:rPr>
            </w:pPr>
            <w:r w:rsidRPr="004074B5">
              <w:rPr>
                <w:lang w:val="en-GB"/>
              </w:rPr>
              <w:t>Advanced Health Worker – Practice</w:t>
            </w:r>
          </w:p>
          <w:p w:rsidR="004074B5" w:rsidRPr="004074B5" w:rsidRDefault="004074B5" w:rsidP="004074B5">
            <w:pPr>
              <w:numPr>
                <w:ilvl w:val="0"/>
                <w:numId w:val="1"/>
              </w:numPr>
              <w:rPr>
                <w:lang w:val="en-GB"/>
              </w:rPr>
            </w:pPr>
            <w:r w:rsidRPr="004074B5">
              <w:rPr>
                <w:lang w:val="en-GB"/>
              </w:rPr>
              <w:t>Community Controlled Health Services Employees</w:t>
            </w:r>
          </w:p>
          <w:p w:rsidR="004074B5" w:rsidRPr="004074B5" w:rsidRDefault="004074B5" w:rsidP="004074B5">
            <w:pPr>
              <w:numPr>
                <w:ilvl w:val="0"/>
                <w:numId w:val="1"/>
              </w:numPr>
              <w:rPr>
                <w:lang w:val="en-GB"/>
              </w:rPr>
            </w:pPr>
            <w:r w:rsidRPr="004074B5">
              <w:rPr>
                <w:lang w:val="en-GB"/>
              </w:rPr>
              <w:t>Coordinator Care</w:t>
            </w:r>
          </w:p>
          <w:p w:rsidR="004074B5" w:rsidRPr="004074B5" w:rsidRDefault="004074B5" w:rsidP="004074B5">
            <w:pPr>
              <w:numPr>
                <w:ilvl w:val="0"/>
                <w:numId w:val="1"/>
              </w:numPr>
              <w:rPr>
                <w:lang w:val="en-GB"/>
              </w:rPr>
            </w:pPr>
            <w:r w:rsidRPr="004074B5">
              <w:rPr>
                <w:lang w:val="en-GB"/>
              </w:rPr>
              <w:t>Generalist Health Worker</w:t>
            </w:r>
          </w:p>
          <w:p w:rsidR="004074B5" w:rsidRPr="004074B5" w:rsidRDefault="004074B5" w:rsidP="004074B5">
            <w:pPr>
              <w:numPr>
                <w:ilvl w:val="0"/>
                <w:numId w:val="1"/>
              </w:numPr>
              <w:rPr>
                <w:lang w:val="en-GB"/>
              </w:rPr>
            </w:pPr>
            <w:r w:rsidRPr="004074B5">
              <w:rPr>
                <w:lang w:val="en-GB"/>
              </w:rPr>
              <w:t>Health Practitioner</w:t>
            </w:r>
          </w:p>
          <w:p w:rsidR="004074B5" w:rsidRPr="004074B5" w:rsidRDefault="004074B5" w:rsidP="004074B5">
            <w:pPr>
              <w:numPr>
                <w:ilvl w:val="0"/>
                <w:numId w:val="1"/>
              </w:numPr>
              <w:rPr>
                <w:lang w:val="en-GB"/>
              </w:rPr>
            </w:pPr>
            <w:r w:rsidRPr="004074B5">
              <w:rPr>
                <w:lang w:val="en-GB"/>
              </w:rPr>
              <w:t>Health Worker Trainee</w:t>
            </w:r>
          </w:p>
          <w:p w:rsidR="004074B5" w:rsidRPr="004074B5" w:rsidRDefault="004074B5" w:rsidP="004074B5">
            <w:pPr>
              <w:numPr>
                <w:ilvl w:val="0"/>
                <w:numId w:val="1"/>
              </w:numPr>
              <w:rPr>
                <w:lang w:val="en-GB"/>
              </w:rPr>
            </w:pPr>
            <w:r w:rsidRPr="004074B5">
              <w:rPr>
                <w:lang w:val="en-GB"/>
              </w:rPr>
              <w:t>Senior Health Care Worker – Care</w:t>
            </w:r>
          </w:p>
          <w:p w:rsidR="004074B5" w:rsidRPr="004074B5" w:rsidRDefault="004074B5" w:rsidP="004074B5">
            <w:pPr>
              <w:numPr>
                <w:ilvl w:val="0"/>
                <w:numId w:val="1"/>
              </w:numPr>
              <w:rPr>
                <w:lang w:val="en-GB"/>
              </w:rPr>
            </w:pPr>
            <w:r w:rsidRPr="004074B5">
              <w:rPr>
                <w:lang w:val="en-GB"/>
              </w:rPr>
              <w:t xml:space="preserve">Senior Health Practitioner </w:t>
            </w:r>
          </w:p>
        </w:tc>
        <w:tc>
          <w:tcPr>
            <w:tcW w:w="1418" w:type="dxa"/>
          </w:tcPr>
          <w:p w:rsidR="004074B5" w:rsidRPr="004074B5" w:rsidRDefault="004074B5" w:rsidP="004074B5">
            <w:pPr>
              <w:rPr>
                <w:lang w:val="en-GB"/>
              </w:rPr>
            </w:pPr>
            <w:r w:rsidRPr="004074B5">
              <w:rPr>
                <w:lang w:val="en-GB"/>
              </w:rPr>
              <w:t>Yes</w:t>
            </w:r>
          </w:p>
        </w:tc>
        <w:tc>
          <w:tcPr>
            <w:tcW w:w="6804" w:type="dxa"/>
          </w:tcPr>
          <w:p w:rsidR="004074B5" w:rsidRPr="004074B5" w:rsidRDefault="004074B5" w:rsidP="004074B5">
            <w:pPr>
              <w:rPr>
                <w:lang w:val="en-GB"/>
              </w:rPr>
            </w:pPr>
            <w:r w:rsidRPr="004074B5">
              <w:rPr>
                <w:lang w:val="en-GB"/>
              </w:rPr>
              <w:t xml:space="preserve">Amended in accordance with </w:t>
            </w:r>
            <w:hyperlink r:id="rId11" w:anchor="P374_11220" w:history="1">
              <w:r w:rsidRPr="004074B5">
                <w:rPr>
                  <w:rStyle w:val="Hyperlink"/>
                  <w:lang w:val="en-GB"/>
                </w:rPr>
                <w:t>[2018] FWCFB 1548</w:t>
              </w:r>
            </w:hyperlink>
            <w:r w:rsidRPr="004074B5">
              <w:rPr>
                <w:lang w:val="en-GB"/>
              </w:rPr>
              <w:t xml:space="preserve"> at [11] where the Full Bench states it will adopt the agreed variations set out in the Final Report to the Full Bench published on 4 September 2017 (</w:t>
            </w:r>
            <w:r w:rsidRPr="004074B5">
              <w:rPr>
                <w:b/>
                <w:bCs/>
                <w:lang w:val="en-GB"/>
              </w:rPr>
              <w:t>Report</w:t>
            </w:r>
            <w:r w:rsidRPr="004074B5">
              <w:rPr>
                <w:lang w:val="en-GB"/>
              </w:rPr>
              <w:t>).</w:t>
            </w:r>
          </w:p>
          <w:p w:rsidR="004074B5" w:rsidRPr="004074B5" w:rsidRDefault="004074B5" w:rsidP="004074B5">
            <w:pPr>
              <w:rPr>
                <w:lang w:val="en-GB"/>
              </w:rPr>
            </w:pPr>
          </w:p>
          <w:p w:rsidR="004074B5" w:rsidRPr="004074B5" w:rsidRDefault="004074B5" w:rsidP="004074B5">
            <w:pPr>
              <w:rPr>
                <w:lang w:val="en-GB"/>
              </w:rPr>
            </w:pPr>
            <w:r w:rsidRPr="004074B5">
              <w:rPr>
                <w:lang w:val="en-GB"/>
              </w:rPr>
              <w:t xml:space="preserve">The Report (available </w:t>
            </w:r>
            <w:hyperlink r:id="rId12" w:history="1">
              <w:r w:rsidRPr="004074B5">
                <w:rPr>
                  <w:rStyle w:val="Hyperlink"/>
                  <w:lang w:val="en-GB"/>
                </w:rPr>
                <w:t>here</w:t>
              </w:r>
            </w:hyperlink>
            <w:r w:rsidRPr="004074B5">
              <w:rPr>
                <w:lang w:val="en-GB"/>
              </w:rPr>
              <w:t xml:space="preserve">) is structured in accordance with the substantive claims raised in this </w:t>
            </w:r>
            <w:hyperlink r:id="rId13" w:history="1">
              <w:r w:rsidRPr="004074B5">
                <w:rPr>
                  <w:rStyle w:val="Hyperlink"/>
                  <w:lang w:val="en-GB"/>
                </w:rPr>
                <w:t>table</w:t>
              </w:r>
            </w:hyperlink>
            <w:r w:rsidRPr="004074B5">
              <w:rPr>
                <w:lang w:val="en-GB"/>
              </w:rPr>
              <w:t>.</w:t>
            </w:r>
          </w:p>
          <w:p w:rsidR="004074B5" w:rsidRPr="004074B5" w:rsidRDefault="004074B5" w:rsidP="004074B5">
            <w:pPr>
              <w:rPr>
                <w:lang w:val="en-GB"/>
              </w:rPr>
            </w:pPr>
          </w:p>
          <w:p w:rsidR="004074B5" w:rsidRPr="004074B5" w:rsidRDefault="004074B5" w:rsidP="004074B5">
            <w:pPr>
              <w:rPr>
                <w:lang w:val="en-GB"/>
              </w:rPr>
            </w:pPr>
            <w:r w:rsidRPr="004074B5">
              <w:rPr>
                <w:lang w:val="en-GB"/>
              </w:rPr>
              <w:t xml:space="preserve">It is worthwhile noting that although the definitions were inserted into the Exposure Draft, they relate to our other substantive claims which are yet to be inserted. </w:t>
            </w:r>
          </w:p>
          <w:p w:rsidR="004074B5" w:rsidRPr="004074B5" w:rsidRDefault="004074B5" w:rsidP="004074B5">
            <w:pPr>
              <w:rPr>
                <w:lang w:val="en-GB"/>
              </w:rPr>
            </w:pPr>
          </w:p>
        </w:tc>
      </w:tr>
      <w:tr w:rsidR="004074B5" w:rsidRPr="004074B5" w:rsidTr="00E67B61">
        <w:tc>
          <w:tcPr>
            <w:tcW w:w="475" w:type="dxa"/>
          </w:tcPr>
          <w:p w:rsidR="004074B5" w:rsidRPr="004074B5" w:rsidRDefault="004074B5" w:rsidP="004074B5">
            <w:pPr>
              <w:rPr>
                <w:lang w:val="en-GB"/>
              </w:rPr>
            </w:pPr>
            <w:r w:rsidRPr="004074B5">
              <w:rPr>
                <w:lang w:val="en-GB"/>
              </w:rPr>
              <w:t>2</w:t>
            </w:r>
          </w:p>
        </w:tc>
        <w:tc>
          <w:tcPr>
            <w:tcW w:w="5479" w:type="dxa"/>
          </w:tcPr>
          <w:p w:rsidR="004074B5" w:rsidRPr="004074B5" w:rsidRDefault="004074B5" w:rsidP="004074B5">
            <w:pPr>
              <w:rPr>
                <w:lang w:val="en-GB"/>
              </w:rPr>
            </w:pPr>
            <w:r w:rsidRPr="004074B5">
              <w:rPr>
                <w:lang w:val="en-GB"/>
              </w:rPr>
              <w:t>Clause 2 of the Amended Draft Determination - amend coverage clause in cl 4.1.</w:t>
            </w:r>
          </w:p>
        </w:tc>
        <w:tc>
          <w:tcPr>
            <w:tcW w:w="1418" w:type="dxa"/>
          </w:tcPr>
          <w:p w:rsidR="004074B5" w:rsidRPr="004074B5" w:rsidRDefault="004074B5" w:rsidP="004074B5">
            <w:pPr>
              <w:rPr>
                <w:lang w:val="en-GB"/>
              </w:rPr>
            </w:pPr>
            <w:r w:rsidRPr="004074B5">
              <w:rPr>
                <w:lang w:val="en-GB"/>
              </w:rPr>
              <w:t>No.</w:t>
            </w:r>
          </w:p>
        </w:tc>
        <w:tc>
          <w:tcPr>
            <w:tcW w:w="6804" w:type="dxa"/>
          </w:tcPr>
          <w:p w:rsidR="004074B5" w:rsidRPr="004074B5" w:rsidRDefault="004074B5" w:rsidP="004074B5">
            <w:pPr>
              <w:rPr>
                <w:lang w:val="en-GB"/>
              </w:rPr>
            </w:pPr>
            <w:r w:rsidRPr="004074B5">
              <w:rPr>
                <w:lang w:val="en-GB"/>
              </w:rPr>
              <w:t>Not included - opposition from AFEI.</w:t>
            </w:r>
          </w:p>
          <w:p w:rsidR="004074B5" w:rsidRPr="004074B5" w:rsidRDefault="004074B5" w:rsidP="004074B5">
            <w:pPr>
              <w:rPr>
                <w:lang w:val="en-GB"/>
              </w:rPr>
            </w:pPr>
          </w:p>
        </w:tc>
      </w:tr>
      <w:tr w:rsidR="004074B5" w:rsidRPr="004074B5" w:rsidTr="00E67B61">
        <w:tc>
          <w:tcPr>
            <w:tcW w:w="475" w:type="dxa"/>
          </w:tcPr>
          <w:p w:rsidR="004074B5" w:rsidRPr="004074B5" w:rsidRDefault="004074B5" w:rsidP="004074B5">
            <w:pPr>
              <w:rPr>
                <w:lang w:val="en-GB"/>
              </w:rPr>
            </w:pPr>
            <w:r w:rsidRPr="004074B5">
              <w:rPr>
                <w:lang w:val="en-GB"/>
              </w:rPr>
              <w:t>3</w:t>
            </w:r>
          </w:p>
        </w:tc>
        <w:tc>
          <w:tcPr>
            <w:tcW w:w="5479" w:type="dxa"/>
          </w:tcPr>
          <w:p w:rsidR="004074B5" w:rsidRPr="004074B5" w:rsidRDefault="004074B5" w:rsidP="004074B5">
            <w:pPr>
              <w:rPr>
                <w:lang w:val="en-GB"/>
              </w:rPr>
            </w:pPr>
            <w:r w:rsidRPr="004074B5">
              <w:rPr>
                <w:lang w:val="en-GB"/>
              </w:rPr>
              <w:t xml:space="preserve">Clause 3 of the Amended Draft Determination - amend coverage clause in cl 4.2. </w:t>
            </w:r>
          </w:p>
        </w:tc>
        <w:tc>
          <w:tcPr>
            <w:tcW w:w="1418" w:type="dxa"/>
          </w:tcPr>
          <w:p w:rsidR="004074B5" w:rsidRPr="004074B5" w:rsidRDefault="004074B5" w:rsidP="004074B5">
            <w:pPr>
              <w:rPr>
                <w:lang w:val="en-GB"/>
              </w:rPr>
            </w:pPr>
            <w:r w:rsidRPr="004074B5">
              <w:rPr>
                <w:lang w:val="en-GB"/>
              </w:rPr>
              <w:t xml:space="preserve">No </w:t>
            </w:r>
          </w:p>
        </w:tc>
        <w:tc>
          <w:tcPr>
            <w:tcW w:w="6804" w:type="dxa"/>
          </w:tcPr>
          <w:p w:rsidR="004074B5" w:rsidRPr="004074B5" w:rsidRDefault="004074B5" w:rsidP="004074B5">
            <w:pPr>
              <w:rPr>
                <w:lang w:val="en-GB"/>
              </w:rPr>
            </w:pPr>
            <w:r w:rsidRPr="004074B5">
              <w:rPr>
                <w:lang w:val="en-GB"/>
              </w:rPr>
              <w:t>As above.</w:t>
            </w:r>
          </w:p>
        </w:tc>
      </w:tr>
      <w:tr w:rsidR="004074B5" w:rsidRPr="004074B5" w:rsidTr="00E67B61">
        <w:tc>
          <w:tcPr>
            <w:tcW w:w="475" w:type="dxa"/>
          </w:tcPr>
          <w:p w:rsidR="004074B5" w:rsidRPr="004074B5" w:rsidRDefault="004074B5" w:rsidP="004074B5">
            <w:pPr>
              <w:rPr>
                <w:lang w:val="en-GB"/>
              </w:rPr>
            </w:pPr>
            <w:r w:rsidRPr="004074B5">
              <w:rPr>
                <w:lang w:val="en-GB"/>
              </w:rPr>
              <w:t>4</w:t>
            </w:r>
          </w:p>
        </w:tc>
        <w:tc>
          <w:tcPr>
            <w:tcW w:w="5479" w:type="dxa"/>
          </w:tcPr>
          <w:p w:rsidR="004074B5" w:rsidRPr="004074B5" w:rsidRDefault="004074B5" w:rsidP="004074B5">
            <w:pPr>
              <w:rPr>
                <w:lang w:val="en-GB"/>
              </w:rPr>
            </w:pPr>
            <w:r w:rsidRPr="004074B5">
              <w:rPr>
                <w:lang w:val="en-GB"/>
              </w:rPr>
              <w:t>Clause 4 of the Amended Draft Determination – delete clause 13.1 (definition of ‘Classifications’).</w:t>
            </w:r>
          </w:p>
        </w:tc>
        <w:tc>
          <w:tcPr>
            <w:tcW w:w="1418" w:type="dxa"/>
          </w:tcPr>
          <w:p w:rsidR="004074B5" w:rsidRPr="004074B5" w:rsidRDefault="004074B5" w:rsidP="004074B5">
            <w:pPr>
              <w:rPr>
                <w:lang w:val="en-GB"/>
              </w:rPr>
            </w:pPr>
            <w:r w:rsidRPr="004074B5">
              <w:rPr>
                <w:lang w:val="en-GB"/>
              </w:rPr>
              <w:t>No</w:t>
            </w:r>
          </w:p>
        </w:tc>
        <w:tc>
          <w:tcPr>
            <w:tcW w:w="6804" w:type="dxa"/>
          </w:tcPr>
          <w:p w:rsidR="004074B5" w:rsidRPr="004074B5" w:rsidRDefault="004074B5" w:rsidP="004074B5">
            <w:pPr>
              <w:rPr>
                <w:lang w:val="en-GB"/>
              </w:rPr>
            </w:pPr>
            <w:r w:rsidRPr="004074B5">
              <w:rPr>
                <w:lang w:val="en-GB"/>
              </w:rPr>
              <w:t xml:space="preserve">There has been a minor technical change between current version of the Award and the Exposure Draft. The current Award states classification definitions are set out in Schedule B, whereas the Exposure Draft states they are set out in Schedule A. However, NATSIHWA’s amendment has not been made. </w:t>
            </w:r>
          </w:p>
        </w:tc>
      </w:tr>
      <w:tr w:rsidR="004074B5" w:rsidRPr="004074B5" w:rsidTr="00E67B61">
        <w:tc>
          <w:tcPr>
            <w:tcW w:w="475" w:type="dxa"/>
          </w:tcPr>
          <w:p w:rsidR="004074B5" w:rsidRPr="004074B5" w:rsidRDefault="004074B5" w:rsidP="004074B5">
            <w:pPr>
              <w:rPr>
                <w:lang w:val="en-GB"/>
              </w:rPr>
            </w:pPr>
            <w:r w:rsidRPr="004074B5">
              <w:rPr>
                <w:lang w:val="en-GB"/>
              </w:rPr>
              <w:t>5</w:t>
            </w:r>
          </w:p>
        </w:tc>
        <w:tc>
          <w:tcPr>
            <w:tcW w:w="5479" w:type="dxa"/>
          </w:tcPr>
          <w:p w:rsidR="004074B5" w:rsidRPr="004074B5" w:rsidRDefault="004074B5" w:rsidP="004074B5">
            <w:pPr>
              <w:rPr>
                <w:lang w:val="en-GB"/>
              </w:rPr>
            </w:pPr>
            <w:r w:rsidRPr="004074B5">
              <w:rPr>
                <w:lang w:val="en-GB"/>
              </w:rPr>
              <w:t>Clause 5 of the Amended Draft Determination - insert new progression clause.</w:t>
            </w:r>
          </w:p>
        </w:tc>
        <w:tc>
          <w:tcPr>
            <w:tcW w:w="1418" w:type="dxa"/>
          </w:tcPr>
          <w:p w:rsidR="004074B5" w:rsidRPr="004074B5" w:rsidRDefault="004074B5" w:rsidP="004074B5">
            <w:pPr>
              <w:rPr>
                <w:lang w:val="en-GB"/>
              </w:rPr>
            </w:pPr>
            <w:r w:rsidRPr="004074B5">
              <w:rPr>
                <w:lang w:val="en-GB"/>
              </w:rPr>
              <w:t xml:space="preserve">No </w:t>
            </w:r>
          </w:p>
        </w:tc>
        <w:tc>
          <w:tcPr>
            <w:tcW w:w="6804" w:type="dxa"/>
          </w:tcPr>
          <w:p w:rsidR="004074B5" w:rsidRPr="004074B5" w:rsidRDefault="004074B5" w:rsidP="004074B5">
            <w:pPr>
              <w:rPr>
                <w:lang w:val="en-GB"/>
              </w:rPr>
            </w:pPr>
            <w:r w:rsidRPr="004074B5">
              <w:rPr>
                <w:lang w:val="en-GB"/>
              </w:rPr>
              <w:t xml:space="preserve">Referred to Full Bench for determination in accordance with </w:t>
            </w:r>
            <w:hyperlink r:id="rId14" w:history="1">
              <w:r w:rsidRPr="004074B5">
                <w:rPr>
                  <w:rStyle w:val="Hyperlink"/>
                  <w:lang w:val="en-GB"/>
                </w:rPr>
                <w:t>[2018] FWCFB 4175</w:t>
              </w:r>
            </w:hyperlink>
            <w:r w:rsidRPr="004074B5">
              <w:rPr>
                <w:lang w:val="en-GB"/>
              </w:rPr>
              <w:t xml:space="preserve"> at [13] – [16]. </w:t>
            </w:r>
          </w:p>
        </w:tc>
      </w:tr>
      <w:tr w:rsidR="004074B5" w:rsidRPr="004074B5" w:rsidTr="00E67B61">
        <w:tc>
          <w:tcPr>
            <w:tcW w:w="475" w:type="dxa"/>
          </w:tcPr>
          <w:p w:rsidR="004074B5" w:rsidRPr="004074B5" w:rsidRDefault="004074B5" w:rsidP="004074B5">
            <w:pPr>
              <w:rPr>
                <w:lang w:val="en-GB"/>
              </w:rPr>
            </w:pPr>
            <w:r w:rsidRPr="004074B5">
              <w:rPr>
                <w:lang w:val="en-GB"/>
              </w:rPr>
              <w:t>6</w:t>
            </w:r>
          </w:p>
        </w:tc>
        <w:tc>
          <w:tcPr>
            <w:tcW w:w="5479" w:type="dxa"/>
          </w:tcPr>
          <w:p w:rsidR="004074B5" w:rsidRPr="004074B5" w:rsidRDefault="004074B5" w:rsidP="004074B5">
            <w:pPr>
              <w:rPr>
                <w:lang w:val="en-GB"/>
              </w:rPr>
            </w:pPr>
            <w:r w:rsidRPr="004074B5">
              <w:rPr>
                <w:lang w:val="en-GB"/>
              </w:rPr>
              <w:t>Clause 6 of the Amended Draft Determination - insert new recognition of previous service clause.</w:t>
            </w:r>
          </w:p>
        </w:tc>
        <w:tc>
          <w:tcPr>
            <w:tcW w:w="1418" w:type="dxa"/>
          </w:tcPr>
          <w:p w:rsidR="004074B5" w:rsidRPr="004074B5" w:rsidRDefault="004074B5" w:rsidP="004074B5">
            <w:pPr>
              <w:rPr>
                <w:lang w:val="en-GB"/>
              </w:rPr>
            </w:pPr>
            <w:r w:rsidRPr="004074B5">
              <w:rPr>
                <w:lang w:val="en-GB"/>
              </w:rPr>
              <w:t>No</w:t>
            </w:r>
          </w:p>
        </w:tc>
        <w:tc>
          <w:tcPr>
            <w:tcW w:w="6804" w:type="dxa"/>
          </w:tcPr>
          <w:p w:rsidR="004074B5" w:rsidRPr="004074B5" w:rsidRDefault="004074B5" w:rsidP="004074B5">
            <w:pPr>
              <w:rPr>
                <w:lang w:val="en-GB"/>
              </w:rPr>
            </w:pPr>
            <w:r w:rsidRPr="004074B5">
              <w:rPr>
                <w:lang w:val="en-GB"/>
              </w:rPr>
              <w:t xml:space="preserve">Referred to Full Bench for determination in accordance with </w:t>
            </w:r>
            <w:hyperlink r:id="rId15" w:history="1">
              <w:r w:rsidRPr="004074B5">
                <w:rPr>
                  <w:rStyle w:val="Hyperlink"/>
                  <w:lang w:val="en-GB"/>
                </w:rPr>
                <w:t>[2018] FWCFB 4175</w:t>
              </w:r>
            </w:hyperlink>
            <w:r w:rsidRPr="004074B5">
              <w:rPr>
                <w:lang w:val="en-GB"/>
              </w:rPr>
              <w:t xml:space="preserve"> at [13] – [16].</w:t>
            </w:r>
          </w:p>
        </w:tc>
      </w:tr>
      <w:tr w:rsidR="004074B5" w:rsidRPr="004074B5" w:rsidTr="00E67B61">
        <w:tc>
          <w:tcPr>
            <w:tcW w:w="475" w:type="dxa"/>
          </w:tcPr>
          <w:p w:rsidR="004074B5" w:rsidRPr="004074B5" w:rsidRDefault="004074B5" w:rsidP="004074B5">
            <w:pPr>
              <w:rPr>
                <w:lang w:val="en-GB"/>
              </w:rPr>
            </w:pPr>
            <w:r w:rsidRPr="004074B5">
              <w:rPr>
                <w:lang w:val="en-GB"/>
              </w:rPr>
              <w:t>7</w:t>
            </w:r>
          </w:p>
        </w:tc>
        <w:tc>
          <w:tcPr>
            <w:tcW w:w="5479" w:type="dxa"/>
          </w:tcPr>
          <w:p w:rsidR="004074B5" w:rsidRPr="004074B5" w:rsidRDefault="004074B5" w:rsidP="004074B5">
            <w:pPr>
              <w:rPr>
                <w:lang w:val="en-GB"/>
              </w:rPr>
            </w:pPr>
            <w:r w:rsidRPr="004074B5">
              <w:rPr>
                <w:lang w:val="en-GB"/>
              </w:rPr>
              <w:t>Clause 7 of the Amended Draft Determination - insertion of new evidence of qualifications clause.</w:t>
            </w:r>
          </w:p>
        </w:tc>
        <w:tc>
          <w:tcPr>
            <w:tcW w:w="1418" w:type="dxa"/>
          </w:tcPr>
          <w:p w:rsidR="004074B5" w:rsidRPr="004074B5" w:rsidRDefault="004074B5" w:rsidP="004074B5">
            <w:pPr>
              <w:rPr>
                <w:lang w:val="en-GB"/>
              </w:rPr>
            </w:pPr>
            <w:r w:rsidRPr="004074B5">
              <w:rPr>
                <w:lang w:val="en-GB"/>
              </w:rPr>
              <w:t>No</w:t>
            </w:r>
          </w:p>
        </w:tc>
        <w:tc>
          <w:tcPr>
            <w:tcW w:w="6804" w:type="dxa"/>
          </w:tcPr>
          <w:p w:rsidR="004074B5" w:rsidRPr="004074B5" w:rsidRDefault="004074B5" w:rsidP="004074B5">
            <w:pPr>
              <w:rPr>
                <w:lang w:val="en-GB"/>
              </w:rPr>
            </w:pPr>
            <w:r w:rsidRPr="004074B5">
              <w:rPr>
                <w:lang w:val="en-GB"/>
              </w:rPr>
              <w:t xml:space="preserve">Referred to Full Bench for determination in accordance with </w:t>
            </w:r>
            <w:hyperlink r:id="rId16" w:history="1">
              <w:r w:rsidRPr="004074B5">
                <w:rPr>
                  <w:rStyle w:val="Hyperlink"/>
                  <w:lang w:val="en-GB"/>
                </w:rPr>
                <w:t>[2018] FWCFB 4175</w:t>
              </w:r>
            </w:hyperlink>
            <w:r w:rsidRPr="004074B5">
              <w:rPr>
                <w:lang w:val="en-GB"/>
              </w:rPr>
              <w:t xml:space="preserve"> at [13] – [16].</w:t>
            </w:r>
          </w:p>
        </w:tc>
      </w:tr>
      <w:tr w:rsidR="004074B5" w:rsidRPr="004074B5" w:rsidTr="00E67B61">
        <w:tc>
          <w:tcPr>
            <w:tcW w:w="475" w:type="dxa"/>
          </w:tcPr>
          <w:p w:rsidR="004074B5" w:rsidRPr="004074B5" w:rsidRDefault="004074B5" w:rsidP="004074B5">
            <w:pPr>
              <w:rPr>
                <w:lang w:val="en-GB"/>
              </w:rPr>
            </w:pPr>
            <w:r w:rsidRPr="004074B5">
              <w:rPr>
                <w:lang w:val="en-GB"/>
              </w:rPr>
              <w:lastRenderedPageBreak/>
              <w:t>8</w:t>
            </w:r>
          </w:p>
        </w:tc>
        <w:tc>
          <w:tcPr>
            <w:tcW w:w="5479" w:type="dxa"/>
          </w:tcPr>
          <w:p w:rsidR="004074B5" w:rsidRPr="004074B5" w:rsidRDefault="004074B5" w:rsidP="004074B5">
            <w:pPr>
              <w:rPr>
                <w:lang w:val="en-GB"/>
              </w:rPr>
            </w:pPr>
            <w:r w:rsidRPr="004074B5">
              <w:rPr>
                <w:lang w:val="en-GB"/>
              </w:rPr>
              <w:t xml:space="preserve">Clause 8 of the Amended Draft Determination - insertion of additional classifications for Aboriginal and/or Torres Strait Islander Health Workers. </w:t>
            </w:r>
          </w:p>
        </w:tc>
        <w:tc>
          <w:tcPr>
            <w:tcW w:w="1418" w:type="dxa"/>
          </w:tcPr>
          <w:p w:rsidR="004074B5" w:rsidRPr="004074B5" w:rsidRDefault="004074B5" w:rsidP="004074B5">
            <w:pPr>
              <w:rPr>
                <w:lang w:val="en-GB"/>
              </w:rPr>
            </w:pPr>
            <w:r w:rsidRPr="004074B5">
              <w:rPr>
                <w:lang w:val="en-GB"/>
              </w:rPr>
              <w:t>No</w:t>
            </w:r>
          </w:p>
        </w:tc>
        <w:tc>
          <w:tcPr>
            <w:tcW w:w="6804" w:type="dxa"/>
          </w:tcPr>
          <w:p w:rsidR="004074B5" w:rsidRPr="004074B5" w:rsidRDefault="004074B5" w:rsidP="004074B5">
            <w:pPr>
              <w:rPr>
                <w:lang w:val="en-GB"/>
              </w:rPr>
            </w:pPr>
            <w:r w:rsidRPr="004074B5">
              <w:rPr>
                <w:lang w:val="en-GB"/>
              </w:rPr>
              <w:t xml:space="preserve">Not amended in accordance with </w:t>
            </w:r>
            <w:hyperlink r:id="rId17" w:anchor="P374_11220" w:history="1">
              <w:r w:rsidRPr="004074B5">
                <w:rPr>
                  <w:rStyle w:val="Hyperlink"/>
                  <w:lang w:val="en-GB"/>
                </w:rPr>
                <w:t>[2018] FWCFB 1548</w:t>
              </w:r>
            </w:hyperlink>
            <w:r w:rsidRPr="004074B5">
              <w:rPr>
                <w:lang w:val="en-GB"/>
              </w:rPr>
              <w:t xml:space="preserve"> at [11] – No agreement between parties.</w:t>
            </w:r>
          </w:p>
        </w:tc>
      </w:tr>
      <w:tr w:rsidR="004074B5" w:rsidRPr="004074B5" w:rsidTr="00E67B61">
        <w:tc>
          <w:tcPr>
            <w:tcW w:w="475" w:type="dxa"/>
          </w:tcPr>
          <w:p w:rsidR="004074B5" w:rsidRPr="004074B5" w:rsidRDefault="004074B5" w:rsidP="004074B5">
            <w:pPr>
              <w:rPr>
                <w:lang w:val="en-GB"/>
              </w:rPr>
            </w:pPr>
            <w:r w:rsidRPr="004074B5">
              <w:rPr>
                <w:lang w:val="en-GB"/>
              </w:rPr>
              <w:t>9</w:t>
            </w:r>
          </w:p>
        </w:tc>
        <w:tc>
          <w:tcPr>
            <w:tcW w:w="5479" w:type="dxa"/>
          </w:tcPr>
          <w:p w:rsidR="004074B5" w:rsidRPr="004074B5" w:rsidRDefault="004074B5" w:rsidP="004074B5">
            <w:pPr>
              <w:rPr>
                <w:lang w:val="en-GB"/>
              </w:rPr>
            </w:pPr>
            <w:r w:rsidRPr="004074B5">
              <w:rPr>
                <w:lang w:val="en-GB"/>
              </w:rPr>
              <w:t>Clause 9 of the Amended Draft Determination - insertion of new minimum wage rates for Community Controlled Health Service Employees.</w:t>
            </w:r>
          </w:p>
        </w:tc>
        <w:tc>
          <w:tcPr>
            <w:tcW w:w="1418" w:type="dxa"/>
          </w:tcPr>
          <w:p w:rsidR="004074B5" w:rsidRPr="004074B5" w:rsidRDefault="004074B5" w:rsidP="004074B5">
            <w:pPr>
              <w:rPr>
                <w:lang w:val="en-GB"/>
              </w:rPr>
            </w:pPr>
            <w:r w:rsidRPr="004074B5">
              <w:rPr>
                <w:lang w:val="en-GB"/>
              </w:rPr>
              <w:t>No</w:t>
            </w:r>
          </w:p>
        </w:tc>
        <w:tc>
          <w:tcPr>
            <w:tcW w:w="6804" w:type="dxa"/>
          </w:tcPr>
          <w:p w:rsidR="004074B5" w:rsidRPr="004074B5" w:rsidRDefault="004074B5" w:rsidP="004074B5">
            <w:pPr>
              <w:rPr>
                <w:lang w:val="en-GB"/>
              </w:rPr>
            </w:pPr>
            <w:r w:rsidRPr="004074B5">
              <w:rPr>
                <w:lang w:val="en-GB"/>
              </w:rPr>
              <w:t xml:space="preserve">Not amended in accordance with </w:t>
            </w:r>
            <w:hyperlink r:id="rId18" w:anchor="P374_11220" w:history="1">
              <w:r w:rsidRPr="004074B5">
                <w:rPr>
                  <w:rStyle w:val="Hyperlink"/>
                  <w:lang w:val="en-GB"/>
                </w:rPr>
                <w:t>[2018] FWCFB 1548</w:t>
              </w:r>
            </w:hyperlink>
            <w:r w:rsidRPr="004074B5">
              <w:rPr>
                <w:lang w:val="en-GB"/>
              </w:rPr>
              <w:t xml:space="preserve"> at [11] – No agreement between parties.</w:t>
            </w:r>
          </w:p>
          <w:p w:rsidR="004074B5" w:rsidRPr="004074B5" w:rsidRDefault="004074B5" w:rsidP="004074B5">
            <w:pPr>
              <w:rPr>
                <w:lang w:val="en-GB"/>
              </w:rPr>
            </w:pPr>
          </w:p>
        </w:tc>
      </w:tr>
      <w:tr w:rsidR="004074B5" w:rsidRPr="004074B5" w:rsidTr="00E67B61">
        <w:tc>
          <w:tcPr>
            <w:tcW w:w="475" w:type="dxa"/>
          </w:tcPr>
          <w:p w:rsidR="004074B5" w:rsidRPr="004074B5" w:rsidRDefault="004074B5" w:rsidP="004074B5">
            <w:pPr>
              <w:rPr>
                <w:lang w:val="en-GB"/>
              </w:rPr>
            </w:pPr>
            <w:r w:rsidRPr="004074B5">
              <w:rPr>
                <w:lang w:val="en-GB"/>
              </w:rPr>
              <w:t>10</w:t>
            </w:r>
          </w:p>
        </w:tc>
        <w:tc>
          <w:tcPr>
            <w:tcW w:w="5479" w:type="dxa"/>
          </w:tcPr>
          <w:p w:rsidR="004074B5" w:rsidRPr="004074B5" w:rsidRDefault="004074B5" w:rsidP="004074B5">
            <w:pPr>
              <w:rPr>
                <w:lang w:val="en-GB"/>
              </w:rPr>
            </w:pPr>
            <w:r w:rsidRPr="004074B5">
              <w:rPr>
                <w:lang w:val="en-GB"/>
              </w:rPr>
              <w:t>Clause 10 of the Amended Draft Determination - insertion of new occasional interpreting allowance.</w:t>
            </w:r>
          </w:p>
        </w:tc>
        <w:tc>
          <w:tcPr>
            <w:tcW w:w="1418" w:type="dxa"/>
          </w:tcPr>
          <w:p w:rsidR="004074B5" w:rsidRPr="004074B5" w:rsidRDefault="004074B5" w:rsidP="004074B5">
            <w:pPr>
              <w:rPr>
                <w:lang w:val="en-GB"/>
              </w:rPr>
            </w:pPr>
            <w:r w:rsidRPr="004074B5">
              <w:rPr>
                <w:lang w:val="en-GB"/>
              </w:rPr>
              <w:t>No</w:t>
            </w:r>
          </w:p>
        </w:tc>
        <w:tc>
          <w:tcPr>
            <w:tcW w:w="6804" w:type="dxa"/>
          </w:tcPr>
          <w:p w:rsidR="004074B5" w:rsidRPr="004074B5" w:rsidRDefault="004074B5" w:rsidP="004074B5">
            <w:pPr>
              <w:rPr>
                <w:lang w:val="en-GB"/>
              </w:rPr>
            </w:pPr>
            <w:r w:rsidRPr="004074B5">
              <w:rPr>
                <w:lang w:val="en-GB"/>
              </w:rPr>
              <w:t xml:space="preserve">Not amended in accordance with </w:t>
            </w:r>
            <w:hyperlink r:id="rId19" w:anchor="P374_11220" w:history="1">
              <w:r w:rsidRPr="004074B5">
                <w:rPr>
                  <w:rStyle w:val="Hyperlink"/>
                  <w:lang w:val="en-GB"/>
                </w:rPr>
                <w:t>[2018] FWCFB 1548</w:t>
              </w:r>
            </w:hyperlink>
            <w:r w:rsidRPr="004074B5">
              <w:rPr>
                <w:lang w:val="en-GB"/>
              </w:rPr>
              <w:t xml:space="preserve"> at [11] – No agreement between parties.</w:t>
            </w:r>
          </w:p>
        </w:tc>
      </w:tr>
      <w:tr w:rsidR="004074B5" w:rsidRPr="004074B5" w:rsidTr="00E67B61">
        <w:tc>
          <w:tcPr>
            <w:tcW w:w="475" w:type="dxa"/>
          </w:tcPr>
          <w:p w:rsidR="004074B5" w:rsidRPr="004074B5" w:rsidRDefault="004074B5" w:rsidP="004074B5">
            <w:pPr>
              <w:rPr>
                <w:lang w:val="en-GB"/>
              </w:rPr>
            </w:pPr>
            <w:r w:rsidRPr="004074B5">
              <w:rPr>
                <w:lang w:val="en-GB"/>
              </w:rPr>
              <w:t>11</w:t>
            </w:r>
          </w:p>
        </w:tc>
        <w:tc>
          <w:tcPr>
            <w:tcW w:w="5479" w:type="dxa"/>
          </w:tcPr>
          <w:p w:rsidR="004074B5" w:rsidRPr="004074B5" w:rsidRDefault="004074B5" w:rsidP="004074B5">
            <w:pPr>
              <w:rPr>
                <w:lang w:val="en-GB"/>
              </w:rPr>
            </w:pPr>
            <w:r w:rsidRPr="004074B5">
              <w:rPr>
                <w:lang w:val="en-GB"/>
              </w:rPr>
              <w:t>Clause 11 of the Amended Draft Determination - insertion of new damaged clothing allowance.</w:t>
            </w:r>
          </w:p>
        </w:tc>
        <w:tc>
          <w:tcPr>
            <w:tcW w:w="1418" w:type="dxa"/>
          </w:tcPr>
          <w:p w:rsidR="004074B5" w:rsidRPr="004074B5" w:rsidRDefault="004074B5" w:rsidP="004074B5">
            <w:pPr>
              <w:rPr>
                <w:lang w:val="en-GB"/>
              </w:rPr>
            </w:pPr>
            <w:r w:rsidRPr="004074B5">
              <w:rPr>
                <w:lang w:val="en-GB"/>
              </w:rPr>
              <w:t>No</w:t>
            </w:r>
          </w:p>
        </w:tc>
        <w:tc>
          <w:tcPr>
            <w:tcW w:w="6804" w:type="dxa"/>
          </w:tcPr>
          <w:p w:rsidR="004074B5" w:rsidRPr="004074B5" w:rsidRDefault="004074B5" w:rsidP="004074B5">
            <w:pPr>
              <w:rPr>
                <w:lang w:val="en-GB"/>
              </w:rPr>
            </w:pPr>
            <w:r w:rsidRPr="004074B5">
              <w:rPr>
                <w:lang w:val="en-GB"/>
              </w:rPr>
              <w:t xml:space="preserve">Parties have agreed to this amendment, however it has been referred to Full Bench for determination in accordance with </w:t>
            </w:r>
            <w:hyperlink r:id="rId20" w:history="1">
              <w:r w:rsidRPr="004074B5">
                <w:rPr>
                  <w:rStyle w:val="Hyperlink"/>
                  <w:lang w:val="en-GB"/>
                </w:rPr>
                <w:t>[2018] FWCFB 4175</w:t>
              </w:r>
            </w:hyperlink>
            <w:r w:rsidRPr="004074B5">
              <w:rPr>
                <w:lang w:val="en-GB"/>
              </w:rPr>
              <w:t xml:space="preserve"> at [11] – [12], on the basis that consideration must be given to the modern awards objective before the variation be made.</w:t>
            </w:r>
          </w:p>
        </w:tc>
      </w:tr>
      <w:tr w:rsidR="004074B5" w:rsidRPr="004074B5" w:rsidTr="00E67B61">
        <w:tc>
          <w:tcPr>
            <w:tcW w:w="475" w:type="dxa"/>
          </w:tcPr>
          <w:p w:rsidR="004074B5" w:rsidRPr="004074B5" w:rsidRDefault="004074B5" w:rsidP="004074B5">
            <w:pPr>
              <w:rPr>
                <w:lang w:val="en-GB"/>
              </w:rPr>
            </w:pPr>
            <w:r w:rsidRPr="004074B5">
              <w:rPr>
                <w:lang w:val="en-GB"/>
              </w:rPr>
              <w:t>12</w:t>
            </w:r>
          </w:p>
        </w:tc>
        <w:tc>
          <w:tcPr>
            <w:tcW w:w="5479" w:type="dxa"/>
          </w:tcPr>
          <w:p w:rsidR="004074B5" w:rsidRPr="004074B5" w:rsidRDefault="004074B5" w:rsidP="004074B5">
            <w:pPr>
              <w:rPr>
                <w:lang w:val="en-GB"/>
              </w:rPr>
            </w:pPr>
            <w:proofErr w:type="gramStart"/>
            <w:r w:rsidRPr="004074B5">
              <w:rPr>
                <w:lang w:val="en-GB"/>
              </w:rPr>
              <w:t>Clause 12 of the Amended Draft Determination - insertion of new blood check</w:t>
            </w:r>
            <w:proofErr w:type="gramEnd"/>
            <w:r w:rsidRPr="004074B5">
              <w:rPr>
                <w:lang w:val="en-GB"/>
              </w:rPr>
              <w:t xml:space="preserve"> allowance.</w:t>
            </w:r>
          </w:p>
        </w:tc>
        <w:tc>
          <w:tcPr>
            <w:tcW w:w="1418" w:type="dxa"/>
          </w:tcPr>
          <w:p w:rsidR="004074B5" w:rsidRPr="004074B5" w:rsidRDefault="004074B5" w:rsidP="004074B5">
            <w:pPr>
              <w:rPr>
                <w:lang w:val="en-GB"/>
              </w:rPr>
            </w:pPr>
            <w:r w:rsidRPr="004074B5">
              <w:rPr>
                <w:lang w:val="en-GB"/>
              </w:rPr>
              <w:t>No</w:t>
            </w:r>
          </w:p>
        </w:tc>
        <w:tc>
          <w:tcPr>
            <w:tcW w:w="6804" w:type="dxa"/>
          </w:tcPr>
          <w:p w:rsidR="004074B5" w:rsidRPr="004074B5" w:rsidRDefault="004074B5" w:rsidP="004074B5">
            <w:pPr>
              <w:rPr>
                <w:lang w:val="en-GB"/>
              </w:rPr>
            </w:pPr>
            <w:r w:rsidRPr="004074B5">
              <w:rPr>
                <w:lang w:val="en-GB"/>
              </w:rPr>
              <w:t xml:space="preserve">Parties have agreed to this amendment, however it has been referred to Full Bench for determination in accordance with </w:t>
            </w:r>
            <w:hyperlink r:id="rId21" w:history="1">
              <w:r w:rsidRPr="004074B5">
                <w:rPr>
                  <w:rStyle w:val="Hyperlink"/>
                  <w:lang w:val="en-GB"/>
                </w:rPr>
                <w:t>[2018] FWCFB 4175</w:t>
              </w:r>
            </w:hyperlink>
            <w:r w:rsidRPr="004074B5">
              <w:rPr>
                <w:lang w:val="en-GB"/>
              </w:rPr>
              <w:t xml:space="preserve"> at [11] – [12], on the basis that consideration must be given to the modern awards objective before the variation be made.</w:t>
            </w:r>
          </w:p>
        </w:tc>
      </w:tr>
      <w:tr w:rsidR="004074B5" w:rsidRPr="004074B5" w:rsidTr="00E67B61">
        <w:tc>
          <w:tcPr>
            <w:tcW w:w="475" w:type="dxa"/>
          </w:tcPr>
          <w:p w:rsidR="004074B5" w:rsidRPr="004074B5" w:rsidRDefault="004074B5" w:rsidP="004074B5">
            <w:pPr>
              <w:rPr>
                <w:lang w:val="en-GB"/>
              </w:rPr>
            </w:pPr>
            <w:r w:rsidRPr="004074B5">
              <w:rPr>
                <w:lang w:val="en-GB"/>
              </w:rPr>
              <w:t>13</w:t>
            </w:r>
          </w:p>
        </w:tc>
        <w:tc>
          <w:tcPr>
            <w:tcW w:w="5479" w:type="dxa"/>
          </w:tcPr>
          <w:p w:rsidR="004074B5" w:rsidRPr="004074B5" w:rsidRDefault="004074B5" w:rsidP="004074B5">
            <w:pPr>
              <w:rPr>
                <w:lang w:val="en-GB"/>
              </w:rPr>
            </w:pPr>
            <w:r w:rsidRPr="004074B5">
              <w:rPr>
                <w:lang w:val="en-GB"/>
              </w:rPr>
              <w:t>Clause 13 of the Amended Draft Determination - insertion of new telephone allowance.</w:t>
            </w:r>
          </w:p>
        </w:tc>
        <w:tc>
          <w:tcPr>
            <w:tcW w:w="1418" w:type="dxa"/>
          </w:tcPr>
          <w:p w:rsidR="004074B5" w:rsidRPr="004074B5" w:rsidRDefault="004074B5" w:rsidP="004074B5">
            <w:pPr>
              <w:rPr>
                <w:lang w:val="en-GB"/>
              </w:rPr>
            </w:pPr>
            <w:r w:rsidRPr="004074B5">
              <w:rPr>
                <w:lang w:val="en-GB"/>
              </w:rPr>
              <w:t>No</w:t>
            </w:r>
          </w:p>
        </w:tc>
        <w:tc>
          <w:tcPr>
            <w:tcW w:w="6804" w:type="dxa"/>
          </w:tcPr>
          <w:p w:rsidR="004074B5" w:rsidRPr="004074B5" w:rsidRDefault="004074B5" w:rsidP="004074B5">
            <w:pPr>
              <w:rPr>
                <w:lang w:val="en-GB"/>
              </w:rPr>
            </w:pPr>
            <w:r w:rsidRPr="004074B5">
              <w:rPr>
                <w:lang w:val="en-GB"/>
              </w:rPr>
              <w:t xml:space="preserve">Parties have agreed to this amendment, however it has been referred to Full Bench for determination in accordance with </w:t>
            </w:r>
            <w:hyperlink r:id="rId22" w:history="1">
              <w:r w:rsidRPr="004074B5">
                <w:rPr>
                  <w:rStyle w:val="Hyperlink"/>
                  <w:lang w:val="en-GB"/>
                </w:rPr>
                <w:t>[2018] FWCFB 4175</w:t>
              </w:r>
            </w:hyperlink>
            <w:r w:rsidRPr="004074B5">
              <w:rPr>
                <w:lang w:val="en-GB"/>
              </w:rPr>
              <w:t xml:space="preserve"> at [11] – [12], on the basis that consideration must be given to the modern awards objective before the variation be made.</w:t>
            </w:r>
          </w:p>
        </w:tc>
      </w:tr>
      <w:tr w:rsidR="004074B5" w:rsidRPr="004074B5" w:rsidTr="00E67B61">
        <w:tc>
          <w:tcPr>
            <w:tcW w:w="475" w:type="dxa"/>
          </w:tcPr>
          <w:p w:rsidR="004074B5" w:rsidRPr="004074B5" w:rsidRDefault="004074B5" w:rsidP="004074B5">
            <w:pPr>
              <w:rPr>
                <w:lang w:val="en-GB"/>
              </w:rPr>
            </w:pPr>
            <w:r w:rsidRPr="004074B5">
              <w:rPr>
                <w:lang w:val="en-GB"/>
              </w:rPr>
              <w:t>14</w:t>
            </w:r>
          </w:p>
        </w:tc>
        <w:tc>
          <w:tcPr>
            <w:tcW w:w="5479" w:type="dxa"/>
          </w:tcPr>
          <w:p w:rsidR="004074B5" w:rsidRPr="004074B5" w:rsidRDefault="004074B5" w:rsidP="004074B5">
            <w:pPr>
              <w:rPr>
                <w:lang w:val="en-GB"/>
              </w:rPr>
            </w:pPr>
            <w:r w:rsidRPr="004074B5">
              <w:rPr>
                <w:lang w:val="en-GB"/>
              </w:rPr>
              <w:t>Clause 14 of the Amended Draft Determination - insertion of new nauseous work allowance.</w:t>
            </w:r>
          </w:p>
        </w:tc>
        <w:tc>
          <w:tcPr>
            <w:tcW w:w="1418" w:type="dxa"/>
          </w:tcPr>
          <w:p w:rsidR="004074B5" w:rsidRPr="004074B5" w:rsidRDefault="004074B5" w:rsidP="004074B5">
            <w:pPr>
              <w:rPr>
                <w:lang w:val="en-GB"/>
              </w:rPr>
            </w:pPr>
            <w:r w:rsidRPr="004074B5">
              <w:rPr>
                <w:lang w:val="en-GB"/>
              </w:rPr>
              <w:t>No</w:t>
            </w:r>
          </w:p>
        </w:tc>
        <w:tc>
          <w:tcPr>
            <w:tcW w:w="6804" w:type="dxa"/>
          </w:tcPr>
          <w:p w:rsidR="004074B5" w:rsidRPr="004074B5" w:rsidRDefault="004074B5" w:rsidP="004074B5">
            <w:pPr>
              <w:rPr>
                <w:lang w:val="en-GB"/>
              </w:rPr>
            </w:pPr>
            <w:r w:rsidRPr="004074B5">
              <w:rPr>
                <w:lang w:val="en-GB"/>
              </w:rPr>
              <w:t xml:space="preserve">Parties have agreed to this amendment, however it has been referred to Full Bench for determination in accordance with </w:t>
            </w:r>
            <w:hyperlink r:id="rId23" w:history="1">
              <w:r w:rsidRPr="004074B5">
                <w:rPr>
                  <w:rStyle w:val="Hyperlink"/>
                  <w:lang w:val="en-GB"/>
                </w:rPr>
                <w:t>[2018] FWCFB 4175</w:t>
              </w:r>
            </w:hyperlink>
            <w:r w:rsidRPr="004074B5">
              <w:rPr>
                <w:lang w:val="en-GB"/>
              </w:rPr>
              <w:t xml:space="preserve"> at [11] – [12], on the basis that consideration must be given to the modern awards objective before the variation be made.</w:t>
            </w:r>
          </w:p>
        </w:tc>
      </w:tr>
      <w:tr w:rsidR="004074B5" w:rsidRPr="004074B5" w:rsidTr="00E67B61">
        <w:tc>
          <w:tcPr>
            <w:tcW w:w="475" w:type="dxa"/>
          </w:tcPr>
          <w:p w:rsidR="004074B5" w:rsidRPr="004074B5" w:rsidRDefault="004074B5" w:rsidP="004074B5">
            <w:pPr>
              <w:rPr>
                <w:lang w:val="en-GB"/>
              </w:rPr>
            </w:pPr>
            <w:r w:rsidRPr="004074B5">
              <w:rPr>
                <w:lang w:val="en-GB"/>
              </w:rPr>
              <w:t>15</w:t>
            </w:r>
          </w:p>
        </w:tc>
        <w:tc>
          <w:tcPr>
            <w:tcW w:w="5479" w:type="dxa"/>
          </w:tcPr>
          <w:p w:rsidR="004074B5" w:rsidRPr="004074B5" w:rsidRDefault="004074B5" w:rsidP="004074B5">
            <w:pPr>
              <w:rPr>
                <w:lang w:val="en-GB"/>
              </w:rPr>
            </w:pPr>
            <w:r w:rsidRPr="004074B5">
              <w:rPr>
                <w:lang w:val="en-GB"/>
              </w:rPr>
              <w:t>Clause 15 of the Amended Draft Determination - insertion of new heat allowance.</w:t>
            </w:r>
          </w:p>
        </w:tc>
        <w:tc>
          <w:tcPr>
            <w:tcW w:w="1418" w:type="dxa"/>
          </w:tcPr>
          <w:p w:rsidR="004074B5" w:rsidRPr="004074B5" w:rsidRDefault="004074B5" w:rsidP="004074B5">
            <w:pPr>
              <w:rPr>
                <w:lang w:val="en-GB"/>
              </w:rPr>
            </w:pPr>
            <w:r w:rsidRPr="004074B5">
              <w:rPr>
                <w:lang w:val="en-GB"/>
              </w:rPr>
              <w:t>No</w:t>
            </w:r>
          </w:p>
        </w:tc>
        <w:tc>
          <w:tcPr>
            <w:tcW w:w="6804" w:type="dxa"/>
          </w:tcPr>
          <w:p w:rsidR="004074B5" w:rsidRPr="004074B5" w:rsidRDefault="004074B5" w:rsidP="004074B5">
            <w:pPr>
              <w:rPr>
                <w:lang w:val="en-GB"/>
              </w:rPr>
            </w:pPr>
            <w:r w:rsidRPr="004074B5">
              <w:rPr>
                <w:lang w:val="en-GB"/>
              </w:rPr>
              <w:t xml:space="preserve">Not amended in accordance with </w:t>
            </w:r>
            <w:hyperlink r:id="rId24" w:anchor="P374_11220" w:history="1">
              <w:r w:rsidRPr="004074B5">
                <w:rPr>
                  <w:rStyle w:val="Hyperlink"/>
                  <w:lang w:val="en-GB"/>
                </w:rPr>
                <w:t>[2018] FWCFB 1548</w:t>
              </w:r>
            </w:hyperlink>
            <w:r w:rsidRPr="004074B5">
              <w:rPr>
                <w:lang w:val="en-GB"/>
              </w:rPr>
              <w:t xml:space="preserve"> at [11] – No agreement between parties.</w:t>
            </w:r>
          </w:p>
        </w:tc>
      </w:tr>
      <w:tr w:rsidR="004074B5" w:rsidRPr="004074B5" w:rsidTr="00E67B61">
        <w:tc>
          <w:tcPr>
            <w:tcW w:w="475" w:type="dxa"/>
          </w:tcPr>
          <w:p w:rsidR="004074B5" w:rsidRPr="004074B5" w:rsidRDefault="004074B5" w:rsidP="004074B5">
            <w:pPr>
              <w:rPr>
                <w:lang w:val="en-GB"/>
              </w:rPr>
            </w:pPr>
            <w:r w:rsidRPr="004074B5">
              <w:rPr>
                <w:lang w:val="en-GB"/>
              </w:rPr>
              <w:t>16</w:t>
            </w:r>
          </w:p>
        </w:tc>
        <w:tc>
          <w:tcPr>
            <w:tcW w:w="5479" w:type="dxa"/>
          </w:tcPr>
          <w:p w:rsidR="004074B5" w:rsidRPr="004074B5" w:rsidRDefault="004074B5" w:rsidP="004074B5">
            <w:pPr>
              <w:rPr>
                <w:lang w:val="en-GB"/>
              </w:rPr>
            </w:pPr>
            <w:r w:rsidRPr="004074B5">
              <w:rPr>
                <w:lang w:val="en-GB"/>
              </w:rPr>
              <w:t>Clause 16 of the Amended Draft Determination - insertion of new isolation allowance.</w:t>
            </w:r>
          </w:p>
        </w:tc>
        <w:tc>
          <w:tcPr>
            <w:tcW w:w="1418" w:type="dxa"/>
          </w:tcPr>
          <w:p w:rsidR="004074B5" w:rsidRPr="004074B5" w:rsidRDefault="004074B5" w:rsidP="004074B5">
            <w:pPr>
              <w:rPr>
                <w:lang w:val="en-GB"/>
              </w:rPr>
            </w:pPr>
            <w:r w:rsidRPr="004074B5">
              <w:rPr>
                <w:lang w:val="en-GB"/>
              </w:rPr>
              <w:t>No</w:t>
            </w:r>
          </w:p>
        </w:tc>
        <w:tc>
          <w:tcPr>
            <w:tcW w:w="6804" w:type="dxa"/>
          </w:tcPr>
          <w:p w:rsidR="004074B5" w:rsidRPr="004074B5" w:rsidRDefault="004074B5" w:rsidP="004074B5">
            <w:pPr>
              <w:rPr>
                <w:lang w:val="en-GB"/>
              </w:rPr>
            </w:pPr>
            <w:r w:rsidRPr="004074B5">
              <w:rPr>
                <w:lang w:val="en-GB"/>
              </w:rPr>
              <w:t xml:space="preserve">Not amended in accordance with </w:t>
            </w:r>
            <w:hyperlink r:id="rId25" w:anchor="P374_11220" w:history="1">
              <w:r w:rsidRPr="004074B5">
                <w:rPr>
                  <w:rStyle w:val="Hyperlink"/>
                  <w:lang w:val="en-GB"/>
                </w:rPr>
                <w:t>[2018] FWCFB 1548</w:t>
              </w:r>
            </w:hyperlink>
            <w:r w:rsidRPr="004074B5">
              <w:rPr>
                <w:lang w:val="en-GB"/>
              </w:rPr>
              <w:t xml:space="preserve"> at [11] – No agreement between parties.</w:t>
            </w:r>
          </w:p>
        </w:tc>
      </w:tr>
      <w:tr w:rsidR="004074B5" w:rsidRPr="004074B5" w:rsidTr="00E67B61">
        <w:tc>
          <w:tcPr>
            <w:tcW w:w="475" w:type="dxa"/>
          </w:tcPr>
          <w:p w:rsidR="004074B5" w:rsidRPr="004074B5" w:rsidRDefault="004074B5" w:rsidP="004074B5">
            <w:pPr>
              <w:rPr>
                <w:lang w:val="en-GB"/>
              </w:rPr>
            </w:pPr>
            <w:r w:rsidRPr="004074B5">
              <w:rPr>
                <w:lang w:val="en-GB"/>
              </w:rPr>
              <w:lastRenderedPageBreak/>
              <w:t>17</w:t>
            </w:r>
          </w:p>
        </w:tc>
        <w:tc>
          <w:tcPr>
            <w:tcW w:w="5479" w:type="dxa"/>
          </w:tcPr>
          <w:p w:rsidR="004074B5" w:rsidRPr="004074B5" w:rsidRDefault="004074B5" w:rsidP="004074B5">
            <w:pPr>
              <w:rPr>
                <w:lang w:val="en-GB"/>
              </w:rPr>
            </w:pPr>
            <w:r w:rsidRPr="004074B5">
              <w:rPr>
                <w:lang w:val="en-GB"/>
              </w:rPr>
              <w:t>Clause 17 of the Amended Draft Determination - insertion of new medication administration allowance.</w:t>
            </w:r>
          </w:p>
        </w:tc>
        <w:tc>
          <w:tcPr>
            <w:tcW w:w="1418" w:type="dxa"/>
          </w:tcPr>
          <w:p w:rsidR="004074B5" w:rsidRPr="004074B5" w:rsidRDefault="004074B5" w:rsidP="004074B5">
            <w:pPr>
              <w:rPr>
                <w:lang w:val="en-GB"/>
              </w:rPr>
            </w:pPr>
            <w:r w:rsidRPr="004074B5">
              <w:rPr>
                <w:lang w:val="en-GB"/>
              </w:rPr>
              <w:t>No</w:t>
            </w:r>
          </w:p>
        </w:tc>
        <w:tc>
          <w:tcPr>
            <w:tcW w:w="6804" w:type="dxa"/>
          </w:tcPr>
          <w:p w:rsidR="004074B5" w:rsidRPr="004074B5" w:rsidRDefault="004074B5" w:rsidP="004074B5">
            <w:pPr>
              <w:rPr>
                <w:lang w:val="en-GB"/>
              </w:rPr>
            </w:pPr>
            <w:r w:rsidRPr="004074B5">
              <w:rPr>
                <w:lang w:val="en-GB"/>
              </w:rPr>
              <w:t xml:space="preserve">Not amended in accordance with </w:t>
            </w:r>
            <w:hyperlink r:id="rId26" w:anchor="P374_11220" w:history="1">
              <w:r w:rsidRPr="004074B5">
                <w:rPr>
                  <w:rStyle w:val="Hyperlink"/>
                  <w:lang w:val="en-GB"/>
                </w:rPr>
                <w:t>[2018] FWCFB 1548</w:t>
              </w:r>
            </w:hyperlink>
            <w:r w:rsidRPr="004074B5">
              <w:rPr>
                <w:lang w:val="en-GB"/>
              </w:rPr>
              <w:t xml:space="preserve"> at [11] – No agreement between parties.</w:t>
            </w:r>
          </w:p>
          <w:p w:rsidR="004074B5" w:rsidRPr="004074B5" w:rsidRDefault="004074B5" w:rsidP="004074B5">
            <w:pPr>
              <w:rPr>
                <w:lang w:val="en-GB"/>
              </w:rPr>
            </w:pPr>
          </w:p>
          <w:p w:rsidR="004074B5" w:rsidRPr="004074B5" w:rsidRDefault="004074B5" w:rsidP="004074B5">
            <w:pPr>
              <w:rPr>
                <w:lang w:val="en-GB"/>
              </w:rPr>
            </w:pPr>
            <w:r w:rsidRPr="004074B5">
              <w:rPr>
                <w:lang w:val="en-GB"/>
              </w:rPr>
              <w:t>The Report states that AFEI and ABI do not support the proposal of NATSIHWA regarding proposed occasional interpreting allowance, heat allowance and medication administration allowance. If parties cannot agree, the Full Bench will need to determine this matter (Item 7).</w:t>
            </w:r>
          </w:p>
        </w:tc>
      </w:tr>
      <w:tr w:rsidR="004074B5" w:rsidRPr="004074B5" w:rsidTr="00E67B61">
        <w:tc>
          <w:tcPr>
            <w:tcW w:w="475" w:type="dxa"/>
          </w:tcPr>
          <w:p w:rsidR="004074B5" w:rsidRPr="004074B5" w:rsidRDefault="004074B5" w:rsidP="004074B5">
            <w:pPr>
              <w:rPr>
                <w:lang w:val="en-GB"/>
              </w:rPr>
            </w:pPr>
            <w:r w:rsidRPr="004074B5">
              <w:rPr>
                <w:lang w:val="en-GB"/>
              </w:rPr>
              <w:t>18</w:t>
            </w:r>
          </w:p>
        </w:tc>
        <w:tc>
          <w:tcPr>
            <w:tcW w:w="5479" w:type="dxa"/>
          </w:tcPr>
          <w:p w:rsidR="004074B5" w:rsidRPr="004074B5" w:rsidRDefault="004074B5" w:rsidP="004074B5">
            <w:pPr>
              <w:rPr>
                <w:lang w:val="en-GB"/>
              </w:rPr>
            </w:pPr>
            <w:r w:rsidRPr="004074B5">
              <w:rPr>
                <w:lang w:val="en-GB"/>
              </w:rPr>
              <w:t>Clause 18 of the Amended Draft Determination - amended ceremonial leave clause to include bereavement related ceremony.</w:t>
            </w:r>
          </w:p>
        </w:tc>
        <w:tc>
          <w:tcPr>
            <w:tcW w:w="1418" w:type="dxa"/>
          </w:tcPr>
          <w:p w:rsidR="004074B5" w:rsidRPr="004074B5" w:rsidRDefault="004074B5" w:rsidP="004074B5">
            <w:pPr>
              <w:rPr>
                <w:lang w:val="en-GB"/>
              </w:rPr>
            </w:pPr>
            <w:r w:rsidRPr="004074B5">
              <w:rPr>
                <w:lang w:val="en-GB"/>
              </w:rPr>
              <w:t>No</w:t>
            </w:r>
          </w:p>
        </w:tc>
        <w:tc>
          <w:tcPr>
            <w:tcW w:w="6804" w:type="dxa"/>
          </w:tcPr>
          <w:p w:rsidR="004074B5" w:rsidRPr="004074B5" w:rsidRDefault="004074B5" w:rsidP="004074B5">
            <w:pPr>
              <w:rPr>
                <w:lang w:val="en-GB"/>
              </w:rPr>
            </w:pPr>
            <w:r w:rsidRPr="004074B5">
              <w:rPr>
                <w:lang w:val="en-GB"/>
              </w:rPr>
              <w:t xml:space="preserve">Items related to ceremonial leave referred to Full Bench for consideration (see </w:t>
            </w:r>
            <w:hyperlink r:id="rId27" w:history="1">
              <w:r w:rsidRPr="004074B5">
                <w:rPr>
                  <w:rStyle w:val="Hyperlink"/>
                  <w:lang w:val="en-GB"/>
                </w:rPr>
                <w:t>[2018] FWCFB 4175</w:t>
              </w:r>
            </w:hyperlink>
            <w:r w:rsidRPr="004074B5">
              <w:rPr>
                <w:lang w:val="en-GB"/>
              </w:rPr>
              <w:t xml:space="preserve"> at [16] and [18]). </w:t>
            </w:r>
          </w:p>
        </w:tc>
      </w:tr>
      <w:tr w:rsidR="004074B5" w:rsidRPr="004074B5" w:rsidTr="00E67B61">
        <w:tc>
          <w:tcPr>
            <w:tcW w:w="475" w:type="dxa"/>
          </w:tcPr>
          <w:p w:rsidR="004074B5" w:rsidRPr="004074B5" w:rsidRDefault="004074B5" w:rsidP="004074B5">
            <w:pPr>
              <w:rPr>
                <w:lang w:val="en-GB"/>
              </w:rPr>
            </w:pPr>
            <w:r w:rsidRPr="004074B5">
              <w:rPr>
                <w:lang w:val="en-GB"/>
              </w:rPr>
              <w:t>19</w:t>
            </w:r>
          </w:p>
        </w:tc>
        <w:tc>
          <w:tcPr>
            <w:tcW w:w="5479" w:type="dxa"/>
          </w:tcPr>
          <w:p w:rsidR="004074B5" w:rsidRPr="004074B5" w:rsidRDefault="004074B5" w:rsidP="004074B5">
            <w:pPr>
              <w:rPr>
                <w:lang w:val="en-GB"/>
              </w:rPr>
            </w:pPr>
            <w:r w:rsidRPr="004074B5">
              <w:rPr>
                <w:lang w:val="en-GB"/>
              </w:rPr>
              <w:t xml:space="preserve">Clause 19 of the Amended Draft Determination - insertion of revised Schedule B – Classification Definitions – Aboriginal and/or Torres Strait Islander Health Workers. </w:t>
            </w:r>
          </w:p>
        </w:tc>
        <w:tc>
          <w:tcPr>
            <w:tcW w:w="1418" w:type="dxa"/>
          </w:tcPr>
          <w:p w:rsidR="004074B5" w:rsidRPr="004074B5" w:rsidRDefault="004074B5" w:rsidP="004074B5">
            <w:pPr>
              <w:rPr>
                <w:lang w:val="en-GB"/>
              </w:rPr>
            </w:pPr>
            <w:r w:rsidRPr="004074B5">
              <w:rPr>
                <w:lang w:val="en-GB"/>
              </w:rPr>
              <w:t>No</w:t>
            </w:r>
          </w:p>
        </w:tc>
        <w:tc>
          <w:tcPr>
            <w:tcW w:w="6804" w:type="dxa"/>
          </w:tcPr>
          <w:p w:rsidR="004074B5" w:rsidRPr="004074B5" w:rsidRDefault="004074B5" w:rsidP="004074B5">
            <w:pPr>
              <w:rPr>
                <w:lang w:val="en-GB"/>
              </w:rPr>
            </w:pPr>
            <w:r w:rsidRPr="004074B5">
              <w:rPr>
                <w:lang w:val="en-GB"/>
              </w:rPr>
              <w:t xml:space="preserve">Agreement to classification definitions subject to agreement on classification structure. </w:t>
            </w:r>
          </w:p>
        </w:tc>
      </w:tr>
      <w:tr w:rsidR="004074B5" w:rsidRPr="004074B5" w:rsidTr="00E67B61">
        <w:trPr>
          <w:trHeight w:val="78"/>
        </w:trPr>
        <w:tc>
          <w:tcPr>
            <w:tcW w:w="475" w:type="dxa"/>
          </w:tcPr>
          <w:p w:rsidR="004074B5" w:rsidRPr="004074B5" w:rsidRDefault="004074B5" w:rsidP="004074B5">
            <w:pPr>
              <w:rPr>
                <w:lang w:val="en-GB"/>
              </w:rPr>
            </w:pPr>
            <w:r w:rsidRPr="004074B5">
              <w:rPr>
                <w:lang w:val="en-GB"/>
              </w:rPr>
              <w:t>20</w:t>
            </w:r>
          </w:p>
        </w:tc>
        <w:tc>
          <w:tcPr>
            <w:tcW w:w="5479" w:type="dxa"/>
          </w:tcPr>
          <w:p w:rsidR="004074B5" w:rsidRPr="004074B5" w:rsidRDefault="004074B5" w:rsidP="004074B5">
            <w:pPr>
              <w:rPr>
                <w:lang w:val="en-GB"/>
              </w:rPr>
            </w:pPr>
            <w:r w:rsidRPr="004074B5">
              <w:rPr>
                <w:lang w:val="en-GB"/>
              </w:rPr>
              <w:t>Clause 20 of the Amended Draft Determination - insertion of revised Schedule C – Classification Definitions – Community Controlled Health Services Employees.</w:t>
            </w:r>
          </w:p>
        </w:tc>
        <w:tc>
          <w:tcPr>
            <w:tcW w:w="1418" w:type="dxa"/>
          </w:tcPr>
          <w:p w:rsidR="004074B5" w:rsidRPr="004074B5" w:rsidRDefault="004074B5" w:rsidP="004074B5">
            <w:pPr>
              <w:rPr>
                <w:lang w:val="en-GB"/>
              </w:rPr>
            </w:pPr>
            <w:r w:rsidRPr="004074B5">
              <w:rPr>
                <w:lang w:val="en-GB"/>
              </w:rPr>
              <w:t>No</w:t>
            </w:r>
          </w:p>
        </w:tc>
        <w:tc>
          <w:tcPr>
            <w:tcW w:w="6804" w:type="dxa"/>
          </w:tcPr>
          <w:p w:rsidR="004074B5" w:rsidRPr="004074B5" w:rsidRDefault="004074B5" w:rsidP="004074B5">
            <w:pPr>
              <w:rPr>
                <w:lang w:val="en-GB"/>
              </w:rPr>
            </w:pPr>
            <w:r w:rsidRPr="004074B5">
              <w:rPr>
                <w:lang w:val="en-GB"/>
              </w:rPr>
              <w:t>Clause 20 of the Amended Draft Determination and Schedule B of the Exposure Draft are identical except that the classification definitions are set out in Schedule C of the Amended Draft Determination, rather than Schedule B as in the Exposure Draft.</w:t>
            </w:r>
          </w:p>
          <w:p w:rsidR="004074B5" w:rsidRPr="004074B5" w:rsidRDefault="004074B5" w:rsidP="004074B5">
            <w:pPr>
              <w:rPr>
                <w:lang w:val="en-GB"/>
              </w:rPr>
            </w:pPr>
          </w:p>
        </w:tc>
      </w:tr>
    </w:tbl>
    <w:p w:rsidR="00A07163" w:rsidRDefault="00A07163"/>
    <w:sectPr w:rsidR="00A07163" w:rsidSect="004074B5">
      <w:pgSz w:w="16838" w:h="11906" w:orient="landscape"/>
      <w:pgMar w:top="1440" w:right="1440" w:bottom="184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4B5" w:rsidRDefault="004074B5" w:rsidP="004074B5">
      <w:r>
        <w:separator/>
      </w:r>
    </w:p>
  </w:endnote>
  <w:endnote w:type="continuationSeparator" w:id="0">
    <w:p w:rsidR="004074B5" w:rsidRDefault="004074B5" w:rsidP="0040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4B5" w:rsidRDefault="004074B5" w:rsidP="004074B5">
      <w:r>
        <w:separator/>
      </w:r>
    </w:p>
  </w:footnote>
  <w:footnote w:type="continuationSeparator" w:id="0">
    <w:p w:rsidR="004074B5" w:rsidRDefault="004074B5" w:rsidP="0040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4B5" w:rsidRPr="00273F16" w:rsidRDefault="004074B5" w:rsidP="004074B5">
    <w:pPr>
      <w:pStyle w:val="Header"/>
      <w:jc w:val="center"/>
      <w:rPr>
        <w:i/>
        <w:iCs/>
      </w:rPr>
    </w:pPr>
    <w:r w:rsidRPr="00273F16">
      <w:rPr>
        <w:i/>
        <w:iCs/>
      </w:rPr>
      <w:t>Aide Memoir</w:t>
    </w:r>
    <w:r>
      <w:rPr>
        <w:i/>
        <w:iCs/>
      </w:rPr>
      <w:t xml:space="preserve"> – Prepared by NATSIHWA for the purpose of the directions conference on 4 April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85C54"/>
    <w:multiLevelType w:val="hybridMultilevel"/>
    <w:tmpl w:val="869EBBC2"/>
    <w:lvl w:ilvl="0" w:tplc="6C988B4A">
      <w:numFmt w:val="bullet"/>
      <w:lvlText w:val=""/>
      <w:lvlJc w:val="left"/>
      <w:pPr>
        <w:ind w:left="360" w:hanging="360"/>
      </w:pPr>
      <w:rPr>
        <w:rFonts w:ascii="Symbol" w:eastAsiaTheme="minorEastAsia"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B5"/>
    <w:rsid w:val="00057A83"/>
    <w:rsid w:val="004074B5"/>
    <w:rsid w:val="00941647"/>
    <w:rsid w:val="009D6386"/>
    <w:rsid w:val="00A07163"/>
    <w:rsid w:val="00B771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B5"/>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4B5"/>
    <w:rPr>
      <w:color w:val="0563C1"/>
      <w:u w:val="single"/>
    </w:rPr>
  </w:style>
  <w:style w:type="paragraph" w:styleId="Header">
    <w:name w:val="header"/>
    <w:basedOn w:val="Normal"/>
    <w:link w:val="HeaderChar"/>
    <w:uiPriority w:val="99"/>
    <w:unhideWhenUsed/>
    <w:rsid w:val="004074B5"/>
    <w:pPr>
      <w:tabs>
        <w:tab w:val="center" w:pos="4513"/>
        <w:tab w:val="right" w:pos="9026"/>
      </w:tabs>
    </w:pPr>
  </w:style>
  <w:style w:type="character" w:customStyle="1" w:styleId="HeaderChar">
    <w:name w:val="Header Char"/>
    <w:basedOn w:val="DefaultParagraphFont"/>
    <w:link w:val="Header"/>
    <w:uiPriority w:val="99"/>
    <w:rsid w:val="004074B5"/>
    <w:rPr>
      <w:rFonts w:ascii="Calibri" w:hAnsi="Calibri" w:cs="Times New Roman"/>
      <w:lang w:eastAsia="en-AU"/>
    </w:rPr>
  </w:style>
  <w:style w:type="paragraph" w:styleId="Footer">
    <w:name w:val="footer"/>
    <w:basedOn w:val="Normal"/>
    <w:link w:val="FooterChar"/>
    <w:uiPriority w:val="99"/>
    <w:unhideWhenUsed/>
    <w:rsid w:val="004074B5"/>
    <w:pPr>
      <w:tabs>
        <w:tab w:val="center" w:pos="4513"/>
        <w:tab w:val="right" w:pos="9026"/>
      </w:tabs>
    </w:pPr>
  </w:style>
  <w:style w:type="character" w:customStyle="1" w:styleId="FooterChar">
    <w:name w:val="Footer Char"/>
    <w:basedOn w:val="DefaultParagraphFont"/>
    <w:link w:val="Footer"/>
    <w:uiPriority w:val="99"/>
    <w:rsid w:val="004074B5"/>
    <w:rPr>
      <w:rFonts w:ascii="Calibri" w:hAnsi="Calibri" w:cs="Times New Roman"/>
      <w:lang w:eastAsia="en-AU"/>
    </w:rPr>
  </w:style>
  <w:style w:type="paragraph" w:styleId="BalloonText">
    <w:name w:val="Balloon Text"/>
    <w:basedOn w:val="Normal"/>
    <w:link w:val="BalloonTextChar"/>
    <w:uiPriority w:val="99"/>
    <w:semiHidden/>
    <w:unhideWhenUsed/>
    <w:rsid w:val="004074B5"/>
    <w:rPr>
      <w:rFonts w:ascii="Tahoma" w:hAnsi="Tahoma" w:cs="Tahoma"/>
      <w:sz w:val="16"/>
      <w:szCs w:val="16"/>
    </w:rPr>
  </w:style>
  <w:style w:type="character" w:customStyle="1" w:styleId="BalloonTextChar">
    <w:name w:val="Balloon Text Char"/>
    <w:basedOn w:val="DefaultParagraphFont"/>
    <w:link w:val="BalloonText"/>
    <w:uiPriority w:val="99"/>
    <w:semiHidden/>
    <w:rsid w:val="004074B5"/>
    <w:rPr>
      <w:rFonts w:ascii="Tahoma" w:hAnsi="Tahoma" w:cs="Tahoma"/>
      <w:sz w:val="16"/>
      <w:szCs w:val="16"/>
      <w:lang w:eastAsia="en-AU"/>
    </w:rPr>
  </w:style>
  <w:style w:type="table" w:styleId="TableGrid">
    <w:name w:val="Table Grid"/>
    <w:basedOn w:val="TableNormal"/>
    <w:uiPriority w:val="59"/>
    <w:rsid w:val="0040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B5"/>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4B5"/>
    <w:rPr>
      <w:color w:val="0563C1"/>
      <w:u w:val="single"/>
    </w:rPr>
  </w:style>
  <w:style w:type="paragraph" w:styleId="Header">
    <w:name w:val="header"/>
    <w:basedOn w:val="Normal"/>
    <w:link w:val="HeaderChar"/>
    <w:uiPriority w:val="99"/>
    <w:unhideWhenUsed/>
    <w:rsid w:val="004074B5"/>
    <w:pPr>
      <w:tabs>
        <w:tab w:val="center" w:pos="4513"/>
        <w:tab w:val="right" w:pos="9026"/>
      </w:tabs>
    </w:pPr>
  </w:style>
  <w:style w:type="character" w:customStyle="1" w:styleId="HeaderChar">
    <w:name w:val="Header Char"/>
    <w:basedOn w:val="DefaultParagraphFont"/>
    <w:link w:val="Header"/>
    <w:uiPriority w:val="99"/>
    <w:rsid w:val="004074B5"/>
    <w:rPr>
      <w:rFonts w:ascii="Calibri" w:hAnsi="Calibri" w:cs="Times New Roman"/>
      <w:lang w:eastAsia="en-AU"/>
    </w:rPr>
  </w:style>
  <w:style w:type="paragraph" w:styleId="Footer">
    <w:name w:val="footer"/>
    <w:basedOn w:val="Normal"/>
    <w:link w:val="FooterChar"/>
    <w:uiPriority w:val="99"/>
    <w:unhideWhenUsed/>
    <w:rsid w:val="004074B5"/>
    <w:pPr>
      <w:tabs>
        <w:tab w:val="center" w:pos="4513"/>
        <w:tab w:val="right" w:pos="9026"/>
      </w:tabs>
    </w:pPr>
  </w:style>
  <w:style w:type="character" w:customStyle="1" w:styleId="FooterChar">
    <w:name w:val="Footer Char"/>
    <w:basedOn w:val="DefaultParagraphFont"/>
    <w:link w:val="Footer"/>
    <w:uiPriority w:val="99"/>
    <w:rsid w:val="004074B5"/>
    <w:rPr>
      <w:rFonts w:ascii="Calibri" w:hAnsi="Calibri" w:cs="Times New Roman"/>
      <w:lang w:eastAsia="en-AU"/>
    </w:rPr>
  </w:style>
  <w:style w:type="paragraph" w:styleId="BalloonText">
    <w:name w:val="Balloon Text"/>
    <w:basedOn w:val="Normal"/>
    <w:link w:val="BalloonTextChar"/>
    <w:uiPriority w:val="99"/>
    <w:semiHidden/>
    <w:unhideWhenUsed/>
    <w:rsid w:val="004074B5"/>
    <w:rPr>
      <w:rFonts w:ascii="Tahoma" w:hAnsi="Tahoma" w:cs="Tahoma"/>
      <w:sz w:val="16"/>
      <w:szCs w:val="16"/>
    </w:rPr>
  </w:style>
  <w:style w:type="character" w:customStyle="1" w:styleId="BalloonTextChar">
    <w:name w:val="Balloon Text Char"/>
    <w:basedOn w:val="DefaultParagraphFont"/>
    <w:link w:val="BalloonText"/>
    <w:uiPriority w:val="99"/>
    <w:semiHidden/>
    <w:rsid w:val="004074B5"/>
    <w:rPr>
      <w:rFonts w:ascii="Tahoma" w:hAnsi="Tahoma" w:cs="Tahoma"/>
      <w:sz w:val="16"/>
      <w:szCs w:val="16"/>
      <w:lang w:eastAsia="en-AU"/>
    </w:rPr>
  </w:style>
  <w:style w:type="table" w:styleId="TableGrid">
    <w:name w:val="Table Grid"/>
    <w:basedOn w:val="TableNormal"/>
    <w:uiPriority w:val="59"/>
    <w:rsid w:val="0040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09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ew.Dean@kennedyslaw.com" TargetMode="External"/><Relationship Id="rId13" Type="http://schemas.openxmlformats.org/officeDocument/2006/relationships/hyperlink" Target="https://www.fwc.gov.au/documents/sites/awardsmodernfouryr/am2014250-summary-substantive-040917.pdf" TargetMode="External"/><Relationship Id="rId18" Type="http://schemas.openxmlformats.org/officeDocument/2006/relationships/hyperlink" Target="https://www.fwc.gov.au/documents/decisionssigned/html/2018fwcfb1548.htm" TargetMode="External"/><Relationship Id="rId26" Type="http://schemas.openxmlformats.org/officeDocument/2006/relationships/hyperlink" Target="https://www.fwc.gov.au/documents/decisionssigned/html/2018fwcfb1548.htm" TargetMode="External"/><Relationship Id="rId3" Type="http://schemas.microsoft.com/office/2007/relationships/stylesWithEffects" Target="stylesWithEffects.xml"/><Relationship Id="rId21" Type="http://schemas.openxmlformats.org/officeDocument/2006/relationships/hyperlink" Target="https://www.fwc.gov.au/documents/decisionssigned/html/2018fwcfb4175.htm" TargetMode="External"/><Relationship Id="rId7" Type="http://schemas.openxmlformats.org/officeDocument/2006/relationships/endnotes" Target="endnotes.xml"/><Relationship Id="rId12" Type="http://schemas.openxmlformats.org/officeDocument/2006/relationships/hyperlink" Target="https://www.fwc.gov.au/documents/sites/awardsmodernfouryr/am2014250-report-040917.pdf" TargetMode="External"/><Relationship Id="rId17" Type="http://schemas.openxmlformats.org/officeDocument/2006/relationships/hyperlink" Target="https://www.fwc.gov.au/documents/decisionssigned/html/2018fwcfb1548.htm" TargetMode="External"/><Relationship Id="rId25" Type="http://schemas.openxmlformats.org/officeDocument/2006/relationships/hyperlink" Target="https://www.fwc.gov.au/documents/decisionssigned/html/2018fwcfb1548.htm" TargetMode="External"/><Relationship Id="rId2" Type="http://schemas.openxmlformats.org/officeDocument/2006/relationships/styles" Target="styles.xml"/><Relationship Id="rId16" Type="http://schemas.openxmlformats.org/officeDocument/2006/relationships/hyperlink" Target="https://www.fwc.gov.au/documents/decisionssigned/html/2018fwcfb4175.htm" TargetMode="External"/><Relationship Id="rId20" Type="http://schemas.openxmlformats.org/officeDocument/2006/relationships/hyperlink" Target="https://www.fwc.gov.au/documents/decisionssigned/html/2018fwcfb4175.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wc.gov.au/documents/decisionssigned/html/2018fwcfb1548.htm" TargetMode="External"/><Relationship Id="rId24" Type="http://schemas.openxmlformats.org/officeDocument/2006/relationships/hyperlink" Target="https://www.fwc.gov.au/documents/decisionssigned/html/2018fwcfb1548.htm" TargetMode="External"/><Relationship Id="rId5" Type="http://schemas.openxmlformats.org/officeDocument/2006/relationships/webSettings" Target="webSettings.xml"/><Relationship Id="rId15" Type="http://schemas.openxmlformats.org/officeDocument/2006/relationships/hyperlink" Target="https://www.fwc.gov.au/documents/decisionssigned/html/2018fwcfb4175.htm" TargetMode="External"/><Relationship Id="rId23" Type="http://schemas.openxmlformats.org/officeDocument/2006/relationships/hyperlink" Target="https://www.fwc.gov.au/documents/decisionssigned/html/2018fwcfb4175.ht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fwc.gov.au/documents/decisionssigned/html/2018fwcfb1548.htm" TargetMode="External"/><Relationship Id="rId4" Type="http://schemas.openxmlformats.org/officeDocument/2006/relationships/settings" Target="settings.xml"/><Relationship Id="rId9" Type="http://schemas.openxmlformats.org/officeDocument/2006/relationships/hyperlink" Target="http://www.kennedyslaw.com" TargetMode="External"/><Relationship Id="rId14" Type="http://schemas.openxmlformats.org/officeDocument/2006/relationships/hyperlink" Target="https://www.fwc.gov.au/documents/decisionssigned/html/2018fwcfb4175.htm" TargetMode="External"/><Relationship Id="rId22" Type="http://schemas.openxmlformats.org/officeDocument/2006/relationships/hyperlink" Target="https://www.fwc.gov.au/documents/decisionssigned/html/2018fwcfb4175.htm" TargetMode="External"/><Relationship Id="rId27" Type="http://schemas.openxmlformats.org/officeDocument/2006/relationships/hyperlink" Target="https://www.fwc.gov.au/documents/decisionssigned/html/2018fwcfb417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Fair Work Commission</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 Work Australia</dc:creator>
  <cp:lastModifiedBy>COULSON, Helen</cp:lastModifiedBy>
  <cp:revision>2</cp:revision>
  <cp:lastPrinted>2019-04-03T22:52:00Z</cp:lastPrinted>
  <dcterms:created xsi:type="dcterms:W3CDTF">2019-04-03T22:51:00Z</dcterms:created>
  <dcterms:modified xsi:type="dcterms:W3CDTF">2019-04-03T23:01:00Z</dcterms:modified>
</cp:coreProperties>
</file>