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FA0606">
        <w:rPr>
          <w:rFonts w:cs="Arial"/>
          <w:color w:val="000000" w:themeColor="text1"/>
        </w:rPr>
        <w:t>Apr</w:t>
      </w:r>
      <w:r w:rsidR="00A31B98" w:rsidRPr="00A31B98">
        <w:rPr>
          <w:rFonts w:cs="Arial"/>
          <w:color w:val="000000" w:themeColor="text1"/>
        </w:rPr>
        <w:t>–</w:t>
      </w:r>
      <w:r w:rsidR="00FA0606">
        <w:rPr>
          <w:rFonts w:cs="Arial"/>
          <w:color w:val="000000" w:themeColor="text1"/>
        </w:rPr>
        <w:t>Jun</w:t>
      </w:r>
      <w:r w:rsidR="00A31B98" w:rsidRPr="00A31B98">
        <w:rPr>
          <w:rFonts w:cs="Arial"/>
          <w:color w:val="000000" w:themeColor="text1"/>
        </w:rPr>
        <w:t xml:space="preserve"> 201</w:t>
      </w:r>
      <w:r w:rsidR="0005799F">
        <w:rPr>
          <w:rFonts w:cs="Arial"/>
          <w:color w:val="000000" w:themeColor="text1"/>
        </w:rPr>
        <w:t>6</w:t>
      </w:r>
    </w:p>
    <w:p w:rsidR="004625D2" w:rsidRDefault="00FA0606" w:rsidP="004625D2">
      <w:pPr>
        <w:pStyle w:val="Headline2"/>
        <w:ind w:right="-286"/>
      </w:pPr>
      <w:r>
        <w:t>4th</w:t>
      </w:r>
      <w:r w:rsidR="004625D2">
        <w:t xml:space="preserve"> quarter 201</w:t>
      </w:r>
      <w:r w:rsidR="001634E6">
        <w:t>5</w:t>
      </w:r>
      <w:r w:rsidR="004625D2">
        <w:t>–1</w:t>
      </w:r>
      <w:r w:rsidR="001634E6">
        <w:t>6</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FA0606">
        <w:rPr>
          <w:rFonts w:cs="Arial"/>
        </w:rPr>
        <w:t>April 2016</w:t>
      </w:r>
      <w:r w:rsidR="00FA0606" w:rsidRPr="00AA0EA8">
        <w:rPr>
          <w:rFonts w:cs="Arial"/>
        </w:rPr>
        <w:t xml:space="preserve"> to </w:t>
      </w:r>
      <w:r w:rsidR="00FA0606">
        <w:rPr>
          <w:rFonts w:cs="Arial"/>
        </w:rPr>
        <w:t>30</w:t>
      </w:r>
      <w:r w:rsidR="00FA0606" w:rsidRPr="00AA0EA8">
        <w:rPr>
          <w:rFonts w:cs="Arial"/>
        </w:rPr>
        <w:t xml:space="preserve"> </w:t>
      </w:r>
      <w:r w:rsidR="00FA0606">
        <w:rPr>
          <w:rFonts w:cs="Arial"/>
        </w:rPr>
        <w:t xml:space="preserve">June </w:t>
      </w:r>
      <w:r w:rsidR="004625D2">
        <w:rPr>
          <w:rFonts w:cs="Arial"/>
        </w:rPr>
        <w:t>201</w:t>
      </w:r>
      <w:r w:rsidR="0005799F">
        <w:rPr>
          <w:rFonts w:cs="Arial"/>
        </w:rPr>
        <w:t>6</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840</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232</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5A24B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FA0606">
              <w:rPr>
                <w:rFonts w:cs="Arial"/>
                <w:color w:val="000000"/>
                <w:szCs w:val="20"/>
                <w:lang w:val="en-AU" w:eastAsia="en-AU"/>
              </w:rPr>
              <w:t>679</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ca</w:t>
            </w:r>
            <w:proofErr w:type="spellEnd"/>
            <w:r>
              <w:rPr>
                <w:rFonts w:cs="Arial"/>
                <w:color w:val="000000"/>
                <w:szCs w:val="20"/>
                <w:lang w:val="en-AU" w:eastAsia="en-AU"/>
              </w:rPr>
              <w:t>)</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4128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142.87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122</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E749F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A0606">
              <w:rPr>
                <w:rFonts w:cs="Arial"/>
                <w:color w:val="000000"/>
                <w:szCs w:val="20"/>
                <w:lang w:val="en-AU" w:eastAsia="en-AU"/>
              </w:rPr>
              <w:t>7</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FA060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664E50" w:rsidRDefault="00664E50" w:rsidP="00664E50">
      <w:pPr>
        <w:pStyle w:val="ListBullet1"/>
        <w:numPr>
          <w:ilvl w:val="0"/>
          <w:numId w:val="0"/>
        </w:numPr>
        <w:tabs>
          <w:tab w:val="left" w:pos="720"/>
        </w:tabs>
        <w:ind w:right="-2"/>
        <w:rPr>
          <w:rFonts w:cs="Arial"/>
          <w:sz w:val="18"/>
          <w:szCs w:val="18"/>
        </w:rPr>
      </w:pPr>
      <w:r w:rsidRPr="009167D6">
        <w:rPr>
          <w:rFonts w:cs="Arial"/>
          <w:sz w:val="18"/>
          <w:szCs w:val="18"/>
        </w:rPr>
        <w:t xml:space="preserve">If you have </w:t>
      </w:r>
      <w:proofErr w:type="gramStart"/>
      <w:r w:rsidRPr="009167D6">
        <w:rPr>
          <w:rFonts w:cs="Arial"/>
          <w:sz w:val="18"/>
          <w:szCs w:val="18"/>
        </w:rPr>
        <w:t>an inquiry about this report please</w:t>
      </w:r>
      <w:proofErr w:type="gramEnd"/>
      <w:r w:rsidRPr="009167D6">
        <w:rPr>
          <w:rFonts w:cs="Arial"/>
          <w:sz w:val="18"/>
          <w:szCs w:val="18"/>
        </w:rPr>
        <w:t xml:space="preserve"> </w:t>
      </w:r>
      <w:r>
        <w:rPr>
          <w:rFonts w:cs="Arial"/>
          <w:sz w:val="18"/>
          <w:szCs w:val="18"/>
        </w:rPr>
        <w:t xml:space="preserve">contact </w:t>
      </w:r>
      <w:r w:rsidR="00FA0606">
        <w:rPr>
          <w:rFonts w:cs="Arial"/>
          <w:sz w:val="18"/>
          <w:szCs w:val="18"/>
        </w:rPr>
        <w:t xml:space="preserve">Elisha Warren, Manager, Media and Communications. Phone 03 8656 </w:t>
      </w:r>
      <w:proofErr w:type="gramStart"/>
      <w:r w:rsidR="00FA0606">
        <w:rPr>
          <w:rFonts w:cs="Arial"/>
          <w:sz w:val="18"/>
          <w:szCs w:val="18"/>
        </w:rPr>
        <w:t xml:space="preserve">4848 </w:t>
      </w:r>
      <w:r>
        <w:rPr>
          <w:rFonts w:cs="Arial"/>
          <w:sz w:val="18"/>
          <w:szCs w:val="18"/>
        </w:rPr>
        <w:t xml:space="preserve"> </w:t>
      </w:r>
      <w:r w:rsidRPr="009167D6">
        <w:rPr>
          <w:rFonts w:cs="Arial"/>
          <w:sz w:val="18"/>
          <w:szCs w:val="18"/>
        </w:rPr>
        <w:t>or</w:t>
      </w:r>
      <w:proofErr w:type="gramEnd"/>
      <w:r w:rsidRPr="009167D6">
        <w:rPr>
          <w:rFonts w:cs="Arial"/>
          <w:sz w:val="18"/>
          <w:szCs w:val="18"/>
        </w:rPr>
        <w:t xml:space="preserve"> by email</w:t>
      </w:r>
      <w:r>
        <w:rPr>
          <w:rFonts w:cs="Arial"/>
          <w:sz w:val="18"/>
          <w:szCs w:val="18"/>
        </w:rPr>
        <w:t xml:space="preserve"> </w:t>
      </w:r>
      <w:hyperlink r:id="rId11" w:history="1">
        <w:r w:rsidRPr="004E1E7C">
          <w:rPr>
            <w:rStyle w:val="Hyperlink"/>
          </w:rPr>
          <w:t>communications@fwc.gov.au</w:t>
        </w:r>
      </w:hyperlink>
      <w:r>
        <w:t xml:space="preserve"> </w:t>
      </w: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38" w:rsidRDefault="00A50A38">
      <w:r>
        <w:separator/>
      </w:r>
    </w:p>
  </w:endnote>
  <w:endnote w:type="continuationSeparator" w:id="0">
    <w:p w:rsidR="00A50A38" w:rsidRDefault="00A5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C6" w:rsidRDefault="00547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5477C6">
    <w:pPr>
      <w:pStyle w:val="Footer"/>
      <w:pBdr>
        <w:top w:val="single" w:sz="6" w:space="1" w:color="auto"/>
      </w:pBdr>
      <w:tabs>
        <w:tab w:val="clear" w:pos="4320"/>
        <w:tab w:val="clear" w:pos="8640"/>
        <w:tab w:val="center"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w:t>
      </w:r>
      <w:bookmarkStart w:id="0" w:name="_GoBack"/>
      <w:bookmarkEnd w:id="0"/>
      <w:r w:rsidRPr="00884ED3">
        <w:rPr>
          <w:rStyle w:val="Hyperlink"/>
          <w:rFonts w:ascii="Arial" w:hAnsi="Arial" w:cs="Arial"/>
          <w:sz w:val="18"/>
          <w:szCs w:val="18"/>
        </w:rPr>
        <w:t>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5477C6">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5477C6">
      <w:rPr>
        <w:noProof/>
        <w:sz w:val="18"/>
        <w:szCs w:val="18"/>
      </w:rPr>
      <w:t>3</w:t>
    </w:r>
    <w:r w:rsidR="004E61BF"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5477C6">
    <w:pPr>
      <w:pStyle w:val="Footer"/>
      <w:pBdr>
        <w:top w:val="single" w:sz="6" w:space="1" w:color="auto"/>
      </w:pBdr>
      <w:tabs>
        <w:tab w:val="clear" w:pos="4320"/>
        <w:tab w:val="clear" w:pos="8640"/>
        <w:tab w:val="center"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5477C6">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5477C6">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38" w:rsidRDefault="00A50A38">
      <w:r>
        <w:separator/>
      </w:r>
    </w:p>
  </w:footnote>
  <w:footnote w:type="continuationSeparator" w:id="0">
    <w:p w:rsidR="00A50A38" w:rsidRDefault="00A50A38">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r w:rsidR="001E03C6">
        <w:rPr>
          <w:rFonts w:cs="Arial"/>
          <w:sz w:val="16"/>
          <w:szCs w:val="16"/>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A50A3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C6" w:rsidRDefault="00547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E03C6"/>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502B4C"/>
    <w:rsid w:val="005032CE"/>
    <w:rsid w:val="00513CB9"/>
    <w:rsid w:val="0051597E"/>
    <w:rsid w:val="00523021"/>
    <w:rsid w:val="00524A62"/>
    <w:rsid w:val="00526153"/>
    <w:rsid w:val="00526A89"/>
    <w:rsid w:val="00526FAB"/>
    <w:rsid w:val="00542B02"/>
    <w:rsid w:val="00542CD5"/>
    <w:rsid w:val="00544BF3"/>
    <w:rsid w:val="005477C6"/>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700"/>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0A38"/>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6F21"/>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C75C-DDF9-49F1-9871-D22DE4D8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3761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Apr–Jun 2016</dc:title>
  <dc:creator>Fair Work Commission</dc:creator>
  <cp:lastModifiedBy>PINE, Louise</cp:lastModifiedBy>
  <cp:revision>6</cp:revision>
  <cp:lastPrinted>2016-10-06T01:21:00Z</cp:lastPrinted>
  <dcterms:created xsi:type="dcterms:W3CDTF">2016-10-06T01:15:00Z</dcterms:created>
  <dcterms:modified xsi:type="dcterms:W3CDTF">2016-10-28T04:00:00Z</dcterms:modified>
</cp:coreProperties>
</file>