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bookmarkStart w:id="0" w:name="_GoBack"/>
      <w:bookmarkEnd w:id="0"/>
    </w:p>
    <w:p w14:paraId="574D0597" w14:textId="0C3EC27A"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D2133D">
        <w:t>Jan</w:t>
      </w:r>
      <w:r w:rsidR="00974231">
        <w:t>–</w:t>
      </w:r>
      <w:r w:rsidR="00D2133D">
        <w:t>Mar</w:t>
      </w:r>
      <w:r w:rsidR="0042041E">
        <w:t xml:space="preserve"> </w:t>
      </w:r>
      <w:r>
        <w:t>20</w:t>
      </w:r>
      <w:r w:rsidR="00D374B9">
        <w:t>2</w:t>
      </w:r>
      <w:r w:rsidR="00D2133D">
        <w:t>1</w:t>
      </w:r>
    </w:p>
    <w:p w14:paraId="40DC56C9" w14:textId="74920432" w:rsidR="00857D01" w:rsidRDefault="00D2133D" w:rsidP="00E73DA6">
      <w:pPr>
        <w:pStyle w:val="Heading2"/>
      </w:pPr>
      <w:r>
        <w:t>3r</w:t>
      </w:r>
      <w:r w:rsidR="000B42F7">
        <w:t>d</w:t>
      </w:r>
      <w:r w:rsidR="007E076F">
        <w:t xml:space="preserve"> </w:t>
      </w:r>
      <w:r w:rsidR="007E076F" w:rsidRPr="00E73DA6">
        <w:t>Quarter</w:t>
      </w:r>
      <w:r w:rsidR="007E076F">
        <w:t xml:space="preserve"> 20</w:t>
      </w:r>
      <w:r w:rsidR="00D374B9">
        <w:t>20</w:t>
      </w:r>
      <w:r w:rsidR="007E076F">
        <w:t>–</w:t>
      </w:r>
      <w:r w:rsidR="00C151CA">
        <w:t>2</w:t>
      </w:r>
      <w:r w:rsidR="00D374B9">
        <w:t>1</w:t>
      </w:r>
    </w:p>
    <w:p w14:paraId="5FFA2A32" w14:textId="5DBE4D7C"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C60884">
        <w:rPr>
          <w:rFonts w:cs="Arial"/>
        </w:rPr>
        <w:t xml:space="preserve">1 </w:t>
      </w:r>
      <w:r w:rsidR="00D2133D">
        <w:rPr>
          <w:rFonts w:cs="Arial"/>
        </w:rPr>
        <w:t>January</w:t>
      </w:r>
      <w:r w:rsidR="0042041E">
        <w:rPr>
          <w:rFonts w:cs="Arial"/>
        </w:rPr>
        <w:t xml:space="preserve"> </w:t>
      </w:r>
      <w:r w:rsidR="00BD3CB1">
        <w:rPr>
          <w:rFonts w:cs="Arial"/>
        </w:rPr>
        <w:t>20</w:t>
      </w:r>
      <w:r w:rsidR="00D374B9">
        <w:rPr>
          <w:rFonts w:cs="Arial"/>
        </w:rPr>
        <w:t>2</w:t>
      </w:r>
      <w:r w:rsidR="00D2133D">
        <w:rPr>
          <w:rFonts w:cs="Arial"/>
        </w:rPr>
        <w:t>1</w:t>
      </w:r>
      <w:r w:rsidR="00B274C8">
        <w:rPr>
          <w:rFonts w:cs="Arial"/>
        </w:rPr>
        <w:t xml:space="preserve"> </w:t>
      </w:r>
      <w:r w:rsidR="00C60884">
        <w:rPr>
          <w:rFonts w:cs="Arial"/>
        </w:rPr>
        <w:t xml:space="preserve">to </w:t>
      </w:r>
      <w:r w:rsidR="003D7603">
        <w:rPr>
          <w:rFonts w:cs="Arial"/>
        </w:rPr>
        <w:t>3</w:t>
      </w:r>
      <w:r w:rsidR="000B42F7">
        <w:rPr>
          <w:rFonts w:cs="Arial"/>
        </w:rPr>
        <w:t>1</w:t>
      </w:r>
      <w:r w:rsidR="003D7603">
        <w:rPr>
          <w:rFonts w:cs="Arial"/>
        </w:rPr>
        <w:t xml:space="preserve"> </w:t>
      </w:r>
      <w:r w:rsidR="00D2133D">
        <w:rPr>
          <w:rFonts w:cs="Arial"/>
        </w:rPr>
        <w:t>March</w:t>
      </w:r>
      <w:r w:rsidR="0042041E">
        <w:rPr>
          <w:rFonts w:cs="Arial"/>
        </w:rPr>
        <w:t xml:space="preserve"> </w:t>
      </w:r>
      <w:r w:rsidR="00A96655">
        <w:rPr>
          <w:rFonts w:cs="Arial"/>
        </w:rPr>
        <w:t>20</w:t>
      </w:r>
      <w:r w:rsidR="00D374B9">
        <w:rPr>
          <w:rFonts w:cs="Arial"/>
        </w:rPr>
        <w:t>2</w:t>
      </w:r>
      <w:r w:rsidR="00D2133D">
        <w:rPr>
          <w:rFonts w:cs="Arial"/>
        </w:rPr>
        <w:t>1</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6A3A3EAE" w:rsidR="005D5873" w:rsidRPr="00AA6EEB" w:rsidRDefault="00D2133D"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180</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24FCE8B8" w:rsidR="005D5873" w:rsidRPr="00AA6EEB" w:rsidRDefault="00D2133D"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180</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27411554" w:rsidR="005D5873" w:rsidRDefault="00AE051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18940B92" w:rsidR="005D5873" w:rsidRDefault="00026A4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04C5EBF3" w:rsidR="005D5873" w:rsidRDefault="00AE0518"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63</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6ED2FF7A" w:rsidR="005D5873" w:rsidRDefault="00AE051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25</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2F1D3CA2" w:rsidR="005D5873" w:rsidRDefault="00AE051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56</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682A2565" w:rsidR="005D5873" w:rsidRPr="00995776" w:rsidRDefault="00AE051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26</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21A7F7B4" w:rsidR="005D5873" w:rsidRPr="00C012AF" w:rsidRDefault="00026A4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AE0518">
              <w:rPr>
                <w:rFonts w:cs="Arial"/>
                <w:color w:val="000000"/>
                <w:szCs w:val="20"/>
                <w:lang w:val="en-AU" w:eastAsia="en-AU"/>
              </w:rPr>
              <w:t>6</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70AFB36B" w:rsidR="00F62801" w:rsidRPr="00F71791" w:rsidRDefault="00026A42"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AE0518">
              <w:rPr>
                <w:rFonts w:cs="Arial"/>
                <w:b/>
                <w:color w:val="000000"/>
                <w:szCs w:val="20"/>
                <w:lang w:val="en-AU" w:eastAsia="en-AU"/>
              </w:rPr>
              <w:t>4</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16218161" w:rsidR="00F62801" w:rsidRPr="00C012AF" w:rsidRDefault="00AE051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5D1E1505" w:rsidR="00F62801" w:rsidRPr="00C012AF" w:rsidRDefault="00EF5D33"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AE0518">
              <w:rPr>
                <w:rFonts w:cs="Arial"/>
                <w:color w:val="000000"/>
                <w:szCs w:val="20"/>
                <w:lang w:val="en-AU" w:eastAsia="en-AU"/>
              </w:rPr>
              <w:t>3</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7DB40C9F" w:rsidR="00F62801" w:rsidRPr="00AA6EEB" w:rsidRDefault="00AE051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7F9725A6" w:rsidR="00F62801" w:rsidRPr="00C012AF" w:rsidRDefault="00AE051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73625987"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AE0518">
              <w:rPr>
                <w:rFonts w:cs="Arial"/>
                <w:b/>
                <w:color w:val="000000"/>
                <w:szCs w:val="20"/>
                <w:lang w:val="en-AU" w:eastAsia="en-AU"/>
              </w:rPr>
              <w:t>6</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14:paraId="0EA644DA" w14:textId="7C485BB4" w:rsidR="005D5873" w:rsidRDefault="00AE051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4930C87C" w:rsidR="005D5873" w:rsidRDefault="00AE051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01C2F0AF" w:rsidR="005D5873"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1CB891F2" w:rsidR="00D4388A" w:rsidRPr="00AA6EEB" w:rsidRDefault="00026A4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AE0518">
              <w:rPr>
                <w:rFonts w:cs="Arial"/>
                <w:b/>
                <w:color w:val="000000"/>
                <w:szCs w:val="20"/>
                <w:lang w:val="en-AU" w:eastAsia="en-AU"/>
              </w:rPr>
              <w:t>80</w:t>
            </w:r>
          </w:p>
        </w:tc>
      </w:tr>
      <w:tr w:rsidR="00346175" w:rsidRPr="007E4B3B" w14:paraId="6C7A820E" w14:textId="77777777" w:rsidTr="008B3F73">
        <w:trPr>
          <w:trHeight w:val="482"/>
        </w:trPr>
        <w:tc>
          <w:tcPr>
            <w:tcW w:w="7123" w:type="dxa"/>
            <w:tcBorders>
              <w:bottom w:val="single" w:sz="4" w:space="0" w:color="D9D9D9" w:themeColor="background1" w:themeShade="D9"/>
            </w:tcBorders>
            <w:shd w:val="clear" w:color="auto" w:fill="auto"/>
            <w:vAlign w:val="center"/>
          </w:tcPr>
          <w:p w14:paraId="078633F8" w14:textId="5886E9AD"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tcBorders>
              <w:bottom w:val="single" w:sz="4" w:space="0" w:color="D9D9D9" w:themeColor="background1" w:themeShade="D9"/>
            </w:tcBorders>
            <w:shd w:val="clear" w:color="auto" w:fill="auto"/>
            <w:noWrap/>
            <w:vAlign w:val="center"/>
          </w:tcPr>
          <w:p w14:paraId="42846744" w14:textId="3F0227F3"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346175" w:rsidRPr="007E4B3B" w14:paraId="1938CA8F" w14:textId="77777777" w:rsidTr="008B3F73">
        <w:trPr>
          <w:trHeight w:val="482"/>
        </w:trPr>
        <w:tc>
          <w:tcPr>
            <w:tcW w:w="7123" w:type="dxa"/>
            <w:tcBorders>
              <w:bottom w:val="single" w:sz="4" w:space="0" w:color="D9D9D9" w:themeColor="background1" w:themeShade="D9"/>
            </w:tcBorders>
            <w:shd w:val="clear" w:color="auto" w:fill="auto"/>
            <w:vAlign w:val="center"/>
          </w:tcPr>
          <w:p w14:paraId="38937EDC" w14:textId="134A85C6"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Contractor or subcontractor</w:t>
            </w:r>
          </w:p>
        </w:tc>
        <w:tc>
          <w:tcPr>
            <w:tcW w:w="2694" w:type="dxa"/>
            <w:tcBorders>
              <w:bottom w:val="single" w:sz="4" w:space="0" w:color="D9D9D9" w:themeColor="background1" w:themeShade="D9"/>
            </w:tcBorders>
            <w:shd w:val="clear" w:color="auto" w:fill="auto"/>
            <w:noWrap/>
            <w:vAlign w:val="center"/>
          </w:tcPr>
          <w:p w14:paraId="0D7694D8" w14:textId="74232839"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346175"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0C2CDD0A"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AE0518">
              <w:rPr>
                <w:rFonts w:cs="Arial"/>
                <w:color w:val="000000"/>
                <w:szCs w:val="20"/>
                <w:lang w:val="en-AU" w:eastAsia="en-AU"/>
              </w:rPr>
              <w:t>63</w:t>
            </w:r>
          </w:p>
        </w:tc>
      </w:tr>
      <w:tr w:rsidR="00346175" w:rsidRPr="007E4B3B" w14:paraId="4D8357EE" w14:textId="77777777" w:rsidTr="008B3F73">
        <w:trPr>
          <w:trHeight w:val="482"/>
        </w:trPr>
        <w:tc>
          <w:tcPr>
            <w:tcW w:w="7123" w:type="dxa"/>
            <w:shd w:val="clear" w:color="auto" w:fill="auto"/>
            <w:vAlign w:val="center"/>
          </w:tcPr>
          <w:p w14:paraId="12E515AB" w14:textId="6D6F6F28"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Outworker</w:t>
            </w:r>
          </w:p>
        </w:tc>
        <w:tc>
          <w:tcPr>
            <w:tcW w:w="2694" w:type="dxa"/>
            <w:shd w:val="clear" w:color="auto" w:fill="auto"/>
            <w:noWrap/>
            <w:vAlign w:val="center"/>
          </w:tcPr>
          <w:p w14:paraId="797D0DB2" w14:textId="1EAF1302"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6821CD1C" w14:textId="77777777" w:rsidTr="008B3F73">
        <w:trPr>
          <w:trHeight w:val="482"/>
        </w:trPr>
        <w:tc>
          <w:tcPr>
            <w:tcW w:w="7123" w:type="dxa"/>
            <w:shd w:val="clear" w:color="auto" w:fill="auto"/>
            <w:vAlign w:val="center"/>
            <w:hideMark/>
          </w:tcPr>
          <w:p w14:paraId="42D11F7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1E5B6B25" w14:textId="77777777" w:rsidTr="008B3F73">
        <w:trPr>
          <w:trHeight w:val="482"/>
        </w:trPr>
        <w:tc>
          <w:tcPr>
            <w:tcW w:w="7123" w:type="dxa"/>
            <w:shd w:val="clear" w:color="auto" w:fill="auto"/>
            <w:vAlign w:val="center"/>
          </w:tcPr>
          <w:p w14:paraId="73C6A095" w14:textId="2492DE29"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Other (unclear)</w:t>
            </w:r>
          </w:p>
        </w:tc>
        <w:tc>
          <w:tcPr>
            <w:tcW w:w="2694" w:type="dxa"/>
            <w:shd w:val="clear" w:color="auto" w:fill="auto"/>
            <w:noWrap/>
            <w:vAlign w:val="center"/>
          </w:tcPr>
          <w:p w14:paraId="260B662C" w14:textId="32EC80D8"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346175" w:rsidRPr="007E4B3B" w14:paraId="54DDC938" w14:textId="77777777" w:rsidTr="00346175">
        <w:trPr>
          <w:trHeight w:val="482"/>
        </w:trPr>
        <w:tc>
          <w:tcPr>
            <w:tcW w:w="7123" w:type="dxa"/>
            <w:shd w:val="clear" w:color="auto" w:fill="auto"/>
            <w:vAlign w:val="center"/>
          </w:tcPr>
          <w:p w14:paraId="3FED5D1E" w14:textId="606C1F5D"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101A1D2C" w14:textId="463D496C"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346175" w:rsidRPr="007E4B3B" w14:paraId="0309937E" w14:textId="77777777" w:rsidTr="008B3F73">
        <w:trPr>
          <w:trHeight w:val="482"/>
        </w:trPr>
        <w:tc>
          <w:tcPr>
            <w:tcW w:w="7123" w:type="dxa"/>
            <w:shd w:val="clear" w:color="auto" w:fill="auto"/>
            <w:vAlign w:val="center"/>
            <w:hideMark/>
          </w:tcPr>
          <w:p w14:paraId="5B7D57F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65674EB0"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6E002E72" w14:textId="77777777" w:rsidTr="005A6748">
        <w:trPr>
          <w:trHeight w:val="482"/>
        </w:trPr>
        <w:tc>
          <w:tcPr>
            <w:tcW w:w="7123" w:type="dxa"/>
            <w:shd w:val="clear" w:color="auto" w:fill="auto"/>
            <w:vAlign w:val="center"/>
            <w:hideMark/>
          </w:tcPr>
          <w:p w14:paraId="2D56D0A6" w14:textId="77777777" w:rsidR="00346175" w:rsidRDefault="00346175" w:rsidP="00346175">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Pr>
                <w:rStyle w:val="FootnoteReference"/>
                <w:rFonts w:cs="Arial"/>
                <w:color w:val="000000"/>
                <w:szCs w:val="20"/>
                <w:lang w:val="en-AU" w:eastAsia="en-AU"/>
              </w:rPr>
              <w:footnoteReference w:id="10"/>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68F2EB8" w14:textId="1CAD51F9" w:rsidR="00346175" w:rsidRPr="00AA6EEB" w:rsidRDefault="00B81F41" w:rsidP="00346175">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AE0518">
              <w:rPr>
                <w:rFonts w:cs="Arial"/>
                <w:b/>
                <w:color w:val="000000"/>
                <w:szCs w:val="20"/>
                <w:lang w:val="en-AU" w:eastAsia="en-AU"/>
              </w:rPr>
              <w:t>80</w:t>
            </w:r>
          </w:p>
        </w:tc>
      </w:tr>
      <w:tr w:rsidR="00346175" w:rsidRPr="007E4B3B" w14:paraId="6753B0B9" w14:textId="77777777" w:rsidTr="005A6748">
        <w:trPr>
          <w:trHeight w:val="482"/>
        </w:trPr>
        <w:tc>
          <w:tcPr>
            <w:tcW w:w="7123" w:type="dxa"/>
            <w:shd w:val="clear" w:color="auto" w:fill="auto"/>
            <w:vAlign w:val="center"/>
            <w:hideMark/>
          </w:tcPr>
          <w:p w14:paraId="1802B0F2"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3A4AEC30" w14:textId="6F452B96" w:rsidR="00346175" w:rsidRDefault="00AE0518" w:rsidP="00346175">
            <w:pPr>
              <w:tabs>
                <w:tab w:val="clear" w:pos="567"/>
                <w:tab w:val="clear" w:pos="1134"/>
              </w:tabs>
              <w:spacing w:after="0" w:line="240" w:lineRule="auto"/>
              <w:ind w:right="176"/>
              <w:jc w:val="right"/>
              <w:rPr>
                <w:rFonts w:cs="Arial"/>
                <w:szCs w:val="20"/>
              </w:rPr>
            </w:pPr>
            <w:r>
              <w:rPr>
                <w:rFonts w:cs="Arial"/>
                <w:szCs w:val="20"/>
              </w:rPr>
              <w:t>27</w:t>
            </w:r>
          </w:p>
        </w:tc>
      </w:tr>
      <w:tr w:rsidR="00346175" w:rsidRPr="007E4B3B" w14:paraId="014A4AF5" w14:textId="77777777" w:rsidTr="005A6748">
        <w:trPr>
          <w:trHeight w:val="482"/>
        </w:trPr>
        <w:tc>
          <w:tcPr>
            <w:tcW w:w="7123" w:type="dxa"/>
            <w:shd w:val="clear" w:color="auto" w:fill="auto"/>
            <w:vAlign w:val="center"/>
            <w:hideMark/>
          </w:tcPr>
          <w:p w14:paraId="10AF8765"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38E9ED88" w14:textId="77B3DE5F" w:rsidR="00346175" w:rsidRDefault="00AE0518" w:rsidP="00346175">
            <w:pPr>
              <w:tabs>
                <w:tab w:val="clear" w:pos="567"/>
                <w:tab w:val="clear" w:pos="1134"/>
              </w:tabs>
              <w:spacing w:after="0" w:line="240" w:lineRule="auto"/>
              <w:ind w:right="176"/>
              <w:jc w:val="right"/>
              <w:rPr>
                <w:rFonts w:cs="Arial"/>
                <w:szCs w:val="20"/>
              </w:rPr>
            </w:pPr>
            <w:r>
              <w:rPr>
                <w:rFonts w:cs="Arial"/>
                <w:szCs w:val="20"/>
              </w:rPr>
              <w:t>29</w:t>
            </w:r>
          </w:p>
        </w:tc>
      </w:tr>
      <w:tr w:rsidR="00346175" w:rsidRPr="007E4B3B" w14:paraId="39684B31" w14:textId="77777777" w:rsidTr="005A6748">
        <w:trPr>
          <w:trHeight w:val="482"/>
        </w:trPr>
        <w:tc>
          <w:tcPr>
            <w:tcW w:w="7123" w:type="dxa"/>
            <w:shd w:val="clear" w:color="auto" w:fill="auto"/>
            <w:vAlign w:val="center"/>
            <w:hideMark/>
          </w:tcPr>
          <w:p w14:paraId="1A2A5699"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548EAE5" w14:textId="6DB1E279" w:rsidR="00346175" w:rsidRDefault="00AE0518" w:rsidP="00346175">
            <w:pPr>
              <w:tabs>
                <w:tab w:val="clear" w:pos="567"/>
                <w:tab w:val="clear" w:pos="1134"/>
              </w:tabs>
              <w:spacing w:after="0" w:line="240" w:lineRule="auto"/>
              <w:ind w:right="176"/>
              <w:jc w:val="right"/>
              <w:rPr>
                <w:rFonts w:cs="Arial"/>
                <w:szCs w:val="20"/>
              </w:rPr>
            </w:pPr>
            <w:r>
              <w:rPr>
                <w:rFonts w:cs="Arial"/>
                <w:szCs w:val="20"/>
              </w:rPr>
              <w:t>18</w:t>
            </w:r>
          </w:p>
        </w:tc>
      </w:tr>
      <w:tr w:rsidR="00346175" w:rsidRPr="007E4B3B" w14:paraId="0E554181" w14:textId="77777777" w:rsidTr="005A6748">
        <w:trPr>
          <w:trHeight w:val="482"/>
        </w:trPr>
        <w:tc>
          <w:tcPr>
            <w:tcW w:w="7123" w:type="dxa"/>
            <w:shd w:val="clear" w:color="auto" w:fill="auto"/>
            <w:vAlign w:val="center"/>
            <w:hideMark/>
          </w:tcPr>
          <w:p w14:paraId="7119597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48ADD35" w14:textId="3E8D00E2" w:rsidR="00346175" w:rsidRDefault="00AE0518" w:rsidP="00346175">
            <w:pPr>
              <w:tabs>
                <w:tab w:val="clear" w:pos="567"/>
                <w:tab w:val="clear" w:pos="1134"/>
              </w:tabs>
              <w:spacing w:after="0" w:line="240" w:lineRule="auto"/>
              <w:ind w:right="176"/>
              <w:jc w:val="right"/>
              <w:rPr>
                <w:rFonts w:cs="Arial"/>
                <w:szCs w:val="20"/>
              </w:rPr>
            </w:pPr>
            <w:r>
              <w:rPr>
                <w:rFonts w:cs="Arial"/>
                <w:szCs w:val="20"/>
              </w:rPr>
              <w:t>85</w:t>
            </w:r>
          </w:p>
        </w:tc>
      </w:tr>
      <w:tr w:rsidR="00346175" w:rsidRPr="007E4B3B" w14:paraId="023DA4D7" w14:textId="77777777" w:rsidTr="005A6748">
        <w:trPr>
          <w:trHeight w:val="482"/>
        </w:trPr>
        <w:tc>
          <w:tcPr>
            <w:tcW w:w="7123" w:type="dxa"/>
            <w:shd w:val="clear" w:color="auto" w:fill="auto"/>
            <w:vAlign w:val="center"/>
            <w:hideMark/>
          </w:tcPr>
          <w:p w14:paraId="77BEA017"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7109554" w14:textId="41C35E88" w:rsidR="00346175" w:rsidRDefault="00AE0518" w:rsidP="00346175">
            <w:pPr>
              <w:tabs>
                <w:tab w:val="clear" w:pos="567"/>
                <w:tab w:val="clear" w:pos="1134"/>
              </w:tabs>
              <w:spacing w:after="0" w:line="240" w:lineRule="auto"/>
              <w:ind w:right="176"/>
              <w:jc w:val="right"/>
              <w:rPr>
                <w:rFonts w:cs="Arial"/>
                <w:szCs w:val="20"/>
              </w:rPr>
            </w:pPr>
            <w:r>
              <w:rPr>
                <w:rFonts w:cs="Arial"/>
                <w:szCs w:val="20"/>
              </w:rPr>
              <w:t>21</w:t>
            </w:r>
          </w:p>
        </w:tc>
      </w:tr>
      <w:tr w:rsidR="00346175" w:rsidRPr="00D56FC0" w14:paraId="6672B619" w14:textId="77777777" w:rsidTr="00696177">
        <w:trPr>
          <w:trHeight w:val="482"/>
        </w:trPr>
        <w:tc>
          <w:tcPr>
            <w:tcW w:w="7123" w:type="dxa"/>
            <w:shd w:val="clear" w:color="auto" w:fill="auto"/>
            <w:vAlign w:val="center"/>
            <w:hideMark/>
          </w:tcPr>
          <w:p w14:paraId="11E9801C" w14:textId="77777777" w:rsidR="00346175" w:rsidRPr="00D56FC0" w:rsidRDefault="00346175" w:rsidP="00346175">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5E467E6" w14:textId="654A3B9A" w:rsidR="00346175" w:rsidRPr="00AA6EEB" w:rsidRDefault="00AE0518" w:rsidP="00346175">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198</w:t>
            </w:r>
          </w:p>
        </w:tc>
      </w:tr>
      <w:tr w:rsidR="00346175" w:rsidRPr="007E4B3B" w14:paraId="67CE808A" w14:textId="77777777" w:rsidTr="00696177">
        <w:trPr>
          <w:trHeight w:val="482"/>
        </w:trPr>
        <w:tc>
          <w:tcPr>
            <w:tcW w:w="7123" w:type="dxa"/>
            <w:shd w:val="clear" w:color="auto" w:fill="auto"/>
            <w:vAlign w:val="center"/>
            <w:hideMark/>
          </w:tcPr>
          <w:p w14:paraId="59C0CB3A"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54414A5C" w14:textId="78E2C290"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86</w:t>
            </w:r>
          </w:p>
        </w:tc>
      </w:tr>
      <w:tr w:rsidR="00346175" w:rsidRPr="007E4B3B" w14:paraId="5FC37148" w14:textId="77777777" w:rsidTr="00696177">
        <w:trPr>
          <w:trHeight w:val="482"/>
        </w:trPr>
        <w:tc>
          <w:tcPr>
            <w:tcW w:w="7123" w:type="dxa"/>
            <w:shd w:val="clear" w:color="auto" w:fill="auto"/>
            <w:vAlign w:val="center"/>
          </w:tcPr>
          <w:p w14:paraId="78261528"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806965E" w14:textId="15086C33"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45</w:t>
            </w:r>
          </w:p>
        </w:tc>
      </w:tr>
      <w:tr w:rsidR="00346175" w:rsidRPr="007E4B3B" w14:paraId="7790D276" w14:textId="77777777" w:rsidTr="00696177">
        <w:trPr>
          <w:trHeight w:val="482"/>
        </w:trPr>
        <w:tc>
          <w:tcPr>
            <w:tcW w:w="7123" w:type="dxa"/>
            <w:shd w:val="clear" w:color="auto" w:fill="auto"/>
            <w:vAlign w:val="center"/>
          </w:tcPr>
          <w:p w14:paraId="67DDCEE4"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356E4B5" w14:textId="5B2D2E67"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14</w:t>
            </w:r>
          </w:p>
        </w:tc>
      </w:tr>
      <w:tr w:rsidR="00346175" w:rsidRPr="007E4B3B" w14:paraId="374B3C9F" w14:textId="77777777" w:rsidTr="00696177">
        <w:trPr>
          <w:trHeight w:val="482"/>
        </w:trPr>
        <w:tc>
          <w:tcPr>
            <w:tcW w:w="7123" w:type="dxa"/>
            <w:shd w:val="clear" w:color="auto" w:fill="auto"/>
            <w:vAlign w:val="center"/>
          </w:tcPr>
          <w:p w14:paraId="09E6E97D"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A98142F" w14:textId="559F97ED"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27</w:t>
            </w:r>
          </w:p>
        </w:tc>
      </w:tr>
      <w:tr w:rsidR="00346175" w:rsidRPr="007E4B3B" w14:paraId="136D1148" w14:textId="77777777" w:rsidTr="00696177">
        <w:trPr>
          <w:trHeight w:val="482"/>
        </w:trPr>
        <w:tc>
          <w:tcPr>
            <w:tcW w:w="7123" w:type="dxa"/>
            <w:shd w:val="clear" w:color="auto" w:fill="auto"/>
            <w:vAlign w:val="center"/>
          </w:tcPr>
          <w:p w14:paraId="5C6168D1"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1FFEF797" w14:textId="60D1AFEA"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346175" w:rsidRPr="007E4B3B" w14:paraId="60181588" w14:textId="77777777" w:rsidTr="00696177">
        <w:trPr>
          <w:trHeight w:val="482"/>
        </w:trPr>
        <w:tc>
          <w:tcPr>
            <w:tcW w:w="7123" w:type="dxa"/>
            <w:shd w:val="clear" w:color="auto" w:fill="auto"/>
            <w:vAlign w:val="center"/>
          </w:tcPr>
          <w:p w14:paraId="5A3CBE3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75918C4" w14:textId="016AE2DB"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AE0518">
              <w:rPr>
                <w:rFonts w:cs="Arial"/>
                <w:color w:val="000000"/>
                <w:szCs w:val="20"/>
                <w:lang w:val="en-AU" w:eastAsia="en-AU"/>
              </w:rPr>
              <w:t>3</w:t>
            </w:r>
          </w:p>
        </w:tc>
      </w:tr>
      <w:tr w:rsidR="00346175" w:rsidRPr="007E4B3B" w14:paraId="61331B8F" w14:textId="77777777" w:rsidTr="00696177">
        <w:trPr>
          <w:trHeight w:val="482"/>
        </w:trPr>
        <w:tc>
          <w:tcPr>
            <w:tcW w:w="7123" w:type="dxa"/>
            <w:shd w:val="clear" w:color="auto" w:fill="auto"/>
            <w:vAlign w:val="center"/>
          </w:tcPr>
          <w:p w14:paraId="16FEE5B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BBE5E43" w14:textId="5DD927F0"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346175" w:rsidRPr="007E4B3B" w14:paraId="25330D8B" w14:textId="77777777" w:rsidTr="00696177">
        <w:trPr>
          <w:trHeight w:val="482"/>
        </w:trPr>
        <w:tc>
          <w:tcPr>
            <w:tcW w:w="7123" w:type="dxa"/>
            <w:shd w:val="clear" w:color="auto" w:fill="auto"/>
            <w:vAlign w:val="center"/>
          </w:tcPr>
          <w:p w14:paraId="00B53A62"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38D77A0" w14:textId="18E8C815" w:rsidR="00346175" w:rsidRDefault="00AE0518"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346175" w:rsidRPr="007E4B3B" w14:paraId="06DDD3D9" w14:textId="77777777" w:rsidTr="00375733">
        <w:trPr>
          <w:trHeight w:val="482"/>
        </w:trPr>
        <w:tc>
          <w:tcPr>
            <w:tcW w:w="7123" w:type="dxa"/>
            <w:shd w:val="clear" w:color="auto" w:fill="auto"/>
            <w:vAlign w:val="center"/>
            <w:hideMark/>
          </w:tcPr>
          <w:p w14:paraId="329B5953" w14:textId="77777777" w:rsidR="00346175" w:rsidRDefault="00346175" w:rsidP="00346175">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CBE981A" w14:textId="0CAD7F60" w:rsidR="00346175" w:rsidRPr="00AA6EEB" w:rsidRDefault="00B81F41" w:rsidP="00346175">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65759">
              <w:rPr>
                <w:rFonts w:cs="Arial"/>
                <w:b/>
                <w:color w:val="000000"/>
                <w:szCs w:val="20"/>
                <w:lang w:val="en-AU" w:eastAsia="en-AU"/>
              </w:rPr>
              <w:t>80</w:t>
            </w:r>
          </w:p>
        </w:tc>
      </w:tr>
      <w:tr w:rsidR="00346175" w:rsidRPr="007E4B3B" w14:paraId="06DEE81F" w14:textId="77777777" w:rsidTr="00375733">
        <w:trPr>
          <w:trHeight w:val="482"/>
        </w:trPr>
        <w:tc>
          <w:tcPr>
            <w:tcW w:w="7123" w:type="dxa"/>
            <w:shd w:val="clear" w:color="auto" w:fill="auto"/>
            <w:vAlign w:val="center"/>
            <w:hideMark/>
          </w:tcPr>
          <w:p w14:paraId="0714DA5E"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09F3E8" w14:textId="480842A6" w:rsidR="00346175" w:rsidRDefault="00F65759"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346175" w:rsidRPr="007E4B3B" w14:paraId="6C017550" w14:textId="77777777" w:rsidTr="00375733">
        <w:trPr>
          <w:trHeight w:val="482"/>
        </w:trPr>
        <w:tc>
          <w:tcPr>
            <w:tcW w:w="7123" w:type="dxa"/>
            <w:shd w:val="clear" w:color="auto" w:fill="auto"/>
            <w:vAlign w:val="center"/>
            <w:hideMark/>
          </w:tcPr>
          <w:p w14:paraId="307BA2C3"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21FE0D8" w14:textId="1ED8E084" w:rsidR="00346175" w:rsidRDefault="00F65759"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346175" w:rsidRPr="007E4B3B" w14:paraId="6A1C7E52" w14:textId="77777777" w:rsidTr="00375733">
        <w:trPr>
          <w:trHeight w:val="482"/>
        </w:trPr>
        <w:tc>
          <w:tcPr>
            <w:tcW w:w="7123" w:type="dxa"/>
            <w:shd w:val="clear" w:color="auto" w:fill="auto"/>
            <w:vAlign w:val="center"/>
            <w:hideMark/>
          </w:tcPr>
          <w:p w14:paraId="0EFE7CC5"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054B09" w14:textId="442ADF27" w:rsidR="00346175" w:rsidRDefault="0058110D"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346175" w:rsidRPr="007E4B3B" w14:paraId="188C6733" w14:textId="77777777" w:rsidTr="00375733">
        <w:trPr>
          <w:trHeight w:val="482"/>
        </w:trPr>
        <w:tc>
          <w:tcPr>
            <w:tcW w:w="7123" w:type="dxa"/>
            <w:shd w:val="clear" w:color="auto" w:fill="auto"/>
            <w:vAlign w:val="center"/>
            <w:hideMark/>
          </w:tcPr>
          <w:p w14:paraId="6226F8C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C223D0A" w14:textId="7FC19E3D" w:rsidR="00346175" w:rsidRDefault="00F65759"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55</w:t>
            </w:r>
          </w:p>
        </w:tc>
      </w:tr>
      <w:tr w:rsidR="00346175" w:rsidRPr="007E4B3B" w14:paraId="1C134629" w14:textId="77777777" w:rsidTr="00375733">
        <w:trPr>
          <w:trHeight w:val="482"/>
        </w:trPr>
        <w:tc>
          <w:tcPr>
            <w:tcW w:w="7123" w:type="dxa"/>
            <w:shd w:val="clear" w:color="auto" w:fill="auto"/>
            <w:vAlign w:val="center"/>
            <w:hideMark/>
          </w:tcPr>
          <w:p w14:paraId="5D5FDCB4"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1A2C2AD" w14:textId="5BC77EF3" w:rsidR="00346175" w:rsidRDefault="00F65759"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346175" w:rsidRPr="007E4B3B" w14:paraId="6EE9DDD6" w14:textId="77777777" w:rsidTr="00375733">
        <w:trPr>
          <w:trHeight w:val="482"/>
        </w:trPr>
        <w:tc>
          <w:tcPr>
            <w:tcW w:w="7123" w:type="dxa"/>
            <w:shd w:val="clear" w:color="auto" w:fill="auto"/>
            <w:vAlign w:val="center"/>
            <w:hideMark/>
          </w:tcPr>
          <w:p w14:paraId="2A77482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187915" w14:textId="25639653" w:rsidR="00346175" w:rsidRDefault="00F65759"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346175" w:rsidRPr="007E4B3B" w14:paraId="029E24B6" w14:textId="77777777" w:rsidTr="00375733">
        <w:trPr>
          <w:trHeight w:val="482"/>
        </w:trPr>
        <w:tc>
          <w:tcPr>
            <w:tcW w:w="7123" w:type="dxa"/>
            <w:shd w:val="clear" w:color="auto" w:fill="auto"/>
            <w:vAlign w:val="center"/>
            <w:hideMark/>
          </w:tcPr>
          <w:p w14:paraId="1CF0585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B792C1D" w14:textId="79FFC84D"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F65759">
              <w:rPr>
                <w:rFonts w:cs="Arial"/>
                <w:color w:val="000000"/>
                <w:szCs w:val="20"/>
                <w:lang w:val="en-AU" w:eastAsia="en-AU"/>
              </w:rPr>
              <w:t>2</w:t>
            </w:r>
          </w:p>
        </w:tc>
      </w:tr>
      <w:tr w:rsidR="00346175" w:rsidRPr="007E4B3B" w14:paraId="072AD051" w14:textId="77777777" w:rsidTr="00375733">
        <w:trPr>
          <w:trHeight w:val="482"/>
        </w:trPr>
        <w:tc>
          <w:tcPr>
            <w:tcW w:w="7123" w:type="dxa"/>
            <w:shd w:val="clear" w:color="auto" w:fill="auto"/>
            <w:vAlign w:val="center"/>
            <w:hideMark/>
          </w:tcPr>
          <w:p w14:paraId="07F31B3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687A5C" w14:textId="6F926756" w:rsidR="00346175" w:rsidRDefault="00F65759"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42</w:t>
            </w:r>
          </w:p>
        </w:tc>
      </w:tr>
      <w:tr w:rsidR="00346175" w:rsidRPr="007E4B3B" w14:paraId="37422D28" w14:textId="77777777" w:rsidTr="00375733">
        <w:trPr>
          <w:trHeight w:val="482"/>
        </w:trPr>
        <w:tc>
          <w:tcPr>
            <w:tcW w:w="7123" w:type="dxa"/>
            <w:shd w:val="clear" w:color="auto" w:fill="auto"/>
            <w:vAlign w:val="center"/>
            <w:hideMark/>
          </w:tcPr>
          <w:p w14:paraId="108660C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E3C3822" w14:textId="5482D9BE" w:rsidR="00346175" w:rsidRDefault="00F65759"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68CFFFEB" w14:textId="77777777" w:rsidTr="00125A10">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346175" w:rsidRDefault="00346175" w:rsidP="00346175">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Industries:</w:t>
            </w:r>
            <w:r>
              <w:rPr>
                <w:rStyle w:val="FootnoteReference"/>
                <w:rFonts w:cs="Arial"/>
                <w:color w:val="000000"/>
                <w:szCs w:val="20"/>
                <w:lang w:val="en-AU" w:eastAsia="en-AU"/>
              </w:rPr>
              <w:footnoteReference w:id="13"/>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DA0B1C1" w14:textId="39962083" w:rsidR="00346175" w:rsidRPr="0057541B" w:rsidRDefault="00F65759" w:rsidP="00346175">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180</w:t>
            </w:r>
          </w:p>
        </w:tc>
      </w:tr>
      <w:tr w:rsidR="00F65759" w:rsidRPr="007424F8" w14:paraId="59A7B525"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0E99D8AB" w14:textId="5D7C5366" w:rsidR="00F65759" w:rsidRPr="00C62101"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Aged care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F19BE56" w14:textId="0D807E17"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7424F8" w14:paraId="07B92D4D"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DD265C" w14:textId="4270D8A9"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Agricultural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C1549B2" w14:textId="4DB084B7"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7424F8" w14:paraId="41185C59"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60B8B5B" w14:textId="436EEF15"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Amusement, events and recreation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3EE1E96" w14:textId="413B412D"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7424F8" w14:paraId="729E0350"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5E9BA5D6" w14:textId="7A12CEBA"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Animal care and veterinary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35E4FA" w14:textId="4E063277"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7424F8" w14:paraId="078E708B"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32F2129E" w14:textId="7661C566"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Banking finance and insurance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BC1094C" w14:textId="2674FF08"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5</w:t>
            </w:r>
          </w:p>
        </w:tc>
      </w:tr>
      <w:tr w:rsidR="00F65759" w:rsidRPr="007424F8" w14:paraId="2669BF89"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7E80465B" w14:textId="420097F7"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Building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A18044D" w14:textId="57256FD3"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7424F8" w14:paraId="3AB370F8"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1E5C223" w14:textId="4CBAB953"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Building, metal and civil construction industries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6558A9D" w14:textId="78D53FBF"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5</w:t>
            </w:r>
          </w:p>
        </w:tc>
      </w:tr>
      <w:tr w:rsidR="00F65759" w:rsidRPr="007424F8" w14:paraId="044EE985"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019BF5" w14:textId="55237F8A"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Children's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5C8D2E2" w14:textId="761B749E"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6</w:t>
            </w:r>
          </w:p>
        </w:tc>
      </w:tr>
      <w:tr w:rsidR="00F65759" w:rsidRPr="007424F8" w14:paraId="57B16B34"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2613662" w14:textId="3F1483BE"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Cleaning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7027BD" w14:textId="745CBDDE"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w:t>
            </w:r>
          </w:p>
        </w:tc>
      </w:tr>
      <w:tr w:rsidR="00F65759" w:rsidRPr="007424F8" w14:paraId="1AE6566E"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C6A9929" w14:textId="02430B13"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Clerical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082899F" w14:textId="2C99621E"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7424F8" w14:paraId="3B0DFC5E"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8E803F" w14:textId="3B59E23F"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Clothing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2DAB2E7" w14:textId="63342F7E"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7424F8" w14:paraId="04F91F36"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229781AF" w14:textId="544289E6"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Commonwealth employment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956E0C1" w14:textId="2C96CF78"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6</w:t>
            </w:r>
          </w:p>
        </w:tc>
      </w:tr>
      <w:tr w:rsidR="00F65759" w:rsidRPr="007424F8" w14:paraId="23F9671E"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42F1EF3" w14:textId="7EE052EF"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Educational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EC3434A" w14:textId="500E1FD2"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6</w:t>
            </w:r>
          </w:p>
        </w:tc>
      </w:tr>
      <w:tr w:rsidR="00F65759" w:rsidRPr="007424F8" w14:paraId="560342F4"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31F5BFD8" w14:textId="21C26127"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Electrical contracting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BCD820F" w14:textId="75D85599"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w:t>
            </w:r>
          </w:p>
        </w:tc>
      </w:tr>
      <w:tr w:rsidR="00F65759" w:rsidRPr="007424F8" w14:paraId="6C515FD7"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562C6BBF" w14:textId="18487F5E"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Electrical power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12E67D1" w14:textId="755AE2D4"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7424F8" w14:paraId="355634C2"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08D6ADAD" w14:textId="48C8A0BD"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Fast food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ED17A86" w14:textId="7AEBD7BD"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4</w:t>
            </w:r>
          </w:p>
        </w:tc>
      </w:tr>
      <w:tr w:rsidR="00F65759" w:rsidRPr="007424F8" w14:paraId="2716365E"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732B44B" w14:textId="3C6777F6"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 xml:space="preserve">Food, beverages and tobacco manufacturing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F3B7576" w14:textId="263D9DDB"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6</w:t>
            </w:r>
          </w:p>
        </w:tc>
      </w:tr>
      <w:tr w:rsidR="00F65759" w:rsidRPr="007424F8" w14:paraId="6950F6DF"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A30696D" w14:textId="75E172DF"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Hair and Beauty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E4933B1" w14:textId="68671E56"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009BA9E3"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21BC697" w14:textId="6B98F561"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Health and welfare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E9E792D" w14:textId="45686233"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30</w:t>
            </w:r>
          </w:p>
        </w:tc>
      </w:tr>
      <w:tr w:rsidR="00F65759" w:rsidRPr="0034648A" w14:paraId="6D4086BC"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ED12A93" w14:textId="3DA4806A"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Hospitality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95B43AF" w14:textId="2B9DA828"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w:t>
            </w:r>
          </w:p>
        </w:tc>
      </w:tr>
      <w:tr w:rsidR="00F65759" w:rsidRPr="0034648A" w14:paraId="579E8C51"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F7DC54B" w14:textId="12E3FF72"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 xml:space="preserve">Indigenous </w:t>
            </w:r>
            <w:proofErr w:type="spellStart"/>
            <w:r w:rsidRPr="00CF14B5">
              <w:t>organisations</w:t>
            </w:r>
            <w:proofErr w:type="spellEnd"/>
            <w:r w:rsidRPr="00CF14B5">
              <w:t xml:space="preserve"> and services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706B6C5" w14:textId="34FA7A8B"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34648A" w14:paraId="07D61AEB"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879D6DD" w14:textId="4972A173"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Industries not otherwise assigned</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534DB83" w14:textId="7FF15FE7"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3A06B640"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BD35342" w14:textId="56A60DBA"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Licensed and registered clubs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52DD30F" w14:textId="1627CC0C"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34648A" w14:paraId="7994D1DF"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E8A79E3" w14:textId="56824163"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Local government administration</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172BBA1" w14:textId="13A73594"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5</w:t>
            </w:r>
          </w:p>
        </w:tc>
      </w:tr>
      <w:tr w:rsidR="00F65759" w:rsidRPr="0034648A" w14:paraId="44503AA5"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D4455AA" w14:textId="251A50A6"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Manufacturing and associated industries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1974C20" w14:textId="0FC25400"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10</w:t>
            </w:r>
          </w:p>
        </w:tc>
      </w:tr>
      <w:tr w:rsidR="00F65759" w:rsidRPr="0034648A" w14:paraId="3BD7F879"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4E6AFAC" w14:textId="4CCEA522"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lastRenderedPageBreak/>
              <w:t>Market and business consultancy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0EE2A42" w14:textId="55D4AA42"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4</w:t>
            </w:r>
          </w:p>
        </w:tc>
      </w:tr>
      <w:tr w:rsidR="00F65759" w:rsidRPr="0034648A" w14:paraId="234CCED0"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7641345" w14:textId="16DCFAB6"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Meat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5442BB1" w14:textId="0E62A1D1"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59684485"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4A6CD2A" w14:textId="09436EC5"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Mining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E19A8AA" w14:textId="3E399A2F"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4</w:t>
            </w:r>
          </w:p>
        </w:tc>
      </w:tr>
      <w:tr w:rsidR="00F65759" w:rsidRPr="0034648A" w14:paraId="50110F23"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10197617" w14:textId="5D05960C"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Miscellaneous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BD406AE" w14:textId="2E8C50E7"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w:t>
            </w:r>
          </w:p>
        </w:tc>
      </w:tr>
      <w:tr w:rsidR="00F65759" w:rsidRPr="0034648A" w14:paraId="1EF61A9E"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97E87F5" w14:textId="31BAECB7"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Passenger vehicle transport (</w:t>
            </w:r>
            <w:proofErr w:type="spellStart"/>
            <w:r w:rsidRPr="00CF14B5">
              <w:t>non rail</w:t>
            </w:r>
            <w:proofErr w:type="spellEnd"/>
            <w:r w:rsidRPr="00CF14B5">
              <w: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329E77" w14:textId="59A076E8"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5B56E3F4"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267DBA4" w14:textId="103836D5"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Pharmaceutical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561FDEA" w14:textId="6F6AA638"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01534270"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F7401B3" w14:textId="1E2282E4"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Pharmacy operations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07205C0" w14:textId="30D86D4C"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7D987541"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2287230" w14:textId="12F6E50F"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Postal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B1A1CA" w14:textId="7E2210D2"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5</w:t>
            </w:r>
          </w:p>
        </w:tc>
      </w:tr>
      <w:tr w:rsidR="00F65759" w:rsidRPr="0034648A" w14:paraId="4032A704"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CD74BA0" w14:textId="30D365F9"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 xml:space="preserve">Real estate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A7D33A2" w14:textId="32D99932"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5</w:t>
            </w:r>
          </w:p>
        </w:tc>
      </w:tr>
      <w:tr w:rsidR="00F65759" w:rsidRPr="0034648A" w14:paraId="0F60F83C"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23E2422" w14:textId="2FBA140F"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Restaurants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FD2AD4" w14:textId="2BEE0379"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w:t>
            </w:r>
          </w:p>
        </w:tc>
      </w:tr>
      <w:tr w:rsidR="00F65759" w:rsidRPr="0034648A" w14:paraId="703F7723"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161FDAE2" w14:textId="73B1AB58"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 xml:space="preserve">Retail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F1CD5B5" w14:textId="0119758C"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19</w:t>
            </w:r>
          </w:p>
        </w:tc>
      </w:tr>
      <w:tr w:rsidR="00F65759" w:rsidRPr="0034648A" w14:paraId="3A0EFDB2"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4DCA799E" w14:textId="6C7DE7DA"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Road transport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BA87EA2" w14:textId="66462D6B"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4</w:t>
            </w:r>
          </w:p>
        </w:tc>
      </w:tr>
      <w:tr w:rsidR="00F65759" w:rsidRPr="0034648A" w14:paraId="5DA6073C"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C275E6B" w14:textId="3A13B6FE"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Security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5E1706" w14:textId="700B49B0"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2181A8A2"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038FC4E5" w14:textId="792A547A"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Social, community, home care and disability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813958" w14:textId="145613EE"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8</w:t>
            </w:r>
          </w:p>
        </w:tc>
      </w:tr>
      <w:tr w:rsidR="00F65759" w:rsidRPr="0034648A" w14:paraId="0327F1A1"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062F0328" w14:textId="254C066F"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 xml:space="preserve">Sporting </w:t>
            </w:r>
            <w:proofErr w:type="spellStart"/>
            <w:r w:rsidRPr="00CF14B5">
              <w:t>organisations</w:t>
            </w:r>
            <w:proofErr w:type="spellEnd"/>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98C0C4" w14:textId="5C266619"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1</w:t>
            </w:r>
          </w:p>
        </w:tc>
      </w:tr>
      <w:tr w:rsidR="00F65759" w:rsidRPr="0034648A" w14:paraId="2213C3BF"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E6D5979" w14:textId="381381A5"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State and Territory government administration</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40E4257" w14:textId="34B437FA"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34648A" w14:paraId="7748296D"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B493C71" w14:textId="399AAA09"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Technical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3A0B4E2" w14:textId="686506B9"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3</w:t>
            </w:r>
          </w:p>
        </w:tc>
      </w:tr>
      <w:tr w:rsidR="00F65759" w:rsidRPr="0034648A" w14:paraId="13FEBD92"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66A2705" w14:textId="4798290E" w:rsidR="00F65759" w:rsidRPr="00E15D48" w:rsidRDefault="00F65759" w:rsidP="00F65759">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F14B5">
              <w:t>Telecommunications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167BE5C" w14:textId="09D5D307" w:rsidR="00F65759" w:rsidRPr="00E15D48" w:rsidRDefault="00F65759" w:rsidP="00F65759">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331135">
              <w:t>2</w:t>
            </w:r>
          </w:p>
        </w:tc>
      </w:tr>
      <w:tr w:rsidR="00F65759" w:rsidRPr="0034648A" w14:paraId="1D42A70C" w14:textId="77777777" w:rsidTr="00F65759">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3967B49" w14:textId="4BAEEC1D" w:rsidR="00F65759" w:rsidRPr="00F216C2" w:rsidRDefault="00F65759" w:rsidP="00F65759">
            <w:pPr>
              <w:tabs>
                <w:tab w:val="clear" w:pos="567"/>
                <w:tab w:val="clear" w:pos="1134"/>
              </w:tabs>
              <w:autoSpaceDE w:val="0"/>
              <w:autoSpaceDN w:val="0"/>
              <w:adjustRightInd w:val="0"/>
              <w:spacing w:after="0" w:line="240" w:lineRule="auto"/>
              <w:ind w:left="567" w:right="33"/>
            </w:pPr>
            <w:r w:rsidRPr="00CF14B5">
              <w:t>Vehicle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F04912F" w14:textId="7C5B5ACE" w:rsidR="00F65759" w:rsidRPr="00534815" w:rsidRDefault="00F65759" w:rsidP="00F65759">
            <w:pPr>
              <w:tabs>
                <w:tab w:val="clear" w:pos="567"/>
                <w:tab w:val="clear" w:pos="1134"/>
              </w:tabs>
              <w:autoSpaceDE w:val="0"/>
              <w:autoSpaceDN w:val="0"/>
              <w:adjustRightInd w:val="0"/>
              <w:spacing w:after="0" w:line="240" w:lineRule="auto"/>
              <w:ind w:right="176"/>
              <w:jc w:val="right"/>
            </w:pPr>
            <w:r w:rsidRPr="00331135">
              <w:t>3</w:t>
            </w:r>
          </w:p>
        </w:tc>
      </w:tr>
    </w:tbl>
    <w:p w14:paraId="77DB1A96" w14:textId="77777777" w:rsidR="00A30068" w:rsidRDefault="00A30068" w:rsidP="00E73DA6">
      <w:pPr>
        <w:pStyle w:val="Heading2"/>
      </w:pPr>
    </w:p>
    <w:p w14:paraId="5B886851" w14:textId="2B97DC5D" w:rsidR="00857D01" w:rsidRDefault="00857D01" w:rsidP="00E73DA6">
      <w:pPr>
        <w:pStyle w:val="Heading2"/>
      </w:pPr>
      <w:r w:rsidRPr="001D312A">
        <w:t>Disclaimer</w:t>
      </w:r>
    </w:p>
    <w:p w14:paraId="1B16D155" w14:textId="77777777" w:rsidR="00D555E1" w:rsidRPr="00990CF5" w:rsidRDefault="00D555E1" w:rsidP="00E73DA6">
      <w:pPr>
        <w:rPr>
          <w:szCs w:val="20"/>
        </w:rPr>
      </w:pPr>
      <w:r w:rsidRPr="00990CF5">
        <w:rPr>
          <w:szCs w:val="20"/>
        </w:rPr>
        <w:t>This report should be read in conjunction with the Fair Work Commission information note for Quarterly reports.</w:t>
      </w:r>
    </w:p>
    <w:p w14:paraId="55695E8D" w14:textId="77777777" w:rsidR="00857D01" w:rsidRPr="00990CF5" w:rsidRDefault="00857D01" w:rsidP="00E73DA6">
      <w:pPr>
        <w:rPr>
          <w:szCs w:val="20"/>
        </w:rPr>
      </w:pPr>
      <w:r w:rsidRPr="00990CF5">
        <w:rPr>
          <w:szCs w:val="20"/>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3CF1299F" w14:textId="665C9E18" w:rsidR="00857D01" w:rsidRPr="00C16D47" w:rsidRDefault="0025256B" w:rsidP="00990CF5">
      <w:r>
        <w:t xml:space="preserve">If you have an inquiry about this report please contact </w:t>
      </w:r>
      <w:r w:rsidR="004971CB" w:rsidRPr="004971CB">
        <w:t xml:space="preserve">Siavash Motearefi, </w:t>
      </w:r>
      <w:r w:rsidR="00D42C42">
        <w:t>Chief Data Officer</w:t>
      </w:r>
      <w:r w:rsidR="004971CB" w:rsidRPr="004971CB">
        <w:t xml:space="preserve">, Tribunal Data and Reporting by phone </w:t>
      </w:r>
      <w:r w:rsidR="00D42C42">
        <w:t xml:space="preserve">(03) 8656 4779 </w:t>
      </w:r>
      <w:r w:rsidR="004971CB" w:rsidRPr="004971CB">
        <w:t xml:space="preserve">or by email </w:t>
      </w:r>
      <w:hyperlink r:id="rId11" w:history="1">
        <w:r w:rsidR="004971CB" w:rsidRPr="004971CB">
          <w:rPr>
            <w:color w:val="0000FF" w:themeColor="hyperlink"/>
            <w:u w:val="single"/>
          </w:rPr>
          <w:t>Siavash.Motearefi@fwc.gov.au</w:t>
        </w:r>
      </w:hyperlink>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5248" w14:textId="77777777" w:rsidR="00BC27ED" w:rsidRDefault="00BC27ED">
      <w:r>
        <w:separator/>
      </w:r>
    </w:p>
  </w:endnote>
  <w:endnote w:type="continuationSeparator" w:id="0">
    <w:p w14:paraId="03FBCAB2" w14:textId="77777777" w:rsidR="00BC27ED" w:rsidRDefault="00BC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F636" w14:textId="77777777" w:rsidR="00BC27ED" w:rsidRDefault="00BC27ED">
      <w:r>
        <w:separator/>
      </w:r>
    </w:p>
  </w:footnote>
  <w:footnote w:type="continuationSeparator" w:id="0">
    <w:p w14:paraId="418000F3" w14:textId="77777777" w:rsidR="00BC27ED" w:rsidRDefault="00BC27ED">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346175" w:rsidRPr="0025256B" w:rsidRDefault="00346175" w:rsidP="0025256B">
      <w:pPr>
        <w:pStyle w:val="FootnoteText"/>
        <w:ind w:left="284" w:hanging="284"/>
        <w:rPr>
          <w:sz w:val="16"/>
          <w:szCs w:val="16"/>
        </w:rPr>
      </w:pPr>
      <w:r>
        <w:rPr>
          <w:rStyle w:val="FootnoteReference"/>
        </w:rPr>
        <w:footnoteRef/>
      </w:r>
      <w:r>
        <w:rPr>
          <w:sz w:val="16"/>
          <w:szCs w:val="16"/>
        </w:rPr>
        <w:tab/>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14:paraId="5096FB18" w14:textId="77777777" w:rsidR="00346175" w:rsidRPr="0025256B" w:rsidRDefault="00346175" w:rsidP="000A62E9">
      <w:pPr>
        <w:pStyle w:val="FootnoteText"/>
        <w:ind w:left="284" w:hanging="284"/>
        <w:rPr>
          <w:sz w:val="16"/>
          <w:szCs w:val="16"/>
        </w:rPr>
      </w:pPr>
      <w:r>
        <w:rPr>
          <w:rStyle w:val="FootnoteReference"/>
        </w:rPr>
        <w:footnoteRef/>
      </w:r>
      <w:r w:rsidRPr="0025256B">
        <w:rPr>
          <w:sz w:val="16"/>
          <w:szCs w:val="16"/>
        </w:rPr>
        <w:t xml:space="preserve"> </w:t>
      </w:r>
      <w:r w:rsidRPr="0025256B">
        <w:rPr>
          <w:sz w:val="16"/>
          <w:szCs w:val="16"/>
        </w:rPr>
        <w:tab/>
      </w:r>
      <w:r w:rsidRPr="00FE3DBE">
        <w:rPr>
          <w:sz w:val="16"/>
          <w:szCs w:val="16"/>
        </w:rPr>
        <w:t>Based on information provided by the applicant in the application</w:t>
      </w:r>
      <w:r>
        <w:rPr>
          <w:sz w:val="16"/>
          <w:szCs w:val="16"/>
        </w:rPr>
        <w:t>. Applicants may select more than one option.</w:t>
      </w:r>
    </w:p>
  </w:footnote>
  <w:footnote w:id="12">
    <w:p w14:paraId="4B2BABAC" w14:textId="77777777" w:rsidR="00346175" w:rsidRDefault="00346175" w:rsidP="0025256B">
      <w:pPr>
        <w:pStyle w:val="FootnoteText"/>
        <w:ind w:left="284" w:hanging="284"/>
      </w:pPr>
      <w:r>
        <w:rPr>
          <w:rStyle w:val="FootnoteReference"/>
        </w:rPr>
        <w:footnoteRef/>
      </w:r>
      <w:r w:rsidRPr="0025256B">
        <w:rPr>
          <w:sz w:val="16"/>
          <w:szCs w:val="16"/>
        </w:rPr>
        <w:tab/>
      </w:r>
      <w:r w:rsidRPr="00FE3DBE">
        <w:rPr>
          <w:sz w:val="16"/>
          <w:szCs w:val="16"/>
        </w:rPr>
        <w:t>Based on information provided by the applicant in the application</w:t>
      </w:r>
      <w:r>
        <w:rPr>
          <w:sz w:val="16"/>
          <w:szCs w:val="16"/>
        </w:rPr>
        <w:t>.</w:t>
      </w:r>
    </w:p>
  </w:footnote>
  <w:footnote w:id="13">
    <w:p w14:paraId="6565CB29" w14:textId="77777777" w:rsidR="00346175" w:rsidRDefault="00346175" w:rsidP="0025256B">
      <w:pPr>
        <w:pStyle w:val="FootnoteText"/>
        <w:ind w:left="284" w:hanging="284"/>
      </w:pPr>
      <w:r>
        <w:rPr>
          <w:rStyle w:val="FootnoteReference"/>
        </w:rPr>
        <w:footnoteRef/>
      </w:r>
      <w:r>
        <w:tab/>
      </w:r>
      <w:r>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26A42"/>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42F7"/>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551B5"/>
    <w:rsid w:val="00162CE3"/>
    <w:rsid w:val="0016534C"/>
    <w:rsid w:val="00171870"/>
    <w:rsid w:val="00171877"/>
    <w:rsid w:val="001719D0"/>
    <w:rsid w:val="00172275"/>
    <w:rsid w:val="0017585A"/>
    <w:rsid w:val="00180DDB"/>
    <w:rsid w:val="00184B41"/>
    <w:rsid w:val="00191B00"/>
    <w:rsid w:val="00196F6B"/>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6175"/>
    <w:rsid w:val="00346F85"/>
    <w:rsid w:val="00352E35"/>
    <w:rsid w:val="003551AE"/>
    <w:rsid w:val="00370E19"/>
    <w:rsid w:val="00370F14"/>
    <w:rsid w:val="00381A1F"/>
    <w:rsid w:val="00384EA2"/>
    <w:rsid w:val="0039133F"/>
    <w:rsid w:val="0039289B"/>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2A64"/>
    <w:rsid w:val="003D7603"/>
    <w:rsid w:val="003D7CD4"/>
    <w:rsid w:val="003E25B2"/>
    <w:rsid w:val="003F3FC6"/>
    <w:rsid w:val="003F6073"/>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4516"/>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971CB"/>
    <w:rsid w:val="004A2B07"/>
    <w:rsid w:val="004B0398"/>
    <w:rsid w:val="004B4F5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110D"/>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229EF"/>
    <w:rsid w:val="00624E4B"/>
    <w:rsid w:val="006300E3"/>
    <w:rsid w:val="00640A01"/>
    <w:rsid w:val="00641B53"/>
    <w:rsid w:val="00642009"/>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747"/>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0CF5"/>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1E"/>
    <w:rsid w:val="009F194F"/>
    <w:rsid w:val="009F3C0F"/>
    <w:rsid w:val="009F4930"/>
    <w:rsid w:val="009F51CD"/>
    <w:rsid w:val="00A051EC"/>
    <w:rsid w:val="00A11B9E"/>
    <w:rsid w:val="00A14282"/>
    <w:rsid w:val="00A167A5"/>
    <w:rsid w:val="00A16BFF"/>
    <w:rsid w:val="00A263B7"/>
    <w:rsid w:val="00A30068"/>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518"/>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1F41"/>
    <w:rsid w:val="00B867E7"/>
    <w:rsid w:val="00B912A7"/>
    <w:rsid w:val="00B92CC8"/>
    <w:rsid w:val="00B975C6"/>
    <w:rsid w:val="00BA0FC1"/>
    <w:rsid w:val="00BB22D2"/>
    <w:rsid w:val="00BB337A"/>
    <w:rsid w:val="00BB3FBE"/>
    <w:rsid w:val="00BB4320"/>
    <w:rsid w:val="00BB54AC"/>
    <w:rsid w:val="00BC0951"/>
    <w:rsid w:val="00BC2397"/>
    <w:rsid w:val="00BC27ED"/>
    <w:rsid w:val="00BC330E"/>
    <w:rsid w:val="00BC6C4D"/>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133D"/>
    <w:rsid w:val="00D2569F"/>
    <w:rsid w:val="00D332F8"/>
    <w:rsid w:val="00D353E5"/>
    <w:rsid w:val="00D37285"/>
    <w:rsid w:val="00D374B9"/>
    <w:rsid w:val="00D42C42"/>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2737"/>
    <w:rsid w:val="00E52C2E"/>
    <w:rsid w:val="00E54ED2"/>
    <w:rsid w:val="00E576CE"/>
    <w:rsid w:val="00E61C1A"/>
    <w:rsid w:val="00E64AEF"/>
    <w:rsid w:val="00E73DA6"/>
    <w:rsid w:val="00E810C6"/>
    <w:rsid w:val="00E829E6"/>
    <w:rsid w:val="00E87D4F"/>
    <w:rsid w:val="00E92449"/>
    <w:rsid w:val="00E952BF"/>
    <w:rsid w:val="00E96B2C"/>
    <w:rsid w:val="00E97D1C"/>
    <w:rsid w:val="00EA2160"/>
    <w:rsid w:val="00EA2511"/>
    <w:rsid w:val="00EA5531"/>
    <w:rsid w:val="00EB2D81"/>
    <w:rsid w:val="00EB574A"/>
    <w:rsid w:val="00EB57C9"/>
    <w:rsid w:val="00EB643A"/>
    <w:rsid w:val="00EB66EC"/>
    <w:rsid w:val="00EB6D77"/>
    <w:rsid w:val="00EC1F32"/>
    <w:rsid w:val="00EC245D"/>
    <w:rsid w:val="00EC4787"/>
    <w:rsid w:val="00EC4CB2"/>
    <w:rsid w:val="00EC6E7A"/>
    <w:rsid w:val="00ED3D44"/>
    <w:rsid w:val="00ED51D8"/>
    <w:rsid w:val="00ED6840"/>
    <w:rsid w:val="00EE1834"/>
    <w:rsid w:val="00EE3B27"/>
    <w:rsid w:val="00EF4B57"/>
    <w:rsid w:val="00EF570A"/>
    <w:rsid w:val="00EF5D33"/>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5759"/>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026">
      <w:bodyDiv w:val="1"/>
      <w:marLeft w:val="0"/>
      <w:marRight w:val="0"/>
      <w:marTop w:val="0"/>
      <w:marBottom w:val="0"/>
      <w:divBdr>
        <w:top w:val="none" w:sz="0" w:space="0" w:color="auto"/>
        <w:left w:val="none" w:sz="0" w:space="0" w:color="auto"/>
        <w:bottom w:val="none" w:sz="0" w:space="0" w:color="auto"/>
        <w:right w:val="none" w:sz="0" w:space="0" w:color="auto"/>
      </w:divBdr>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2.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9C061F16-E5A6-4A06-BD4F-55C5BA3C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655</Words>
  <Characters>3751</Characters>
  <Application>Microsoft Office Word</Application>
  <DocSecurity>0</DocSecurity>
  <Lines>250</Lines>
  <Paragraphs>259</Paragraphs>
  <ScaleCrop>false</ScaleCrop>
  <HeadingPairs>
    <vt:vector size="2" baseType="variant">
      <vt:variant>
        <vt:lpstr>Title</vt:lpstr>
      </vt:variant>
      <vt:variant>
        <vt:i4>1</vt:i4>
      </vt:variant>
    </vt:vector>
  </HeadingPairs>
  <TitlesOfParts>
    <vt:vector size="1" baseType="lpstr">
      <vt:lpstr>Anti-bullying report Jan-Mar 2020 - 3rd quarter 2020-21</vt:lpstr>
    </vt:vector>
  </TitlesOfParts>
  <Company>Fair Work Commission</Company>
  <LinksUpToDate>false</LinksUpToDate>
  <CharactersWithSpaces>4147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Jan-Mar 2021 - 3rd quarter 2020-21</dc:title>
  <dc:creator>Fair Work Commission</dc:creator>
  <cp:lastModifiedBy>Julie Sincock</cp:lastModifiedBy>
  <cp:revision>7</cp:revision>
  <cp:lastPrinted>2019-04-30T02:05:00Z</cp:lastPrinted>
  <dcterms:created xsi:type="dcterms:W3CDTF">2021-04-09T06:15:00Z</dcterms:created>
  <dcterms:modified xsi:type="dcterms:W3CDTF">2021-04-29T07:53:00Z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