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bookmarkStart w:id="0" w:name="_GoBack"/>
      <w:bookmarkEnd w:id="0"/>
    </w:p>
    <w:p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F415C9">
        <w:rPr>
          <w:rFonts w:cs="Arial"/>
          <w:color w:val="000000" w:themeColor="text1"/>
        </w:rPr>
        <w:t>Oct</w:t>
      </w:r>
      <w:r w:rsidR="007E076F" w:rsidRPr="008F0A3D">
        <w:rPr>
          <w:rFonts w:cs="Arial"/>
          <w:color w:val="000000" w:themeColor="text1"/>
        </w:rPr>
        <w:t>-</w:t>
      </w:r>
      <w:r w:rsidR="00F415C9">
        <w:rPr>
          <w:rFonts w:cs="Arial"/>
          <w:color w:val="000000" w:themeColor="text1"/>
        </w:rPr>
        <w:t>Dec</w:t>
      </w:r>
      <w:r w:rsidR="00857D01" w:rsidRPr="008F0A3D">
        <w:rPr>
          <w:rFonts w:cs="Arial"/>
          <w:color w:val="000000" w:themeColor="text1"/>
        </w:rPr>
        <w:t xml:space="preserve"> 201</w:t>
      </w:r>
      <w:r w:rsidR="00D63C1B">
        <w:rPr>
          <w:rFonts w:cs="Arial"/>
          <w:color w:val="000000" w:themeColor="text1"/>
        </w:rPr>
        <w:t>8</w:t>
      </w:r>
    </w:p>
    <w:p w:rsidR="00857D01" w:rsidRDefault="00F415C9" w:rsidP="00857D01">
      <w:pPr>
        <w:pStyle w:val="Headline2"/>
        <w:tabs>
          <w:tab w:val="left" w:pos="5636"/>
        </w:tabs>
        <w:ind w:right="-286"/>
      </w:pPr>
      <w:r>
        <w:t>2nd</w:t>
      </w:r>
      <w:r w:rsidR="007E076F">
        <w:t xml:space="preserve"> Quarter 201</w:t>
      </w:r>
      <w:r w:rsidR="00D63C1B">
        <w:t>8</w:t>
      </w:r>
      <w:r w:rsidR="007E076F">
        <w:t>–1</w:t>
      </w:r>
      <w:r w:rsidR="00D63C1B">
        <w:t>9</w:t>
      </w:r>
    </w:p>
    <w:p w:rsidR="00857D01" w:rsidRDefault="00857D01" w:rsidP="00857D01">
      <w:pPr>
        <w:ind w:right="-57"/>
        <w:rPr>
          <w:rFonts w:cs="Arial"/>
        </w:rPr>
      </w:pPr>
      <w:r w:rsidRPr="00BD7ABF">
        <w:rPr>
          <w:rFonts w:cs="Arial"/>
        </w:rPr>
        <w:t xml:space="preserve">This quarterly report </w:t>
      </w:r>
      <w:r>
        <w:rPr>
          <w:rFonts w:cs="Arial"/>
        </w:rPr>
        <w:t xml:space="preserve">on unfair dismissals covers the period </w:t>
      </w:r>
      <w:r w:rsidR="007E076F">
        <w:rPr>
          <w:rFonts w:cs="Arial"/>
        </w:rPr>
        <w:t xml:space="preserve">1 </w:t>
      </w:r>
      <w:r w:rsidR="00F415C9">
        <w:rPr>
          <w:rFonts w:cs="Arial"/>
        </w:rPr>
        <w:t>October</w:t>
      </w:r>
      <w:r w:rsidR="008054C3">
        <w:rPr>
          <w:rFonts w:cs="Arial"/>
        </w:rPr>
        <w:t xml:space="preserve"> 201</w:t>
      </w:r>
      <w:r w:rsidR="00D63C1B">
        <w:rPr>
          <w:rFonts w:cs="Arial"/>
        </w:rPr>
        <w:t>8</w:t>
      </w:r>
      <w:r w:rsidR="00E7273D" w:rsidRPr="00AA0EA8">
        <w:rPr>
          <w:rFonts w:cs="Arial"/>
        </w:rPr>
        <w:t xml:space="preserve"> to </w:t>
      </w:r>
      <w:r w:rsidR="00E7273D">
        <w:rPr>
          <w:rFonts w:cs="Arial"/>
        </w:rPr>
        <w:t>3</w:t>
      </w:r>
      <w:r w:rsidR="00F415C9">
        <w:rPr>
          <w:rFonts w:cs="Arial"/>
        </w:rPr>
        <w:t>1</w:t>
      </w:r>
      <w:r w:rsidR="00E7273D" w:rsidRPr="00AA0EA8">
        <w:rPr>
          <w:rFonts w:cs="Arial"/>
        </w:rPr>
        <w:t xml:space="preserve"> </w:t>
      </w:r>
      <w:r w:rsidR="00F415C9">
        <w:rPr>
          <w:rFonts w:cs="Arial"/>
        </w:rPr>
        <w:t>Dec</w:t>
      </w:r>
      <w:r w:rsidR="008B745C">
        <w:rPr>
          <w:rFonts w:cs="Arial"/>
        </w:rPr>
        <w:t>ember</w:t>
      </w:r>
      <w:r w:rsidR="00E7273D">
        <w:rPr>
          <w:rFonts w:cs="Arial"/>
        </w:rPr>
        <w:t xml:space="preserve"> </w:t>
      </w:r>
      <w:r w:rsidR="007E076F" w:rsidRPr="00BD7ABF">
        <w:rPr>
          <w:rFonts w:cs="Arial"/>
        </w:rPr>
        <w:t>201</w:t>
      </w:r>
      <w:r w:rsidR="00D63C1B">
        <w:rPr>
          <w:rFonts w:cs="Arial"/>
        </w:rPr>
        <w:t>8</w:t>
      </w:r>
      <w:r w:rsidRPr="00BD7ABF">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rsidTr="00BD64F3">
        <w:trPr>
          <w:trHeight w:val="630"/>
          <w:tblHeader/>
        </w:trPr>
        <w:tc>
          <w:tcPr>
            <w:tcW w:w="851" w:type="dxa"/>
            <w:tcBorders>
              <w:top w:val="nil"/>
              <w:bottom w:val="single" w:sz="4" w:space="0" w:color="auto"/>
            </w:tcBorders>
          </w:tcPr>
          <w:p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rsidTr="00BD64F3">
        <w:trPr>
          <w:trHeight w:val="799"/>
        </w:trPr>
        <w:tc>
          <w:tcPr>
            <w:tcW w:w="851" w:type="dxa"/>
            <w:tcBorders>
              <w:top w:val="single" w:sz="4" w:space="0" w:color="auto"/>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rsidR="002366C5" w:rsidRDefault="00CC32BF" w:rsidP="00D63C1B">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1A43C6">
              <w:rPr>
                <w:rFonts w:cs="Arial"/>
                <w:color w:val="000000"/>
                <w:szCs w:val="20"/>
                <w:lang w:val="en-AU" w:eastAsia="en-AU"/>
              </w:rPr>
              <w:t>521</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637</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2042</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549</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535</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11</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192</w:t>
            </w:r>
          </w:p>
        </w:tc>
      </w:tr>
      <w:tr w:rsidR="002366C5" w:rsidRPr="007E4B3B" w:rsidTr="00C85BD1">
        <w:trPr>
          <w:trHeight w:val="215"/>
        </w:trPr>
        <w:tc>
          <w:tcPr>
            <w:tcW w:w="851" w:type="dxa"/>
            <w:vAlign w:val="center"/>
          </w:tcPr>
          <w:p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rsidTr="00BD64F3">
        <w:trPr>
          <w:trHeight w:val="340"/>
        </w:trPr>
        <w:tc>
          <w:tcPr>
            <w:tcW w:w="851" w:type="dxa"/>
            <w:vAlign w:val="center"/>
          </w:tcPr>
          <w:p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rsidTr="00BD64F3">
              <w:trPr>
                <w:trHeight w:val="453"/>
              </w:trPr>
              <w:tc>
                <w:tcPr>
                  <w:tcW w:w="5557" w:type="dxa"/>
                  <w:vAlign w:val="center"/>
                </w:tcPr>
                <w:p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Arbitrated proceedings final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rsidR="00062688" w:rsidRDefault="00B02DDB" w:rsidP="00062688">
                  <w:pPr>
                    <w:spacing w:after="0" w:line="240" w:lineRule="auto"/>
                    <w:ind w:right="284"/>
                    <w:jc w:val="right"/>
                  </w:pPr>
                  <w:r>
                    <w:rPr>
                      <w:rFonts w:eastAsia="Arial"/>
                      <w:b/>
                      <w:color w:val="000000"/>
                    </w:rPr>
                    <w:t>157</w:t>
                  </w:r>
                </w:p>
              </w:tc>
              <w:tc>
                <w:tcPr>
                  <w:tcW w:w="992" w:type="dxa"/>
                  <w:vAlign w:val="center"/>
                </w:tcPr>
                <w:p w:rsidR="00062688" w:rsidRDefault="00B02DDB" w:rsidP="00E7273D">
                  <w:pPr>
                    <w:spacing w:after="0" w:line="240" w:lineRule="auto"/>
                    <w:ind w:right="284"/>
                    <w:jc w:val="right"/>
                  </w:pPr>
                  <w:r>
                    <w:rPr>
                      <w:rFonts w:eastAsia="Arial"/>
                      <w:b/>
                      <w:color w:val="000000"/>
                    </w:rPr>
                    <w:t>81.8</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rsidR="00062688" w:rsidRDefault="00B02DDB" w:rsidP="00062688">
                  <w:pPr>
                    <w:spacing w:after="0" w:line="240" w:lineRule="auto"/>
                    <w:ind w:right="284"/>
                    <w:jc w:val="right"/>
                  </w:pPr>
                  <w:r>
                    <w:t>48</w:t>
                  </w:r>
                </w:p>
              </w:tc>
              <w:tc>
                <w:tcPr>
                  <w:tcW w:w="992" w:type="dxa"/>
                  <w:vAlign w:val="center"/>
                </w:tcPr>
                <w:p w:rsidR="00062688" w:rsidRDefault="00B02DDB" w:rsidP="00062688">
                  <w:pPr>
                    <w:spacing w:after="0" w:line="240" w:lineRule="auto"/>
                    <w:ind w:right="284"/>
                    <w:jc w:val="right"/>
                  </w:pPr>
                  <w:r>
                    <w:rPr>
                      <w:rFonts w:eastAsia="Arial"/>
                      <w:color w:val="000000"/>
                    </w:rPr>
                    <w:t>25.0</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rsidR="00062688" w:rsidRDefault="00B02DDB" w:rsidP="00062688">
                  <w:pPr>
                    <w:spacing w:after="0" w:line="240" w:lineRule="auto"/>
                    <w:ind w:right="284"/>
                    <w:jc w:val="right"/>
                  </w:pPr>
                  <w:r>
                    <w:rPr>
                      <w:rFonts w:eastAsia="Arial"/>
                      <w:color w:val="000000"/>
                    </w:rPr>
                    <w:t>16</w:t>
                  </w:r>
                </w:p>
              </w:tc>
              <w:tc>
                <w:tcPr>
                  <w:tcW w:w="992" w:type="dxa"/>
                  <w:vAlign w:val="center"/>
                </w:tcPr>
                <w:p w:rsidR="00062688" w:rsidRDefault="00B02DDB" w:rsidP="00062688">
                  <w:pPr>
                    <w:spacing w:after="0" w:line="240" w:lineRule="auto"/>
                    <w:ind w:right="284"/>
                    <w:jc w:val="right"/>
                  </w:pPr>
                  <w:r>
                    <w:rPr>
                      <w:rFonts w:eastAsia="Arial"/>
                      <w:color w:val="000000"/>
                    </w:rPr>
                    <w:t>8.3</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rsidR="00062688" w:rsidRDefault="00B02DDB" w:rsidP="00062688">
                  <w:pPr>
                    <w:spacing w:after="0" w:line="240" w:lineRule="auto"/>
                    <w:ind w:right="284"/>
                    <w:jc w:val="right"/>
                  </w:pPr>
                  <w:r>
                    <w:rPr>
                      <w:rFonts w:eastAsia="Arial"/>
                      <w:color w:val="000000"/>
                    </w:rPr>
                    <w:t>93</w:t>
                  </w:r>
                </w:p>
              </w:tc>
              <w:tc>
                <w:tcPr>
                  <w:tcW w:w="992" w:type="dxa"/>
                  <w:vAlign w:val="center"/>
                </w:tcPr>
                <w:p w:rsidR="00062688" w:rsidRDefault="00B02DDB" w:rsidP="00062688">
                  <w:pPr>
                    <w:spacing w:after="0" w:line="240" w:lineRule="auto"/>
                    <w:ind w:right="284"/>
                    <w:jc w:val="right"/>
                  </w:pPr>
                  <w:r>
                    <w:rPr>
                      <w:rFonts w:eastAsia="Arial"/>
                      <w:color w:val="000000"/>
                    </w:rPr>
                    <w:t>48.4</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rsidR="00062688" w:rsidRDefault="00B02DDB" w:rsidP="00062688">
                  <w:pPr>
                    <w:spacing w:after="0" w:line="240" w:lineRule="auto"/>
                    <w:ind w:right="284"/>
                    <w:jc w:val="right"/>
                  </w:pPr>
                  <w:r>
                    <w:rPr>
                      <w:rFonts w:eastAsia="Arial"/>
                      <w:b/>
                      <w:color w:val="000000"/>
                    </w:rPr>
                    <w:t>35</w:t>
                  </w:r>
                </w:p>
              </w:tc>
              <w:tc>
                <w:tcPr>
                  <w:tcW w:w="992" w:type="dxa"/>
                  <w:vAlign w:val="center"/>
                </w:tcPr>
                <w:p w:rsidR="00062688" w:rsidRDefault="00B02DDB" w:rsidP="00062688">
                  <w:pPr>
                    <w:spacing w:after="0" w:line="240" w:lineRule="auto"/>
                    <w:ind w:right="284"/>
                    <w:jc w:val="right"/>
                  </w:pPr>
                  <w:r>
                    <w:rPr>
                      <w:rFonts w:eastAsia="Arial"/>
                      <w:b/>
                      <w:color w:val="000000"/>
                    </w:rPr>
                    <w:t>18.2</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B02DDB" w:rsidP="00062688">
                  <w:pPr>
                    <w:spacing w:after="0" w:line="240" w:lineRule="auto"/>
                    <w:ind w:right="284"/>
                    <w:jc w:val="right"/>
                  </w:pPr>
                  <w:r>
                    <w:rPr>
                      <w:rFonts w:eastAsia="Arial"/>
                      <w:color w:val="000000"/>
                    </w:rPr>
                    <w:t>21</w:t>
                  </w:r>
                </w:p>
              </w:tc>
              <w:tc>
                <w:tcPr>
                  <w:tcW w:w="992" w:type="dxa"/>
                  <w:vAlign w:val="center"/>
                </w:tcPr>
                <w:p w:rsidR="00062688" w:rsidRDefault="00B02DDB" w:rsidP="00062688">
                  <w:pPr>
                    <w:spacing w:after="0" w:line="240" w:lineRule="auto"/>
                    <w:ind w:right="284"/>
                    <w:jc w:val="right"/>
                  </w:pPr>
                  <w:r>
                    <w:rPr>
                      <w:rFonts w:eastAsia="Arial"/>
                      <w:color w:val="000000"/>
                    </w:rPr>
                    <w:t>10.9</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235C12" w:rsidP="00062688">
                  <w:pPr>
                    <w:spacing w:after="0" w:line="240" w:lineRule="auto"/>
                    <w:ind w:right="284"/>
                    <w:jc w:val="right"/>
                  </w:pPr>
                  <w:r>
                    <w:rPr>
                      <w:rFonts w:eastAsia="Arial"/>
                      <w:color w:val="000000"/>
                    </w:rPr>
                    <w:t>2</w:t>
                  </w:r>
                </w:p>
              </w:tc>
              <w:tc>
                <w:tcPr>
                  <w:tcW w:w="992" w:type="dxa"/>
                  <w:vAlign w:val="center"/>
                </w:tcPr>
                <w:p w:rsidR="00062688" w:rsidRDefault="00D63C1B" w:rsidP="00B02DDB">
                  <w:pPr>
                    <w:spacing w:after="0" w:line="240" w:lineRule="auto"/>
                    <w:ind w:right="284"/>
                    <w:jc w:val="right"/>
                  </w:pPr>
                  <w:r>
                    <w:rPr>
                      <w:rFonts w:eastAsia="Arial"/>
                      <w:color w:val="000000"/>
                    </w:rPr>
                    <w:t>1.</w:t>
                  </w:r>
                  <w:r w:rsidR="00B02DDB">
                    <w:rPr>
                      <w:rFonts w:eastAsia="Arial"/>
                      <w:color w:val="000000"/>
                    </w:rPr>
                    <w:t>0</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B02DDB" w:rsidP="00062688">
                  <w:pPr>
                    <w:spacing w:after="0" w:line="240" w:lineRule="auto"/>
                    <w:ind w:right="284"/>
                    <w:jc w:val="right"/>
                  </w:pPr>
                  <w:r>
                    <w:rPr>
                      <w:rFonts w:eastAsia="Arial"/>
                      <w:color w:val="000000"/>
                    </w:rPr>
                    <w:t>2</w:t>
                  </w:r>
                </w:p>
              </w:tc>
              <w:tc>
                <w:tcPr>
                  <w:tcW w:w="992" w:type="dxa"/>
                  <w:vAlign w:val="center"/>
                </w:tcPr>
                <w:p w:rsidR="00062688" w:rsidRDefault="00B02DDB" w:rsidP="00062688">
                  <w:pPr>
                    <w:spacing w:after="0" w:line="240" w:lineRule="auto"/>
                    <w:ind w:right="284"/>
                    <w:jc w:val="right"/>
                  </w:pPr>
                  <w:r>
                    <w:rPr>
                      <w:rFonts w:eastAsia="Arial"/>
                      <w:color w:val="000000"/>
                    </w:rPr>
                    <w:t>1.0</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B02DDB" w:rsidP="00062688">
                  <w:pPr>
                    <w:spacing w:after="0" w:line="240" w:lineRule="auto"/>
                    <w:ind w:right="284"/>
                    <w:jc w:val="right"/>
                  </w:pPr>
                  <w:r>
                    <w:rPr>
                      <w:rFonts w:eastAsia="Arial"/>
                      <w:color w:val="000000"/>
                    </w:rPr>
                    <w:t>4</w:t>
                  </w:r>
                </w:p>
              </w:tc>
              <w:tc>
                <w:tcPr>
                  <w:tcW w:w="992" w:type="dxa"/>
                  <w:vAlign w:val="center"/>
                </w:tcPr>
                <w:p w:rsidR="00062688" w:rsidRDefault="00B02DDB" w:rsidP="00062688">
                  <w:pPr>
                    <w:spacing w:after="0" w:line="240" w:lineRule="auto"/>
                    <w:ind w:right="284"/>
                    <w:jc w:val="right"/>
                  </w:pPr>
                  <w:r>
                    <w:rPr>
                      <w:rFonts w:eastAsia="Arial"/>
                      <w:color w:val="000000"/>
                    </w:rPr>
                    <w:t>2.1</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B02DDB" w:rsidP="00062688">
                  <w:pPr>
                    <w:spacing w:after="0" w:line="240" w:lineRule="auto"/>
                    <w:ind w:right="284"/>
                    <w:jc w:val="right"/>
                  </w:pPr>
                  <w:r>
                    <w:rPr>
                      <w:rFonts w:eastAsia="Arial"/>
                      <w:color w:val="000000"/>
                    </w:rPr>
                    <w:t>6</w:t>
                  </w:r>
                </w:p>
              </w:tc>
              <w:tc>
                <w:tcPr>
                  <w:tcW w:w="992" w:type="dxa"/>
                  <w:vAlign w:val="center"/>
                </w:tcPr>
                <w:p w:rsidR="00062688" w:rsidRDefault="00B02DDB" w:rsidP="00062688">
                  <w:pPr>
                    <w:spacing w:after="0" w:line="240" w:lineRule="auto"/>
                    <w:ind w:right="284"/>
                    <w:jc w:val="right"/>
                  </w:pPr>
                  <w:r>
                    <w:rPr>
                      <w:rFonts w:eastAsia="Arial"/>
                      <w:color w:val="000000"/>
                    </w:rPr>
                    <w:t>3.1</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final results Australia wide</w:t>
                  </w:r>
                </w:p>
              </w:tc>
              <w:tc>
                <w:tcPr>
                  <w:tcW w:w="1134" w:type="dxa"/>
                  <w:vAlign w:val="center"/>
                </w:tcPr>
                <w:p w:rsidR="00062688" w:rsidRDefault="00B02DDB" w:rsidP="00062688">
                  <w:pPr>
                    <w:spacing w:after="0" w:line="240" w:lineRule="auto"/>
                    <w:ind w:right="284"/>
                    <w:jc w:val="right"/>
                  </w:pPr>
                  <w:r>
                    <w:rPr>
                      <w:rFonts w:eastAsia="Arial"/>
                      <w:b/>
                      <w:color w:val="000000"/>
                    </w:rPr>
                    <w:t>19</w:t>
                  </w:r>
                  <w:r w:rsidR="00D63C1B">
                    <w:rPr>
                      <w:rFonts w:eastAsia="Arial"/>
                      <w:b/>
                      <w:color w:val="000000"/>
                    </w:rPr>
                    <w:t>2</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rsidTr="00BD64F3">
        <w:trPr>
          <w:trHeight w:val="799"/>
        </w:trPr>
        <w:tc>
          <w:tcPr>
            <w:tcW w:w="851" w:type="dxa"/>
          </w:tcPr>
          <w:p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rsidTr="00BD64F3">
              <w:trPr>
                <w:trHeight w:val="397"/>
              </w:trPr>
              <w:tc>
                <w:tcPr>
                  <w:tcW w:w="5557" w:type="dxa"/>
                  <w:vAlign w:val="center"/>
                </w:tcPr>
                <w:p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rsidR="00062688" w:rsidRDefault="00B02DDB" w:rsidP="00062688">
                  <w:pPr>
                    <w:spacing w:after="0" w:line="240" w:lineRule="auto"/>
                    <w:ind w:right="284"/>
                    <w:jc w:val="right"/>
                  </w:pPr>
                  <w:r>
                    <w:rPr>
                      <w:rFonts w:eastAsia="Arial"/>
                      <w:b/>
                      <w:color w:val="000000"/>
                    </w:rPr>
                    <w:t>16</w:t>
                  </w:r>
                </w:p>
              </w:tc>
              <w:tc>
                <w:tcPr>
                  <w:tcW w:w="992" w:type="dxa"/>
                  <w:vAlign w:val="center"/>
                </w:tcPr>
                <w:p w:rsidR="00062688" w:rsidRDefault="00404676" w:rsidP="00D63C1B">
                  <w:pPr>
                    <w:spacing w:after="0" w:line="240" w:lineRule="auto"/>
                    <w:ind w:right="284"/>
                    <w:jc w:val="right"/>
                  </w:pPr>
                  <w:r>
                    <w:rPr>
                      <w:rFonts w:eastAsia="Arial"/>
                      <w:b/>
                      <w:color w:val="000000"/>
                    </w:rPr>
                    <w:t>3</w:t>
                  </w:r>
                  <w:r w:rsidR="00B02DDB">
                    <w:rPr>
                      <w:rFonts w:eastAsia="Arial"/>
                      <w:b/>
                      <w:color w:val="000000"/>
                    </w:rPr>
                    <w:t>1.4</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rsidR="00062688" w:rsidRPr="005C5307" w:rsidRDefault="00B02DDB" w:rsidP="00062688">
                  <w:pPr>
                    <w:spacing w:after="0" w:line="240" w:lineRule="auto"/>
                    <w:ind w:right="284"/>
                    <w:jc w:val="right"/>
                    <w:rPr>
                      <w:b/>
                    </w:rPr>
                  </w:pPr>
                  <w:r>
                    <w:rPr>
                      <w:b/>
                    </w:rPr>
                    <w:t>35</w:t>
                  </w:r>
                </w:p>
              </w:tc>
              <w:tc>
                <w:tcPr>
                  <w:tcW w:w="992" w:type="dxa"/>
                  <w:vAlign w:val="center"/>
                </w:tcPr>
                <w:p w:rsidR="00062688" w:rsidRDefault="00404676" w:rsidP="00D63C1B">
                  <w:pPr>
                    <w:spacing w:after="0" w:line="240" w:lineRule="auto"/>
                    <w:ind w:right="284"/>
                    <w:jc w:val="right"/>
                  </w:pPr>
                  <w:r>
                    <w:rPr>
                      <w:rFonts w:eastAsia="Arial"/>
                      <w:b/>
                      <w:color w:val="000000"/>
                    </w:rPr>
                    <w:t>6</w:t>
                  </w:r>
                  <w:r w:rsidR="00B02DDB">
                    <w:rPr>
                      <w:rFonts w:eastAsia="Arial"/>
                      <w:b/>
                      <w:color w:val="000000"/>
                    </w:rPr>
                    <w:t>8.6</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B02DDB" w:rsidP="00062688">
                  <w:pPr>
                    <w:spacing w:after="0" w:line="240" w:lineRule="auto"/>
                    <w:ind w:right="284"/>
                    <w:jc w:val="right"/>
                  </w:pPr>
                  <w:r>
                    <w:rPr>
                      <w:rFonts w:eastAsia="Arial"/>
                      <w:color w:val="000000"/>
                    </w:rPr>
                    <w:t>21</w:t>
                  </w:r>
                </w:p>
              </w:tc>
              <w:tc>
                <w:tcPr>
                  <w:tcW w:w="992" w:type="dxa"/>
                  <w:vAlign w:val="center"/>
                </w:tcPr>
                <w:p w:rsidR="00062688" w:rsidRDefault="00404676" w:rsidP="00D63C1B">
                  <w:pPr>
                    <w:spacing w:after="0" w:line="240" w:lineRule="auto"/>
                    <w:ind w:right="284"/>
                    <w:jc w:val="right"/>
                  </w:pPr>
                  <w:r>
                    <w:rPr>
                      <w:rFonts w:eastAsia="Arial"/>
                      <w:color w:val="000000"/>
                    </w:rPr>
                    <w:t>4</w:t>
                  </w:r>
                  <w:r w:rsidR="00B02DDB">
                    <w:rPr>
                      <w:rFonts w:eastAsia="Arial"/>
                      <w:color w:val="000000"/>
                    </w:rPr>
                    <w:t>1.2</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235C12" w:rsidP="00062688">
                  <w:pPr>
                    <w:spacing w:after="0" w:line="240" w:lineRule="auto"/>
                    <w:ind w:right="284"/>
                    <w:jc w:val="right"/>
                  </w:pPr>
                  <w:r>
                    <w:rPr>
                      <w:rFonts w:eastAsia="Arial"/>
                      <w:color w:val="000000"/>
                    </w:rPr>
                    <w:t>2</w:t>
                  </w:r>
                </w:p>
              </w:tc>
              <w:tc>
                <w:tcPr>
                  <w:tcW w:w="992" w:type="dxa"/>
                  <w:vAlign w:val="center"/>
                </w:tcPr>
                <w:p w:rsidR="00062688" w:rsidRDefault="00D63C1B" w:rsidP="00062688">
                  <w:pPr>
                    <w:spacing w:after="0" w:line="240" w:lineRule="auto"/>
                    <w:ind w:right="284"/>
                    <w:jc w:val="right"/>
                  </w:pPr>
                  <w:r>
                    <w:rPr>
                      <w:rFonts w:eastAsia="Arial"/>
                      <w:color w:val="000000"/>
                    </w:rPr>
                    <w:t>3</w:t>
                  </w:r>
                  <w:r w:rsidR="00B02DDB">
                    <w:rPr>
                      <w:rFonts w:eastAsia="Arial"/>
                      <w:color w:val="000000"/>
                    </w:rPr>
                    <w:t>.9</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B02DDB" w:rsidP="00062688">
                  <w:pPr>
                    <w:spacing w:after="0" w:line="240" w:lineRule="auto"/>
                    <w:ind w:right="284"/>
                    <w:jc w:val="right"/>
                  </w:pPr>
                  <w:r>
                    <w:rPr>
                      <w:rFonts w:eastAsia="Arial"/>
                      <w:color w:val="000000"/>
                    </w:rPr>
                    <w:t>2</w:t>
                  </w:r>
                </w:p>
              </w:tc>
              <w:tc>
                <w:tcPr>
                  <w:tcW w:w="992" w:type="dxa"/>
                  <w:vAlign w:val="center"/>
                </w:tcPr>
                <w:p w:rsidR="00062688" w:rsidRDefault="00B02DDB" w:rsidP="00D63C1B">
                  <w:pPr>
                    <w:spacing w:after="0" w:line="240" w:lineRule="auto"/>
                    <w:ind w:right="284"/>
                    <w:jc w:val="right"/>
                  </w:pPr>
                  <w:r>
                    <w:rPr>
                      <w:rFonts w:eastAsia="Arial"/>
                      <w:color w:val="000000"/>
                    </w:rPr>
                    <w:t>3.9</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B02DDB" w:rsidP="00062688">
                  <w:pPr>
                    <w:spacing w:after="0" w:line="240" w:lineRule="auto"/>
                    <w:ind w:right="284"/>
                    <w:jc w:val="right"/>
                  </w:pPr>
                  <w:r>
                    <w:rPr>
                      <w:rFonts w:eastAsia="Arial"/>
                      <w:color w:val="000000"/>
                    </w:rPr>
                    <w:t>4</w:t>
                  </w:r>
                </w:p>
              </w:tc>
              <w:tc>
                <w:tcPr>
                  <w:tcW w:w="992" w:type="dxa"/>
                  <w:vAlign w:val="center"/>
                </w:tcPr>
                <w:p w:rsidR="00062688" w:rsidRDefault="00B02DDB" w:rsidP="00062688">
                  <w:pPr>
                    <w:spacing w:after="0" w:line="240" w:lineRule="auto"/>
                    <w:ind w:right="284"/>
                    <w:jc w:val="right"/>
                  </w:pPr>
                  <w:r>
                    <w:rPr>
                      <w:rFonts w:eastAsia="Arial"/>
                      <w:color w:val="000000"/>
                    </w:rPr>
                    <w:t>7.8</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B02DDB" w:rsidP="00062688">
                  <w:pPr>
                    <w:spacing w:after="0" w:line="240" w:lineRule="auto"/>
                    <w:ind w:right="284"/>
                    <w:jc w:val="right"/>
                  </w:pPr>
                  <w:r>
                    <w:rPr>
                      <w:rFonts w:eastAsia="Arial"/>
                      <w:color w:val="000000"/>
                    </w:rPr>
                    <w:t>6</w:t>
                  </w:r>
                </w:p>
              </w:tc>
              <w:tc>
                <w:tcPr>
                  <w:tcW w:w="992" w:type="dxa"/>
                  <w:vAlign w:val="center"/>
                </w:tcPr>
                <w:p w:rsidR="00062688" w:rsidRDefault="00B02DDB" w:rsidP="00062688">
                  <w:pPr>
                    <w:spacing w:after="0" w:line="240" w:lineRule="auto"/>
                    <w:ind w:right="284"/>
                    <w:jc w:val="right"/>
                  </w:pPr>
                  <w:r>
                    <w:rPr>
                      <w:rFonts w:eastAsia="Arial"/>
                      <w:color w:val="000000"/>
                    </w:rPr>
                    <w:t>11.8</w:t>
                  </w:r>
                </w:p>
              </w:tc>
            </w:tr>
            <w:tr w:rsidR="00062688" w:rsidTr="00BD64F3">
              <w:trPr>
                <w:trHeight w:val="397"/>
              </w:trPr>
              <w:tc>
                <w:tcPr>
                  <w:tcW w:w="5557" w:type="dxa"/>
                  <w:vAlign w:val="center"/>
                </w:tcPr>
                <w:p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rsidR="00062688" w:rsidRPr="00235C12" w:rsidRDefault="00B02DDB" w:rsidP="00062688">
                  <w:pPr>
                    <w:spacing w:after="0" w:line="240" w:lineRule="auto"/>
                    <w:ind w:right="284"/>
                    <w:jc w:val="right"/>
                    <w:rPr>
                      <w:b/>
                    </w:rPr>
                  </w:pPr>
                  <w:r>
                    <w:rPr>
                      <w:b/>
                    </w:rPr>
                    <w:t>51</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rsidTr="00BD64F3">
        <w:trPr>
          <w:trHeight w:val="340"/>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81"/>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77"/>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2591</w:t>
            </w:r>
          </w:p>
        </w:tc>
      </w:tr>
      <w:tr w:rsidR="002366C5" w:rsidRPr="007E4B3B" w:rsidTr="00C85BD1">
        <w:trPr>
          <w:trHeight w:val="715"/>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2679</w:t>
            </w:r>
          </w:p>
        </w:tc>
      </w:tr>
      <w:tr w:rsidR="002366C5" w:rsidRPr="007E4B3B" w:rsidTr="00C85BD1">
        <w:trPr>
          <w:trHeight w:val="683"/>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3225</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2488</w:t>
            </w:r>
          </w:p>
        </w:tc>
      </w:tr>
      <w:tr w:rsidR="002366C5" w:rsidRPr="007E4B3B" w:rsidTr="00BD64F3">
        <w:trPr>
          <w:trHeight w:val="799"/>
        </w:trPr>
        <w:tc>
          <w:tcPr>
            <w:tcW w:w="851" w:type="dxa"/>
            <w:tcBorders>
              <w:bottom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46</w:t>
            </w: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p>
        </w:tc>
      </w:tr>
      <w:tr w:rsidR="002366C5" w:rsidRPr="00FF7E49"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1171</w:t>
            </w:r>
          </w:p>
        </w:tc>
      </w:tr>
      <w:tr w:rsidR="002366C5" w:rsidRPr="007E4B3B" w:rsidTr="00BD64F3">
        <w:trPr>
          <w:trHeight w:val="799"/>
        </w:trPr>
        <w:tc>
          <w:tcPr>
            <w:tcW w:w="851" w:type="dxa"/>
            <w:tcBorders>
              <w:top w:val="nil"/>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37</w:t>
            </w:r>
          </w:p>
        </w:tc>
      </w:tr>
      <w:tr w:rsidR="002366C5" w:rsidRPr="00290B0D" w:rsidTr="00BD64F3">
        <w:trPr>
          <w:trHeight w:val="799"/>
        </w:trPr>
        <w:tc>
          <w:tcPr>
            <w:tcW w:w="851" w:type="dxa"/>
            <w:tcBorders>
              <w:top w:val="single" w:sz="4" w:space="0" w:color="auto"/>
              <w:bottom w:val="single" w:sz="4" w:space="0" w:color="D9D9D9" w:themeColor="background1" w:themeShade="D9"/>
              <w:right w:val="nil"/>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rsidTr="00BD64F3">
        <w:trPr>
          <w:trHeight w:val="799"/>
        </w:trPr>
        <w:tc>
          <w:tcPr>
            <w:tcW w:w="851" w:type="dxa"/>
            <w:tcBorders>
              <w:top w:val="single" w:sz="4" w:space="0" w:color="D9D9D9" w:themeColor="background1" w:themeShade="D9"/>
              <w:bottom w:val="single" w:sz="4" w:space="0" w:color="auto"/>
              <w:right w:val="nil"/>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79</w:t>
            </w:r>
          </w:p>
        </w:tc>
      </w:tr>
    </w:tbl>
    <w:p w:rsidR="00857D01" w:rsidRDefault="00857D01" w:rsidP="00857D01">
      <w:pPr>
        <w:spacing w:after="0"/>
        <w:ind w:right="0"/>
        <w:rPr>
          <w:rFonts w:cs="Arial"/>
        </w:rPr>
      </w:pPr>
    </w:p>
    <w:p w:rsidR="00857D01" w:rsidRDefault="00857D01" w:rsidP="00857D01">
      <w:pPr>
        <w:spacing w:after="0"/>
        <w:ind w:right="0"/>
        <w:rPr>
          <w:rFonts w:cs="Arial"/>
        </w:rPr>
      </w:pPr>
    </w:p>
    <w:p w:rsidR="00857D01" w:rsidRDefault="00857D01" w:rsidP="00857D01">
      <w:pPr>
        <w:spacing w:after="0"/>
        <w:ind w:right="0"/>
        <w:rPr>
          <w:rFonts w:cs="Arial"/>
          <w:b/>
          <w:sz w:val="18"/>
          <w:szCs w:val="18"/>
        </w:rPr>
      </w:pPr>
    </w:p>
    <w:p w:rsidR="00857D01" w:rsidRDefault="00857D01" w:rsidP="00857D01">
      <w:pPr>
        <w:pStyle w:val="Headline3"/>
        <w:ind w:right="-2"/>
      </w:pPr>
      <w:r w:rsidRPr="001D312A">
        <w:t>Disclaimer</w:t>
      </w:r>
    </w:p>
    <w:p w:rsidR="00DF75D5" w:rsidRDefault="00DF75D5" w:rsidP="00DF75D5">
      <w:pPr>
        <w:spacing w:after="0"/>
        <w:ind w:right="-2"/>
        <w:rPr>
          <w:rFonts w:cs="Arial"/>
          <w:sz w:val="18"/>
          <w:szCs w:val="18"/>
        </w:rPr>
      </w:pPr>
      <w:r>
        <w:rPr>
          <w:rFonts w:cs="Arial"/>
          <w:sz w:val="18"/>
          <w:szCs w:val="18"/>
        </w:rPr>
        <w:t>This report should be read in conjunction with the Fair Work Commission information note for Quarterly reports</w:t>
      </w:r>
      <w:r w:rsidR="0033358F">
        <w:rPr>
          <w:rFonts w:cs="Arial"/>
          <w:sz w:val="18"/>
          <w:szCs w:val="18"/>
        </w:rPr>
        <w:t>.</w:t>
      </w:r>
    </w:p>
    <w:p w:rsidR="00DF75D5" w:rsidRDefault="00DF75D5" w:rsidP="00857D01">
      <w:pPr>
        <w:spacing w:after="0"/>
        <w:ind w:right="-2"/>
        <w:rPr>
          <w:rFonts w:cs="Arial"/>
          <w:sz w:val="18"/>
          <w:szCs w:val="18"/>
        </w:rPr>
      </w:pPr>
    </w:p>
    <w:p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rsidR="00857D01" w:rsidRDefault="00857D01" w:rsidP="00857D01">
      <w:pPr>
        <w:ind w:right="-2"/>
        <w:rPr>
          <w:rFonts w:cs="Arial"/>
        </w:rPr>
      </w:pPr>
    </w:p>
    <w:p w:rsidR="00857D01" w:rsidRDefault="00857D01" w:rsidP="00857D01">
      <w:pPr>
        <w:pStyle w:val="Headline3"/>
        <w:ind w:right="-2"/>
      </w:pPr>
      <w:r>
        <w:t>Further information</w:t>
      </w:r>
    </w:p>
    <w:p w:rsidR="001A43C6" w:rsidRDefault="001A43C6" w:rsidP="001A43C6">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Noel Hanssens, Director, Tribunal Data and Reporting by phone 03 8656 4807 or by email </w:t>
      </w:r>
      <w:hyperlink r:id="rId12" w:history="1">
        <w:r>
          <w:rPr>
            <w:rStyle w:val="Hyperlink"/>
          </w:rPr>
          <w:t>noel.hanssens@fwc.gov.au</w:t>
        </w:r>
      </w:hyperlink>
      <w:r>
        <w:t xml:space="preserve"> </w:t>
      </w:r>
    </w:p>
    <w:p w:rsidR="00701831" w:rsidRPr="00701831" w:rsidRDefault="00701831" w:rsidP="005C5307">
      <w:pPr>
        <w:pStyle w:val="ListBullet1"/>
        <w:numPr>
          <w:ilvl w:val="0"/>
          <w:numId w:val="0"/>
        </w:numPr>
        <w:tabs>
          <w:tab w:val="left" w:pos="720"/>
        </w:tabs>
        <w:ind w:right="-2"/>
      </w:pPr>
    </w:p>
    <w:sectPr w:rsidR="00701831" w:rsidRPr="00701831" w:rsidSect="00E54ED2">
      <w:headerReference w:type="even" r:id="rId13"/>
      <w:footerReference w:type="default" r:id="rId14"/>
      <w:headerReference w:type="first" r:id="rId15"/>
      <w:footerReference w:type="first" r:id="rId16"/>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77" w:rsidRDefault="00A93077">
      <w:r>
        <w:separator/>
      </w:r>
    </w:p>
  </w:endnote>
  <w:endnote w:type="continuationSeparator" w:id="0">
    <w:p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02166D">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02166D">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02166D">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02166D">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77" w:rsidRDefault="00A93077">
      <w:r>
        <w:separator/>
      </w:r>
    </w:p>
  </w:footnote>
  <w:footnote w:type="continuationSeparator" w:id="0">
    <w:p w:rsidR="00A93077" w:rsidRDefault="00A93077">
      <w:r>
        <w:continuationSeparator/>
      </w:r>
    </w:p>
  </w:footnote>
  <w:footnote w:id="1">
    <w:p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rsidR="00A93077" w:rsidRPr="000D01F9" w:rsidRDefault="00A93077" w:rsidP="000B423F">
      <w:pPr>
        <w:pStyle w:val="FootnoteText"/>
        <w:tabs>
          <w:tab w:val="left" w:pos="7655"/>
        </w:tabs>
        <w:ind w:right="0"/>
        <w:rPr>
          <w:lang w:val="en-AU"/>
        </w:rPr>
      </w:pPr>
      <w:r>
        <w:rPr>
          <w:rStyle w:val="FootnoteReference"/>
        </w:rPr>
        <w:footnoteRef/>
      </w:r>
      <w:r>
        <w:t xml:space="preserve"> </w:t>
      </w:r>
      <w:proofErr w:type="gramStart"/>
      <w:r w:rsidRPr="00F37323">
        <w:rPr>
          <w:rFonts w:cs="Arial"/>
          <w:color w:val="000000"/>
          <w:sz w:val="16"/>
          <w:szCs w:val="16"/>
          <w:lang w:eastAsia="en-AU"/>
        </w:rPr>
        <w:t>A count of Applications that have been withdrawn prior to conciliation.</w:t>
      </w:r>
      <w:proofErr w:type="gramEnd"/>
      <w:r w:rsidRPr="00F37323">
        <w:rPr>
          <w:rFonts w:cs="Arial"/>
          <w:color w:val="000000"/>
          <w:sz w:val="16"/>
          <w:szCs w:val="16"/>
          <w:lang w:eastAsia="en-AU"/>
        </w:rPr>
        <w:t xml:space="preserve">  </w:t>
      </w:r>
    </w:p>
  </w:footnote>
  <w:footnote w:id="3">
    <w:p w:rsidR="00A93077" w:rsidRPr="00DF75D5" w:rsidRDefault="00A93077" w:rsidP="000B423F">
      <w:pPr>
        <w:pStyle w:val="FootnoteText"/>
        <w:ind w:right="0"/>
        <w:rPr>
          <w:lang w:val="en-AU"/>
        </w:rPr>
      </w:pPr>
      <w:r>
        <w:rPr>
          <w:rStyle w:val="FootnoteReference"/>
        </w:rPr>
        <w:footnoteRef/>
      </w:r>
      <w:r>
        <w:t xml:space="preserve"> </w:t>
      </w:r>
      <w:proofErr w:type="gramStart"/>
      <w:r w:rsidRPr="00F37323">
        <w:rPr>
          <w:rFonts w:cs="Arial"/>
          <w:color w:val="000000"/>
          <w:sz w:val="16"/>
          <w:szCs w:val="16"/>
          <w:lang w:eastAsia="en-AU"/>
        </w:rPr>
        <w:t>Does not include applications dismissed by the Commission prior to conciliation pursuant to sections 399A or 587.</w:t>
      </w:r>
      <w:proofErr w:type="gramEnd"/>
    </w:p>
  </w:footnote>
  <w:footnote w:id="4">
    <w:p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w:t>
      </w:r>
      <w:proofErr w:type="gramStart"/>
      <w:r w:rsidRPr="000B423F">
        <w:rPr>
          <w:rFonts w:cs="Arial"/>
          <w:sz w:val="16"/>
          <w:szCs w:val="16"/>
        </w:rPr>
        <w:t>I</w:t>
      </w:r>
      <w:r w:rsidRPr="000B423F">
        <w:rPr>
          <w:rFonts w:cs="Arial"/>
          <w:color w:val="000000"/>
          <w:sz w:val="16"/>
          <w:szCs w:val="16"/>
          <w:lang w:eastAsia="en-AU"/>
        </w:rPr>
        <w:t>ncludes all settled and not settled conciliations before a conciliator.</w:t>
      </w:r>
      <w:proofErr w:type="gramEnd"/>
      <w:r w:rsidRPr="000B423F">
        <w:rPr>
          <w:rFonts w:cs="Arial"/>
          <w:color w:val="000000"/>
          <w:sz w:val="16"/>
          <w:szCs w:val="16"/>
          <w:lang w:eastAsia="en-AU"/>
        </w:rPr>
        <w:t xml:space="preserve"> Does not include applications withdraws after conciliation.  Conciliation refers to conciliations conducted by Fair Work Commission employees</w:t>
      </w:r>
    </w:p>
  </w:footnote>
  <w:footnote w:id="5">
    <w:p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02166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A93077" w:rsidRDefault="00A93077" w:rsidP="00B74701">
    <w:pPr>
      <w:rPr>
        <w:sz w:val="16"/>
        <w:szCs w:val="16"/>
      </w:rPr>
    </w:pPr>
  </w:p>
  <w:p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62F6"/>
    <w:rsid w:val="00020663"/>
    <w:rsid w:val="0002166D"/>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71870"/>
    <w:rsid w:val="001719D0"/>
    <w:rsid w:val="001735C0"/>
    <w:rsid w:val="00180DDB"/>
    <w:rsid w:val="00184B41"/>
    <w:rsid w:val="001974B5"/>
    <w:rsid w:val="001A062B"/>
    <w:rsid w:val="001A43C6"/>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5EB1"/>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5307"/>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47047"/>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9097E"/>
    <w:rsid w:val="007A4839"/>
    <w:rsid w:val="007B26A4"/>
    <w:rsid w:val="007B5E2A"/>
    <w:rsid w:val="007B7151"/>
    <w:rsid w:val="007C1C99"/>
    <w:rsid w:val="007C38FD"/>
    <w:rsid w:val="007C7A59"/>
    <w:rsid w:val="007D076D"/>
    <w:rsid w:val="007D179C"/>
    <w:rsid w:val="007E00FA"/>
    <w:rsid w:val="007E076F"/>
    <w:rsid w:val="007E4B3B"/>
    <w:rsid w:val="007E559F"/>
    <w:rsid w:val="008031A3"/>
    <w:rsid w:val="008054C3"/>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400B"/>
    <w:rsid w:val="00A263B7"/>
    <w:rsid w:val="00A30891"/>
    <w:rsid w:val="00A30D80"/>
    <w:rsid w:val="00A353AB"/>
    <w:rsid w:val="00A3644E"/>
    <w:rsid w:val="00A42C38"/>
    <w:rsid w:val="00A437AF"/>
    <w:rsid w:val="00A509FF"/>
    <w:rsid w:val="00A55F0D"/>
    <w:rsid w:val="00A56796"/>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02DDB"/>
    <w:rsid w:val="00B14548"/>
    <w:rsid w:val="00B17CDE"/>
    <w:rsid w:val="00B3115A"/>
    <w:rsid w:val="00B32F0D"/>
    <w:rsid w:val="00B41277"/>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63C1B"/>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15C9"/>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297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oel.hanssens@fw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1c541ee4-6bb6-4651-b50f-6126f84c8d2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CDCE71-FABE-462A-A773-E085935D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2767</Characters>
  <Application>Microsoft Office Word</Application>
  <DocSecurity>4</DocSecurity>
  <Lines>153</Lines>
  <Paragraphs>136</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3148</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HO, Bonnie</cp:lastModifiedBy>
  <cp:revision>2</cp:revision>
  <cp:lastPrinted>2019-01-13T23:18:00Z</cp:lastPrinted>
  <dcterms:created xsi:type="dcterms:W3CDTF">2019-01-29T23:04:00Z</dcterms:created>
  <dcterms:modified xsi:type="dcterms:W3CDTF">2019-01-29T23:04:00Z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