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2" w:rsidRPr="00E54ED2" w:rsidRDefault="00E54ED2" w:rsidP="00E54ED2">
      <w:pPr>
        <w:pStyle w:val="Headline"/>
        <w:spacing w:before="0" w:after="0"/>
        <w:rPr>
          <w:rFonts w:cs="Arial"/>
          <w:sz w:val="2"/>
          <w:szCs w:val="2"/>
        </w:rPr>
      </w:pPr>
      <w:bookmarkStart w:id="0" w:name="_GoBack"/>
    </w:p>
    <w:bookmarkEnd w:id="0"/>
    <w:p w:rsidR="00857D01" w:rsidRPr="008F0A3D" w:rsidRDefault="005B43DC" w:rsidP="00857D01">
      <w:pPr>
        <w:pStyle w:val="Headline"/>
        <w:rPr>
          <w:rFonts w:cs="Arial"/>
          <w:color w:val="000000" w:themeColor="text1"/>
        </w:rPr>
      </w:pPr>
      <w:r w:rsidRPr="008F0A3D">
        <w:rPr>
          <w:rFonts w:cs="Arial"/>
          <w:color w:val="000000" w:themeColor="text1"/>
        </w:rPr>
        <w:t>Unfair d</w:t>
      </w:r>
      <w:r w:rsidR="00394767" w:rsidRPr="008F0A3D">
        <w:rPr>
          <w:rFonts w:cs="Arial"/>
          <w:color w:val="000000" w:themeColor="text1"/>
        </w:rPr>
        <w:t xml:space="preserve">ismissals </w:t>
      </w:r>
      <w:r w:rsidR="00BD7ABF" w:rsidRPr="008F0A3D">
        <w:rPr>
          <w:rFonts w:cs="Arial"/>
          <w:color w:val="000000" w:themeColor="text1"/>
        </w:rPr>
        <w:t xml:space="preserve">report </w:t>
      </w:r>
      <w:r w:rsidR="006418EE">
        <w:rPr>
          <w:rFonts w:cs="Arial"/>
          <w:color w:val="000000" w:themeColor="text1"/>
        </w:rPr>
        <w:t>Jan</w:t>
      </w:r>
      <w:r w:rsidR="007E076F" w:rsidRPr="008F0A3D">
        <w:rPr>
          <w:rFonts w:cs="Arial"/>
          <w:color w:val="000000" w:themeColor="text1"/>
        </w:rPr>
        <w:t>-</w:t>
      </w:r>
      <w:r w:rsidR="006418EE">
        <w:rPr>
          <w:rFonts w:cs="Arial"/>
          <w:color w:val="000000" w:themeColor="text1"/>
        </w:rPr>
        <w:t>Mar</w:t>
      </w:r>
      <w:r w:rsidR="00857D01" w:rsidRPr="008F0A3D">
        <w:rPr>
          <w:rFonts w:cs="Arial"/>
          <w:color w:val="000000" w:themeColor="text1"/>
        </w:rPr>
        <w:t xml:space="preserve"> 201</w:t>
      </w:r>
      <w:r w:rsidR="006418EE">
        <w:rPr>
          <w:rFonts w:cs="Arial"/>
          <w:color w:val="000000" w:themeColor="text1"/>
        </w:rPr>
        <w:t>8</w:t>
      </w:r>
    </w:p>
    <w:p w:rsidR="00857D01" w:rsidRDefault="006418EE" w:rsidP="00857D01">
      <w:pPr>
        <w:pStyle w:val="Headline2"/>
        <w:tabs>
          <w:tab w:val="left" w:pos="5636"/>
        </w:tabs>
        <w:ind w:right="-286"/>
      </w:pPr>
      <w:r>
        <w:t>3r</w:t>
      </w:r>
      <w:r w:rsidR="00150F0E">
        <w:t>d</w:t>
      </w:r>
      <w:r w:rsidR="007E076F">
        <w:t xml:space="preserve"> Quarter 201</w:t>
      </w:r>
      <w:r w:rsidR="008054C3">
        <w:t>7</w:t>
      </w:r>
      <w:r w:rsidR="007E076F">
        <w:t>–1</w:t>
      </w:r>
      <w:r w:rsidR="008054C3">
        <w:t>8</w:t>
      </w:r>
    </w:p>
    <w:p w:rsidR="00857D01" w:rsidRDefault="00857D01" w:rsidP="00857D01">
      <w:pPr>
        <w:ind w:right="-57"/>
        <w:rPr>
          <w:rFonts w:cs="Arial"/>
        </w:rPr>
      </w:pPr>
      <w:r w:rsidRPr="00BD7ABF">
        <w:rPr>
          <w:rFonts w:cs="Arial"/>
        </w:rPr>
        <w:t xml:space="preserve">This quarterly report </w:t>
      </w:r>
      <w:r>
        <w:rPr>
          <w:rFonts w:cs="Arial"/>
        </w:rPr>
        <w:t xml:space="preserve">on unfair dismissals covers the period </w:t>
      </w:r>
      <w:r w:rsidR="007E076F">
        <w:rPr>
          <w:rFonts w:cs="Arial"/>
        </w:rPr>
        <w:t xml:space="preserve">1 </w:t>
      </w:r>
      <w:r w:rsidR="006418EE">
        <w:rPr>
          <w:rFonts w:cs="Arial"/>
        </w:rPr>
        <w:t>January</w:t>
      </w:r>
      <w:r w:rsidR="008054C3">
        <w:rPr>
          <w:rFonts w:cs="Arial"/>
        </w:rPr>
        <w:t xml:space="preserve"> 201</w:t>
      </w:r>
      <w:r w:rsidR="006418EE">
        <w:rPr>
          <w:rFonts w:cs="Arial"/>
        </w:rPr>
        <w:t>8</w:t>
      </w:r>
      <w:r w:rsidR="00E7273D" w:rsidRPr="00AA0EA8">
        <w:rPr>
          <w:rFonts w:cs="Arial"/>
        </w:rPr>
        <w:t xml:space="preserve"> to </w:t>
      </w:r>
      <w:r w:rsidR="00E7273D">
        <w:rPr>
          <w:rFonts w:cs="Arial"/>
        </w:rPr>
        <w:t>3</w:t>
      </w:r>
      <w:r w:rsidR="00150F0E">
        <w:rPr>
          <w:rFonts w:cs="Arial"/>
        </w:rPr>
        <w:t>1</w:t>
      </w:r>
      <w:r w:rsidR="00E7273D" w:rsidRPr="00AA0EA8">
        <w:rPr>
          <w:rFonts w:cs="Arial"/>
        </w:rPr>
        <w:t xml:space="preserve"> </w:t>
      </w:r>
      <w:r w:rsidR="006418EE">
        <w:rPr>
          <w:rFonts w:cs="Arial"/>
        </w:rPr>
        <w:t>March</w:t>
      </w:r>
      <w:r w:rsidR="00E7273D">
        <w:rPr>
          <w:rFonts w:cs="Arial"/>
        </w:rPr>
        <w:t xml:space="preserve"> </w:t>
      </w:r>
      <w:r w:rsidR="007E076F" w:rsidRPr="00BD7ABF">
        <w:rPr>
          <w:rFonts w:cs="Arial"/>
        </w:rPr>
        <w:t>201</w:t>
      </w:r>
      <w:r w:rsidR="006418EE">
        <w:rPr>
          <w:rFonts w:cs="Arial"/>
        </w:rPr>
        <w:t>8</w:t>
      </w:r>
      <w:r w:rsidRPr="00BD7ABF">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p w:rsidR="00033870" w:rsidRDefault="00033870" w:rsidP="00033870">
      <w:pPr>
        <w:ind w:right="-57"/>
        <w:rPr>
          <w:rFonts w:cs="Arial"/>
        </w:rPr>
      </w:pPr>
      <w:r>
        <w:rPr>
          <w:rFonts w:cs="Arial"/>
        </w:rPr>
        <w:t xml:space="preserve">All data in this report refers to the </w:t>
      </w:r>
      <w:r w:rsidRPr="00523086">
        <w:rPr>
          <w:rFonts w:cs="Arial"/>
          <w:i/>
        </w:rPr>
        <w:t>Fair Work Act 2009</w:t>
      </w:r>
      <w:r>
        <w:rPr>
          <w:rFonts w:cs="Arial"/>
          <w:i/>
        </w:rPr>
        <w:t>.</w:t>
      </w:r>
    </w:p>
    <w:tbl>
      <w:tblPr>
        <w:tblW w:w="9781"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851"/>
        <w:gridCol w:w="7796"/>
        <w:gridCol w:w="1134"/>
      </w:tblGrid>
      <w:tr w:rsidR="002366C5" w:rsidRPr="007E4B3B" w:rsidTr="00BD64F3">
        <w:trPr>
          <w:trHeight w:val="630"/>
          <w:tblHeader/>
        </w:trPr>
        <w:tc>
          <w:tcPr>
            <w:tcW w:w="851" w:type="dxa"/>
            <w:tcBorders>
              <w:top w:val="nil"/>
              <w:bottom w:val="single" w:sz="4" w:space="0" w:color="auto"/>
            </w:tcBorders>
          </w:tcPr>
          <w:p w:rsidR="002366C5" w:rsidRPr="007E4B3B" w:rsidRDefault="002366C5" w:rsidP="002366C5">
            <w:pPr>
              <w:tabs>
                <w:tab w:val="clear" w:pos="567"/>
                <w:tab w:val="clear" w:pos="1134"/>
                <w:tab w:val="left" w:pos="885"/>
              </w:tabs>
              <w:ind w:left="-108" w:right="-57"/>
              <w:rPr>
                <w:rFonts w:cs="Arial"/>
                <w:b/>
                <w:bCs/>
                <w:sz w:val="22"/>
                <w:szCs w:val="22"/>
                <w:lang w:val="en-AU" w:eastAsia="en-AU"/>
              </w:rPr>
            </w:pPr>
            <w:r>
              <w:rPr>
                <w:rFonts w:cs="Arial"/>
                <w:b/>
                <w:bCs/>
                <w:sz w:val="22"/>
                <w:szCs w:val="22"/>
                <w:lang w:val="en-AU" w:eastAsia="en-AU"/>
              </w:rPr>
              <w:t>Item</w:t>
            </w:r>
          </w:p>
        </w:tc>
        <w:tc>
          <w:tcPr>
            <w:tcW w:w="7796" w:type="dxa"/>
            <w:tcBorders>
              <w:top w:val="nil"/>
              <w:bottom w:val="single" w:sz="4" w:space="0" w:color="auto"/>
            </w:tcBorders>
            <w:shd w:val="clear" w:color="auto" w:fill="auto"/>
            <w:hideMark/>
          </w:tcPr>
          <w:p w:rsidR="002366C5" w:rsidRPr="007E4B3B" w:rsidRDefault="002366C5" w:rsidP="00826926">
            <w:pPr>
              <w:tabs>
                <w:tab w:val="clear" w:pos="567"/>
                <w:tab w:val="clear" w:pos="1134"/>
              </w:tabs>
              <w:ind w:left="-108" w:right="-57"/>
              <w:rPr>
                <w:rFonts w:cs="Arial"/>
                <w:b/>
                <w:bCs/>
                <w:sz w:val="22"/>
                <w:szCs w:val="22"/>
                <w:lang w:val="en-AU" w:eastAsia="en-AU"/>
              </w:rPr>
            </w:pPr>
            <w:r w:rsidRPr="007E4B3B">
              <w:rPr>
                <w:rFonts w:cs="Arial"/>
                <w:b/>
                <w:bCs/>
                <w:sz w:val="22"/>
                <w:szCs w:val="22"/>
                <w:lang w:val="en-AU" w:eastAsia="en-AU"/>
              </w:rPr>
              <w:t>Information</w:t>
            </w:r>
          </w:p>
        </w:tc>
        <w:tc>
          <w:tcPr>
            <w:tcW w:w="1134" w:type="dxa"/>
            <w:tcBorders>
              <w:top w:val="nil"/>
              <w:bottom w:val="single" w:sz="4" w:space="0" w:color="auto"/>
            </w:tcBorders>
            <w:shd w:val="clear" w:color="auto" w:fill="auto"/>
            <w:noWrap/>
            <w:hideMark/>
          </w:tcPr>
          <w:p w:rsidR="002366C5" w:rsidRPr="007E4B3B" w:rsidRDefault="002366C5" w:rsidP="00826926">
            <w:pPr>
              <w:tabs>
                <w:tab w:val="clear" w:pos="567"/>
                <w:tab w:val="clear" w:pos="1134"/>
              </w:tabs>
              <w:ind w:left="33" w:right="-57"/>
              <w:jc w:val="right"/>
              <w:rPr>
                <w:rFonts w:cs="Arial"/>
                <w:b/>
                <w:bCs/>
                <w:sz w:val="22"/>
                <w:szCs w:val="22"/>
                <w:lang w:val="en-AU" w:eastAsia="en-AU"/>
              </w:rPr>
            </w:pPr>
            <w:r>
              <w:rPr>
                <w:rFonts w:cs="Arial"/>
                <w:b/>
                <w:bCs/>
                <w:sz w:val="22"/>
                <w:szCs w:val="22"/>
                <w:lang w:val="en-AU" w:eastAsia="en-AU"/>
              </w:rPr>
              <w:t>Number</w:t>
            </w:r>
          </w:p>
        </w:tc>
      </w:tr>
      <w:tr w:rsidR="002366C5" w:rsidRPr="007E4B3B" w:rsidTr="00BD64F3">
        <w:trPr>
          <w:trHeight w:val="799"/>
        </w:trPr>
        <w:tc>
          <w:tcPr>
            <w:tcW w:w="851" w:type="dxa"/>
            <w:tcBorders>
              <w:top w:val="single" w:sz="4" w:space="0" w:color="auto"/>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1</w:t>
            </w:r>
          </w:p>
        </w:tc>
        <w:tc>
          <w:tcPr>
            <w:tcW w:w="7796" w:type="dxa"/>
            <w:tcBorders>
              <w:top w:val="single" w:sz="4" w:space="0" w:color="auto"/>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proofErr w:type="spellStart"/>
            <w:r>
              <w:rPr>
                <w:rFonts w:cs="Arial"/>
                <w:b/>
                <w:bCs/>
                <w:color w:val="000000"/>
                <w:szCs w:val="20"/>
                <w:lang w:val="en-AU" w:eastAsia="en-AU"/>
              </w:rPr>
              <w:t>Lodgments</w:t>
            </w:r>
            <w:proofErr w:type="spellEnd"/>
          </w:p>
        </w:tc>
        <w:tc>
          <w:tcPr>
            <w:tcW w:w="1134" w:type="dxa"/>
            <w:tcBorders>
              <w:top w:val="single" w:sz="4" w:space="0" w:color="auto"/>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1.1</w:t>
            </w:r>
          </w:p>
        </w:tc>
        <w:tc>
          <w:tcPr>
            <w:tcW w:w="7796" w:type="dxa"/>
            <w:tcBorders>
              <w:bottom w:val="single" w:sz="4" w:space="0" w:color="auto"/>
            </w:tcBorders>
            <w:shd w:val="clear" w:color="auto" w:fill="auto"/>
            <w:vAlign w:val="center"/>
            <w:hideMark/>
          </w:tcPr>
          <w:p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orders granting a remedy made under s.394</w:t>
            </w:r>
          </w:p>
        </w:tc>
        <w:tc>
          <w:tcPr>
            <w:tcW w:w="1134" w:type="dxa"/>
            <w:tcBorders>
              <w:bottom w:val="single" w:sz="4" w:space="0" w:color="auto"/>
            </w:tcBorders>
            <w:shd w:val="clear" w:color="auto" w:fill="auto"/>
            <w:noWrap/>
            <w:vAlign w:val="center"/>
            <w:hideMark/>
          </w:tcPr>
          <w:p w:rsidR="002366C5" w:rsidRDefault="00296376" w:rsidP="0081082E">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3371</w:t>
            </w:r>
          </w:p>
        </w:tc>
      </w:tr>
      <w:tr w:rsidR="002366C5" w:rsidRPr="007E4B3B"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2</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Finalised matters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2.1</w:t>
            </w:r>
          </w:p>
        </w:tc>
        <w:tc>
          <w:tcPr>
            <w:tcW w:w="7796" w:type="dxa"/>
            <w:tcBorders>
              <w:top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conciliation</w:t>
            </w:r>
            <w:r w:rsidR="00E454CC">
              <w:rPr>
                <w:rFonts w:cs="Arial"/>
                <w:color w:val="000000"/>
                <w:szCs w:val="20"/>
                <w:lang w:val="en-AU" w:eastAsia="en-AU"/>
              </w:rPr>
              <w:t xml:space="preserve"> </w:t>
            </w:r>
            <w:r>
              <w:rPr>
                <w:rStyle w:val="FootnoteReference"/>
                <w:rFonts w:cs="Arial"/>
                <w:color w:val="000000"/>
                <w:szCs w:val="20"/>
                <w:lang w:val="en-AU" w:eastAsia="en-AU"/>
              </w:rPr>
              <w:footnoteReference w:id="1"/>
            </w:r>
            <w:r w:rsidRPr="000D01F9">
              <w:rPr>
                <w:rFonts w:cs="Arial"/>
                <w:color w:val="000000"/>
                <w:szCs w:val="20"/>
                <w:vertAlign w:val="superscript"/>
                <w:lang w:val="en-AU" w:eastAsia="en-AU"/>
              </w:rPr>
              <w:t>,</w:t>
            </w:r>
            <w:r>
              <w:rPr>
                <w:rStyle w:val="FootnoteReference"/>
                <w:rFonts w:cs="Arial"/>
                <w:color w:val="000000"/>
                <w:szCs w:val="20"/>
                <w:lang w:val="en-AU" w:eastAsia="en-AU"/>
              </w:rPr>
              <w:footnoteReference w:id="2"/>
            </w:r>
            <w:r w:rsidR="00DF75D5">
              <w:rPr>
                <w:rFonts w:cs="Arial"/>
                <w:color w:val="000000"/>
                <w:szCs w:val="20"/>
                <w:vertAlign w:val="superscript"/>
                <w:lang w:val="en-AU" w:eastAsia="en-AU"/>
              </w:rPr>
              <w:t>,</w:t>
            </w:r>
            <w:r w:rsidR="00DF75D5">
              <w:rPr>
                <w:rStyle w:val="FootnoteReference"/>
                <w:rFonts w:cs="Arial"/>
                <w:color w:val="000000"/>
                <w:szCs w:val="20"/>
                <w:lang w:val="en-AU" w:eastAsia="en-AU"/>
              </w:rPr>
              <w:footnoteReference w:id="3"/>
            </w:r>
          </w:p>
        </w:tc>
        <w:tc>
          <w:tcPr>
            <w:tcW w:w="1134" w:type="dxa"/>
            <w:tcBorders>
              <w:top w:val="single" w:sz="4" w:space="0" w:color="D9D9D9" w:themeColor="background1" w:themeShade="D9"/>
            </w:tcBorders>
            <w:shd w:val="clear" w:color="auto" w:fill="auto"/>
            <w:noWrap/>
            <w:vAlign w:val="center"/>
            <w:hideMark/>
          </w:tcPr>
          <w:p w:rsidR="002366C5" w:rsidRDefault="0029637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588</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2.2</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rsidR="002366C5" w:rsidRDefault="0029637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1976</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2.3</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not settled at </w:t>
            </w:r>
            <w:r w:rsidR="00DF75D5">
              <w:rPr>
                <w:rFonts w:cs="Arial"/>
                <w:color w:val="000000"/>
                <w:szCs w:val="20"/>
                <w:lang w:val="en-AU" w:eastAsia="en-AU"/>
              </w:rPr>
              <w:t>conciliation</w:t>
            </w:r>
            <w:r w:rsidR="00E454CC">
              <w:rPr>
                <w:rFonts w:cs="Arial"/>
                <w:color w:val="000000"/>
                <w:szCs w:val="20"/>
                <w:lang w:val="en-AU" w:eastAsia="en-AU"/>
              </w:rPr>
              <w:t xml:space="preserve"> </w:t>
            </w:r>
            <w:r w:rsidR="000B423F">
              <w:rPr>
                <w:rFonts w:cs="Arial"/>
                <w:color w:val="000000"/>
                <w:szCs w:val="20"/>
                <w:vertAlign w:val="superscript"/>
                <w:lang w:val="en-AU" w:eastAsia="en-AU"/>
              </w:rPr>
              <w:t>1</w:t>
            </w:r>
          </w:p>
        </w:tc>
        <w:tc>
          <w:tcPr>
            <w:tcW w:w="1134" w:type="dxa"/>
            <w:shd w:val="clear" w:color="auto" w:fill="auto"/>
            <w:noWrap/>
            <w:vAlign w:val="center"/>
            <w:hideMark/>
          </w:tcPr>
          <w:p w:rsidR="002366C5" w:rsidRDefault="0029637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594</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2.4</w:t>
            </w:r>
          </w:p>
        </w:tc>
        <w:tc>
          <w:tcPr>
            <w:tcW w:w="7796" w:type="dxa"/>
            <w:shd w:val="clear" w:color="auto" w:fill="auto"/>
            <w:vAlign w:val="center"/>
            <w:hideMark/>
          </w:tcPr>
          <w:p w:rsidR="002366C5" w:rsidRDefault="002366C5" w:rsidP="00666465">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finalised after conciliation and before a formal proceeding before a Fair Work Commission member </w:t>
            </w:r>
          </w:p>
        </w:tc>
        <w:tc>
          <w:tcPr>
            <w:tcW w:w="1134" w:type="dxa"/>
            <w:shd w:val="clear" w:color="auto" w:fill="auto"/>
            <w:noWrap/>
            <w:vAlign w:val="center"/>
            <w:hideMark/>
          </w:tcPr>
          <w:p w:rsidR="002366C5" w:rsidRDefault="0029637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436</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2.5</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 xml:space="preserve">Applications withdrawn after conference/hearing and before </w:t>
            </w:r>
            <w:r w:rsidR="00DF75D5">
              <w:rPr>
                <w:rFonts w:cs="Arial"/>
                <w:color w:val="000000"/>
                <w:szCs w:val="20"/>
                <w:lang w:val="en-AU" w:eastAsia="en-AU"/>
              </w:rPr>
              <w:t>decision</w:t>
            </w:r>
            <w:r w:rsidR="00E454CC">
              <w:rPr>
                <w:rFonts w:cs="Arial"/>
                <w:color w:val="000000"/>
                <w:szCs w:val="20"/>
                <w:lang w:val="en-AU" w:eastAsia="en-AU"/>
              </w:rPr>
              <w:t xml:space="preserve"> </w:t>
            </w:r>
            <w:r w:rsidR="000B423F">
              <w:rPr>
                <w:rFonts w:cs="Arial"/>
                <w:color w:val="000000"/>
                <w:szCs w:val="20"/>
                <w:vertAlign w:val="superscript"/>
                <w:lang w:val="en-AU" w:eastAsia="en-AU"/>
              </w:rPr>
              <w:t>3</w:t>
            </w:r>
          </w:p>
        </w:tc>
        <w:tc>
          <w:tcPr>
            <w:tcW w:w="1134" w:type="dxa"/>
            <w:shd w:val="clear" w:color="auto" w:fill="auto"/>
            <w:noWrap/>
            <w:vAlign w:val="center"/>
            <w:hideMark/>
          </w:tcPr>
          <w:p w:rsidR="002366C5" w:rsidRDefault="0029637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8</w:t>
            </w:r>
          </w:p>
        </w:tc>
      </w:tr>
      <w:tr w:rsidR="002366C5" w:rsidRPr="007E4B3B" w:rsidTr="00BD64F3">
        <w:trPr>
          <w:trHeight w:val="799"/>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2.6</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by a decision</w:t>
            </w:r>
          </w:p>
        </w:tc>
        <w:tc>
          <w:tcPr>
            <w:tcW w:w="1134" w:type="dxa"/>
            <w:shd w:val="clear" w:color="auto" w:fill="auto"/>
            <w:noWrap/>
            <w:vAlign w:val="center"/>
            <w:hideMark/>
          </w:tcPr>
          <w:p w:rsidR="002366C5" w:rsidRDefault="00296376"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174</w:t>
            </w:r>
          </w:p>
        </w:tc>
      </w:tr>
      <w:tr w:rsidR="002366C5" w:rsidRPr="007E4B3B" w:rsidTr="00C85BD1">
        <w:trPr>
          <w:trHeight w:val="215"/>
        </w:trPr>
        <w:tc>
          <w:tcPr>
            <w:tcW w:w="851" w:type="dxa"/>
            <w:vAlign w:val="center"/>
          </w:tcPr>
          <w:p w:rsidR="002366C5" w:rsidRPr="00BD64F3"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644501" w:rsidRPr="007E4B3B" w:rsidTr="00BD64F3">
        <w:trPr>
          <w:trHeight w:val="340"/>
        </w:trPr>
        <w:tc>
          <w:tcPr>
            <w:tcW w:w="851" w:type="dxa"/>
            <w:vAlign w:val="center"/>
          </w:tcPr>
          <w:p w:rsidR="00644501" w:rsidRPr="00BD64F3" w:rsidRDefault="00BD64F3"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sidRPr="00BD64F3">
              <w:rPr>
                <w:rFonts w:cs="Arial"/>
                <w:color w:val="000000"/>
                <w:szCs w:val="20"/>
                <w:lang w:val="en-AU" w:eastAsia="en-AU"/>
              </w:rPr>
              <w:t>Table 1:</w:t>
            </w:r>
          </w:p>
        </w:tc>
        <w:tc>
          <w:tcPr>
            <w:tcW w:w="7796" w:type="dxa"/>
            <w:shd w:val="clear" w:color="auto" w:fill="auto"/>
            <w:vAlign w:val="center"/>
            <w:hideMark/>
          </w:tcPr>
          <w:p w:rsidR="00644501" w:rsidRDefault="00644501"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644501" w:rsidRDefault="00644501"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vAlign w:val="center"/>
          </w:tcPr>
          <w:p w:rsidR="002366C5" w:rsidRPr="002366C5" w:rsidRDefault="002366C5" w:rsidP="00297666">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tbl>
            <w:tblPr>
              <w:tblStyle w:val="TableGrid"/>
              <w:tblW w:w="7683" w:type="dxa"/>
              <w:tblLayout w:type="fixed"/>
              <w:tblLook w:val="04A0" w:firstRow="1" w:lastRow="0" w:firstColumn="1" w:lastColumn="0" w:noHBand="0" w:noVBand="1"/>
            </w:tblPr>
            <w:tblGrid>
              <w:gridCol w:w="5557"/>
              <w:gridCol w:w="1134"/>
              <w:gridCol w:w="992"/>
            </w:tblGrid>
            <w:tr w:rsidR="002366C5" w:rsidTr="00BD64F3">
              <w:trPr>
                <w:trHeight w:val="453"/>
              </w:trPr>
              <w:tc>
                <w:tcPr>
                  <w:tcW w:w="5557" w:type="dxa"/>
                  <w:vAlign w:val="center"/>
                </w:tcPr>
                <w:p w:rsidR="002366C5" w:rsidRPr="00330A04"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Arbitrated proceedings final results</w:t>
                  </w:r>
                </w:p>
              </w:tc>
              <w:tc>
                <w:tcPr>
                  <w:tcW w:w="1134"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dismissed</w:t>
                  </w:r>
                </w:p>
              </w:tc>
              <w:tc>
                <w:tcPr>
                  <w:tcW w:w="1134" w:type="dxa"/>
                  <w:vAlign w:val="center"/>
                </w:tcPr>
                <w:p w:rsidR="00062688" w:rsidRDefault="0040454C" w:rsidP="00062688">
                  <w:pPr>
                    <w:spacing w:after="0" w:line="240" w:lineRule="auto"/>
                    <w:ind w:right="284"/>
                    <w:jc w:val="right"/>
                  </w:pPr>
                  <w:r>
                    <w:rPr>
                      <w:rFonts w:eastAsia="Arial"/>
                      <w:b/>
                      <w:color w:val="000000"/>
                    </w:rPr>
                    <w:t>147</w:t>
                  </w:r>
                </w:p>
              </w:tc>
              <w:tc>
                <w:tcPr>
                  <w:tcW w:w="992" w:type="dxa"/>
                  <w:vAlign w:val="center"/>
                </w:tcPr>
                <w:p w:rsidR="00062688" w:rsidRDefault="00520C3E" w:rsidP="0081082E">
                  <w:pPr>
                    <w:spacing w:after="0" w:line="240" w:lineRule="auto"/>
                    <w:ind w:right="284"/>
                    <w:jc w:val="right"/>
                  </w:pPr>
                  <w:r>
                    <w:rPr>
                      <w:rFonts w:eastAsia="Arial"/>
                      <w:b/>
                      <w:color w:val="000000"/>
                    </w:rPr>
                    <w:t>84.5</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Objection upheld - application dismissed</w:t>
                  </w:r>
                </w:p>
              </w:tc>
              <w:tc>
                <w:tcPr>
                  <w:tcW w:w="1134" w:type="dxa"/>
                  <w:vAlign w:val="center"/>
                </w:tcPr>
                <w:p w:rsidR="00062688" w:rsidRDefault="00296376" w:rsidP="00062688">
                  <w:pPr>
                    <w:spacing w:after="0" w:line="240" w:lineRule="auto"/>
                    <w:ind w:right="284"/>
                    <w:jc w:val="right"/>
                  </w:pPr>
                  <w:r>
                    <w:t>51</w:t>
                  </w:r>
                </w:p>
              </w:tc>
              <w:tc>
                <w:tcPr>
                  <w:tcW w:w="992" w:type="dxa"/>
                  <w:vAlign w:val="center"/>
                </w:tcPr>
                <w:p w:rsidR="00062688" w:rsidRDefault="00520C3E" w:rsidP="0081082E">
                  <w:pPr>
                    <w:spacing w:after="0" w:line="240" w:lineRule="auto"/>
                    <w:ind w:right="284"/>
                    <w:jc w:val="right"/>
                  </w:pPr>
                  <w:r>
                    <w:rPr>
                      <w:rFonts w:eastAsia="Arial"/>
                      <w:color w:val="000000"/>
                    </w:rPr>
                    <w:t>29</w:t>
                  </w:r>
                  <w:r w:rsidR="005C5307">
                    <w:rPr>
                      <w:rFonts w:eastAsia="Arial"/>
                      <w:color w:val="000000"/>
                    </w:rPr>
                    <w:t>.</w:t>
                  </w:r>
                  <w:r w:rsidR="0081082E">
                    <w:rPr>
                      <w:rFonts w:eastAsia="Arial"/>
                      <w:color w:val="000000"/>
                    </w:rPr>
                    <w:t>3</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dismissal was fair</w:t>
                  </w:r>
                </w:p>
              </w:tc>
              <w:tc>
                <w:tcPr>
                  <w:tcW w:w="1134" w:type="dxa"/>
                  <w:vAlign w:val="center"/>
                </w:tcPr>
                <w:p w:rsidR="00062688" w:rsidRDefault="0040454C" w:rsidP="0081082E">
                  <w:pPr>
                    <w:spacing w:after="0" w:line="240" w:lineRule="auto"/>
                    <w:ind w:right="284"/>
                    <w:jc w:val="right"/>
                  </w:pPr>
                  <w:r>
                    <w:t>23</w:t>
                  </w:r>
                </w:p>
              </w:tc>
              <w:tc>
                <w:tcPr>
                  <w:tcW w:w="992" w:type="dxa"/>
                  <w:vAlign w:val="center"/>
                </w:tcPr>
                <w:p w:rsidR="00062688" w:rsidRDefault="00520C3E" w:rsidP="0081082E">
                  <w:pPr>
                    <w:spacing w:after="0" w:line="240" w:lineRule="auto"/>
                    <w:ind w:right="284"/>
                    <w:jc w:val="right"/>
                  </w:pPr>
                  <w:r>
                    <w:t>13.2</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dismissed - s.399(A) and s.587</w:t>
                  </w:r>
                </w:p>
              </w:tc>
              <w:tc>
                <w:tcPr>
                  <w:tcW w:w="1134" w:type="dxa"/>
                  <w:vAlign w:val="center"/>
                </w:tcPr>
                <w:p w:rsidR="00062688" w:rsidRDefault="0040454C" w:rsidP="0081082E">
                  <w:pPr>
                    <w:spacing w:after="0" w:line="240" w:lineRule="auto"/>
                    <w:ind w:right="284"/>
                    <w:jc w:val="right"/>
                  </w:pPr>
                  <w:r>
                    <w:rPr>
                      <w:rFonts w:eastAsia="Arial"/>
                      <w:color w:val="000000"/>
                    </w:rPr>
                    <w:t>73</w:t>
                  </w:r>
                </w:p>
              </w:tc>
              <w:tc>
                <w:tcPr>
                  <w:tcW w:w="992" w:type="dxa"/>
                  <w:vAlign w:val="center"/>
                </w:tcPr>
                <w:p w:rsidR="00062688" w:rsidRDefault="00520C3E" w:rsidP="0081082E">
                  <w:pPr>
                    <w:spacing w:after="0" w:line="240" w:lineRule="auto"/>
                    <w:ind w:right="284"/>
                    <w:jc w:val="right"/>
                  </w:pPr>
                  <w:r>
                    <w:rPr>
                      <w:rFonts w:eastAsia="Arial"/>
                      <w:color w:val="000000"/>
                    </w:rPr>
                    <w:t>42.0</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applications granted</w:t>
                  </w:r>
                </w:p>
              </w:tc>
              <w:tc>
                <w:tcPr>
                  <w:tcW w:w="1134" w:type="dxa"/>
                  <w:vAlign w:val="center"/>
                </w:tcPr>
                <w:p w:rsidR="00062688" w:rsidRPr="0040454C" w:rsidRDefault="0040454C" w:rsidP="0081082E">
                  <w:pPr>
                    <w:spacing w:after="0" w:line="240" w:lineRule="auto"/>
                    <w:ind w:right="284"/>
                    <w:jc w:val="right"/>
                    <w:rPr>
                      <w:b/>
                    </w:rPr>
                  </w:pPr>
                  <w:r w:rsidRPr="0040454C">
                    <w:rPr>
                      <w:b/>
                    </w:rPr>
                    <w:t>27</w:t>
                  </w:r>
                </w:p>
              </w:tc>
              <w:tc>
                <w:tcPr>
                  <w:tcW w:w="992" w:type="dxa"/>
                  <w:vAlign w:val="center"/>
                </w:tcPr>
                <w:p w:rsidR="00062688" w:rsidRDefault="00520C3E" w:rsidP="0081082E">
                  <w:pPr>
                    <w:spacing w:after="0" w:line="240" w:lineRule="auto"/>
                    <w:ind w:right="284"/>
                    <w:jc w:val="right"/>
                  </w:pPr>
                  <w:r>
                    <w:rPr>
                      <w:rFonts w:eastAsia="Arial"/>
                      <w:b/>
                      <w:color w:val="000000"/>
                    </w:rPr>
                    <w:t>15.5</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rsidR="00062688" w:rsidRDefault="0040454C" w:rsidP="0081082E">
                  <w:pPr>
                    <w:spacing w:after="0" w:line="240" w:lineRule="auto"/>
                    <w:ind w:right="284"/>
                    <w:jc w:val="right"/>
                  </w:pPr>
                  <w:r>
                    <w:rPr>
                      <w:rFonts w:eastAsia="Arial"/>
                      <w:color w:val="000000"/>
                    </w:rPr>
                    <w:t>19</w:t>
                  </w:r>
                </w:p>
              </w:tc>
              <w:tc>
                <w:tcPr>
                  <w:tcW w:w="992" w:type="dxa"/>
                  <w:vAlign w:val="center"/>
                </w:tcPr>
                <w:p w:rsidR="00062688" w:rsidRDefault="00520C3E" w:rsidP="0081082E">
                  <w:pPr>
                    <w:spacing w:after="0" w:line="240" w:lineRule="auto"/>
                    <w:ind w:right="284"/>
                    <w:jc w:val="right"/>
                  </w:pPr>
                  <w:r>
                    <w:rPr>
                      <w:rFonts w:eastAsia="Arial"/>
                      <w:color w:val="000000"/>
                    </w:rPr>
                    <w:t>10.9</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rsidR="00062688" w:rsidRDefault="0081082E" w:rsidP="0081082E">
                  <w:pPr>
                    <w:spacing w:after="0" w:line="240" w:lineRule="auto"/>
                    <w:ind w:right="284"/>
                    <w:jc w:val="right"/>
                  </w:pPr>
                  <w:r>
                    <w:rPr>
                      <w:rFonts w:eastAsia="Arial"/>
                      <w:color w:val="000000"/>
                    </w:rPr>
                    <w:t>1</w:t>
                  </w:r>
                </w:p>
              </w:tc>
              <w:tc>
                <w:tcPr>
                  <w:tcW w:w="992" w:type="dxa"/>
                  <w:vAlign w:val="center"/>
                </w:tcPr>
                <w:p w:rsidR="00062688" w:rsidRDefault="00520C3E" w:rsidP="0081082E">
                  <w:pPr>
                    <w:spacing w:after="0" w:line="240" w:lineRule="auto"/>
                    <w:ind w:right="284"/>
                    <w:jc w:val="right"/>
                  </w:pPr>
                  <w:r>
                    <w:rPr>
                      <w:rFonts w:eastAsia="Arial"/>
                      <w:color w:val="000000"/>
                    </w:rPr>
                    <w:t>0.6</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rsidR="00062688" w:rsidRDefault="0040454C" w:rsidP="00062688">
                  <w:pPr>
                    <w:spacing w:after="0" w:line="240" w:lineRule="auto"/>
                    <w:ind w:right="284"/>
                    <w:jc w:val="right"/>
                  </w:pPr>
                  <w:r>
                    <w:t>1</w:t>
                  </w:r>
                </w:p>
              </w:tc>
              <w:tc>
                <w:tcPr>
                  <w:tcW w:w="992" w:type="dxa"/>
                  <w:vAlign w:val="center"/>
                </w:tcPr>
                <w:p w:rsidR="00062688" w:rsidRDefault="0081082E" w:rsidP="0081082E">
                  <w:pPr>
                    <w:spacing w:after="0" w:line="240" w:lineRule="auto"/>
                    <w:ind w:right="284"/>
                    <w:jc w:val="right"/>
                  </w:pPr>
                  <w:r>
                    <w:rPr>
                      <w:rFonts w:eastAsia="Arial"/>
                      <w:color w:val="000000"/>
                    </w:rPr>
                    <w:t>0.</w:t>
                  </w:r>
                  <w:r w:rsidR="00520C3E">
                    <w:rPr>
                      <w:rFonts w:eastAsia="Arial"/>
                      <w:color w:val="000000"/>
                    </w:rPr>
                    <w:t>6</w:t>
                  </w:r>
                </w:p>
              </w:tc>
            </w:tr>
            <w:tr w:rsidR="00062688" w:rsidTr="00BD64F3">
              <w:trPr>
                <w:trHeight w:val="392"/>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rsidR="00062688" w:rsidRDefault="0040454C" w:rsidP="0081082E">
                  <w:pPr>
                    <w:spacing w:after="0" w:line="240" w:lineRule="auto"/>
                    <w:ind w:right="284"/>
                    <w:jc w:val="right"/>
                  </w:pPr>
                  <w:r>
                    <w:rPr>
                      <w:rFonts w:eastAsia="Arial"/>
                      <w:color w:val="000000"/>
                    </w:rPr>
                    <w:t>2</w:t>
                  </w:r>
                </w:p>
              </w:tc>
              <w:tc>
                <w:tcPr>
                  <w:tcW w:w="992" w:type="dxa"/>
                  <w:vAlign w:val="center"/>
                </w:tcPr>
                <w:p w:rsidR="00062688" w:rsidRDefault="00520C3E" w:rsidP="0081082E">
                  <w:pPr>
                    <w:spacing w:after="0" w:line="240" w:lineRule="auto"/>
                    <w:ind w:right="284"/>
                    <w:jc w:val="right"/>
                  </w:pPr>
                  <w:r>
                    <w:rPr>
                      <w:rFonts w:eastAsia="Arial"/>
                      <w:color w:val="000000"/>
                    </w:rPr>
                    <w:t>1.1</w:t>
                  </w:r>
                </w:p>
              </w:tc>
            </w:tr>
            <w:tr w:rsidR="00062688" w:rsidTr="00BD64F3">
              <w:trPr>
                <w:trHeight w:val="392"/>
              </w:trPr>
              <w:tc>
                <w:tcPr>
                  <w:tcW w:w="5557" w:type="dxa"/>
                  <w:vAlign w:val="center"/>
                </w:tcPr>
                <w:p w:rsidR="00062688" w:rsidRDefault="00062688" w:rsidP="00614CDB">
                  <w:pPr>
                    <w:tabs>
                      <w:tab w:val="clear" w:pos="567"/>
                      <w:tab w:val="clear" w:pos="1134"/>
                    </w:tabs>
                    <w:autoSpaceDE w:val="0"/>
                    <w:autoSpaceDN w:val="0"/>
                    <w:adjustRightInd w:val="0"/>
                    <w:spacing w:after="0" w:line="240" w:lineRule="auto"/>
                    <w:ind w:left="283"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rsidR="00062688" w:rsidRDefault="0040454C" w:rsidP="0081082E">
                  <w:pPr>
                    <w:spacing w:after="0" w:line="240" w:lineRule="auto"/>
                    <w:ind w:right="284"/>
                    <w:jc w:val="right"/>
                  </w:pPr>
                  <w:r>
                    <w:rPr>
                      <w:rFonts w:eastAsia="Arial"/>
                      <w:color w:val="000000"/>
                    </w:rPr>
                    <w:t>4</w:t>
                  </w:r>
                </w:p>
              </w:tc>
              <w:tc>
                <w:tcPr>
                  <w:tcW w:w="992" w:type="dxa"/>
                  <w:vAlign w:val="center"/>
                </w:tcPr>
                <w:p w:rsidR="00062688" w:rsidRDefault="00520C3E" w:rsidP="0081082E">
                  <w:pPr>
                    <w:spacing w:after="0" w:line="240" w:lineRule="auto"/>
                    <w:ind w:right="284"/>
                    <w:jc w:val="right"/>
                  </w:pPr>
                  <w:r>
                    <w:rPr>
                      <w:rFonts w:eastAsia="Arial"/>
                      <w:color w:val="000000"/>
                    </w:rPr>
                    <w:t>2.3</w:t>
                  </w:r>
                </w:p>
              </w:tc>
            </w:tr>
            <w:tr w:rsidR="00062688" w:rsidTr="00BD64F3">
              <w:trPr>
                <w:trHeight w:val="392"/>
              </w:trPr>
              <w:tc>
                <w:tcPr>
                  <w:tcW w:w="5557" w:type="dxa"/>
                  <w:vAlign w:val="center"/>
                </w:tcPr>
                <w:p w:rsidR="00062688" w:rsidRPr="00330A04"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Total final results Australia wide</w:t>
                  </w:r>
                </w:p>
              </w:tc>
              <w:tc>
                <w:tcPr>
                  <w:tcW w:w="1134" w:type="dxa"/>
                  <w:vAlign w:val="center"/>
                </w:tcPr>
                <w:p w:rsidR="00062688" w:rsidRPr="0040454C" w:rsidRDefault="0040454C" w:rsidP="00062688">
                  <w:pPr>
                    <w:spacing w:after="0" w:line="240" w:lineRule="auto"/>
                    <w:ind w:right="284"/>
                    <w:jc w:val="right"/>
                    <w:rPr>
                      <w:b/>
                    </w:rPr>
                  </w:pPr>
                  <w:r>
                    <w:rPr>
                      <w:b/>
                    </w:rPr>
                    <w:t>174</w:t>
                  </w:r>
                </w:p>
              </w:tc>
              <w:tc>
                <w:tcPr>
                  <w:tcW w:w="992" w:type="dxa"/>
                  <w:vAlign w:val="center"/>
                </w:tcPr>
                <w:p w:rsidR="00062688" w:rsidRDefault="00062688" w:rsidP="00062688">
                  <w:pPr>
                    <w:spacing w:after="0" w:line="240" w:lineRule="auto"/>
                    <w:ind w:right="284"/>
                    <w:jc w:val="right"/>
                  </w:pPr>
                  <w:r>
                    <w:rPr>
                      <w:rFonts w:eastAsia="Arial"/>
                      <w:b/>
                      <w:color w:val="000000"/>
                    </w:rPr>
                    <w:t>100</w:t>
                  </w:r>
                </w:p>
              </w:tc>
            </w:tr>
          </w:tbl>
          <w:p w:rsidR="002366C5" w:rsidRDefault="002366C5" w:rsidP="00614CDB">
            <w:pPr>
              <w:tabs>
                <w:tab w:val="clear" w:pos="567"/>
                <w:tab w:val="clear" w:pos="1134"/>
              </w:tabs>
              <w:autoSpaceDE w:val="0"/>
              <w:autoSpaceDN w:val="0"/>
              <w:adjustRightInd w:val="0"/>
              <w:spacing w:after="0" w:line="240" w:lineRule="auto"/>
              <w:ind w:right="175"/>
              <w:rPr>
                <w:rFonts w:cs="Arial"/>
                <w:color w:val="000000"/>
                <w:szCs w:val="20"/>
                <w:lang w:val="en-AU" w:eastAsia="en-AU"/>
              </w:rPr>
            </w:pPr>
          </w:p>
        </w:tc>
      </w:tr>
      <w:tr w:rsidR="002366C5" w:rsidRPr="007E4B3B" w:rsidTr="00BD64F3">
        <w:trPr>
          <w:trHeight w:val="799"/>
        </w:trPr>
        <w:tc>
          <w:tcPr>
            <w:tcW w:w="851" w:type="dxa"/>
          </w:tcPr>
          <w:p w:rsidR="00BD64F3" w:rsidRPr="00BD64F3" w:rsidRDefault="00BD64F3" w:rsidP="00BD64F3">
            <w:pPr>
              <w:tabs>
                <w:tab w:val="clear" w:pos="567"/>
                <w:tab w:val="clear" w:pos="1134"/>
              </w:tabs>
              <w:autoSpaceDE w:val="0"/>
              <w:autoSpaceDN w:val="0"/>
              <w:adjustRightInd w:val="0"/>
              <w:spacing w:after="0" w:line="240" w:lineRule="auto"/>
              <w:ind w:right="-108"/>
              <w:rPr>
                <w:rFonts w:cs="Arial"/>
                <w:color w:val="000000"/>
                <w:szCs w:val="20"/>
                <w:lang w:val="en-AU" w:eastAsia="en-AU"/>
              </w:rPr>
            </w:pPr>
            <w:r w:rsidRPr="00BD64F3">
              <w:rPr>
                <w:rFonts w:cs="Arial"/>
                <w:color w:val="000000"/>
                <w:szCs w:val="20"/>
                <w:lang w:val="en-AU" w:eastAsia="en-AU"/>
              </w:rPr>
              <w:t>Table 2:</w:t>
            </w:r>
          </w:p>
          <w:p w:rsidR="002366C5" w:rsidRPr="002366C5" w:rsidRDefault="002366C5" w:rsidP="00BD64F3">
            <w:pPr>
              <w:tabs>
                <w:tab w:val="clear" w:pos="567"/>
                <w:tab w:val="clear" w:pos="1134"/>
                <w:tab w:val="left" w:pos="885"/>
              </w:tabs>
              <w:autoSpaceDE w:val="0"/>
              <w:autoSpaceDN w:val="0"/>
              <w:adjustRightInd w:val="0"/>
              <w:spacing w:after="0" w:line="240" w:lineRule="auto"/>
              <w:ind w:right="175"/>
              <w:rPr>
                <w:rFonts w:cs="Arial"/>
                <w:color w:val="000000"/>
                <w:szCs w:val="20"/>
                <w:lang w:val="en-AU" w:eastAsia="en-AU"/>
              </w:rPr>
            </w:pPr>
          </w:p>
        </w:tc>
        <w:tc>
          <w:tcPr>
            <w:tcW w:w="8930" w:type="dxa"/>
            <w:gridSpan w:val="2"/>
            <w:shd w:val="clear" w:color="auto" w:fill="auto"/>
            <w:vAlign w:val="center"/>
            <w:hideMark/>
          </w:tcPr>
          <w:p w:rsidR="002366C5"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bl>
            <w:tblPr>
              <w:tblStyle w:val="TableGrid"/>
              <w:tblW w:w="0" w:type="auto"/>
              <w:tblLayout w:type="fixed"/>
              <w:tblLook w:val="04A0" w:firstRow="1" w:lastRow="0" w:firstColumn="1" w:lastColumn="0" w:noHBand="0" w:noVBand="1"/>
            </w:tblPr>
            <w:tblGrid>
              <w:gridCol w:w="5557"/>
              <w:gridCol w:w="1134"/>
              <w:gridCol w:w="992"/>
            </w:tblGrid>
            <w:tr w:rsidR="002366C5" w:rsidTr="00BD64F3">
              <w:trPr>
                <w:trHeight w:val="397"/>
              </w:trPr>
              <w:tc>
                <w:tcPr>
                  <w:tcW w:w="5557" w:type="dxa"/>
                  <w:vAlign w:val="center"/>
                </w:tcPr>
                <w:p w:rsidR="002366C5" w:rsidRDefault="002366C5"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330A04">
                    <w:rPr>
                      <w:rFonts w:cs="Arial"/>
                      <w:b/>
                      <w:color w:val="000000"/>
                      <w:szCs w:val="20"/>
                      <w:lang w:val="en-AU" w:eastAsia="en-AU"/>
                    </w:rPr>
                    <w:t xml:space="preserve">Arbitrated proceedings </w:t>
                  </w:r>
                  <w:r>
                    <w:rPr>
                      <w:rFonts w:cs="Arial"/>
                      <w:b/>
                      <w:color w:val="000000"/>
                      <w:szCs w:val="20"/>
                      <w:lang w:val="en-AU" w:eastAsia="en-AU"/>
                    </w:rPr>
                    <w:t>Merits</w:t>
                  </w:r>
                  <w:r w:rsidRPr="00330A04">
                    <w:rPr>
                      <w:rFonts w:cs="Arial"/>
                      <w:b/>
                      <w:color w:val="000000"/>
                      <w:szCs w:val="20"/>
                      <w:lang w:val="en-AU" w:eastAsia="en-AU"/>
                    </w:rPr>
                    <w:t xml:space="preserve"> results</w:t>
                  </w:r>
                </w:p>
              </w:tc>
              <w:tc>
                <w:tcPr>
                  <w:tcW w:w="1134"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Number</w:t>
                  </w:r>
                </w:p>
              </w:tc>
              <w:tc>
                <w:tcPr>
                  <w:tcW w:w="992" w:type="dxa"/>
                  <w:vAlign w:val="center"/>
                </w:tcPr>
                <w:p w:rsidR="002366C5" w:rsidRPr="002366C5" w:rsidRDefault="002366C5" w:rsidP="00644501">
                  <w:pPr>
                    <w:tabs>
                      <w:tab w:val="clear" w:pos="567"/>
                      <w:tab w:val="clear" w:pos="1134"/>
                    </w:tabs>
                    <w:autoSpaceDE w:val="0"/>
                    <w:autoSpaceDN w:val="0"/>
                    <w:adjustRightInd w:val="0"/>
                    <w:spacing w:after="0" w:line="240" w:lineRule="auto"/>
                    <w:ind w:right="175"/>
                    <w:jc w:val="center"/>
                    <w:rPr>
                      <w:rFonts w:cs="Arial"/>
                      <w:b/>
                      <w:color w:val="000000"/>
                      <w:sz w:val="18"/>
                      <w:szCs w:val="18"/>
                      <w:lang w:val="en-AU" w:eastAsia="en-AU"/>
                    </w:rPr>
                  </w:pPr>
                  <w:r w:rsidRPr="002366C5">
                    <w:rPr>
                      <w:rFonts w:cs="Arial"/>
                      <w:b/>
                      <w:color w:val="000000"/>
                      <w:sz w:val="18"/>
                      <w:szCs w:val="18"/>
                      <w:lang w:val="en-AU" w:eastAsia="en-AU"/>
                    </w:rPr>
                    <w:t>%</w:t>
                  </w:r>
                </w:p>
              </w:tc>
            </w:tr>
            <w:tr w:rsidR="00062688" w:rsidTr="00BD64F3">
              <w:trPr>
                <w:trHeight w:val="397"/>
              </w:trPr>
              <w:tc>
                <w:tcPr>
                  <w:tcW w:w="5557" w:type="dxa"/>
                  <w:vAlign w:val="center"/>
                </w:tcPr>
                <w:p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 dismissed - dismissal was fair</w:t>
                  </w:r>
                </w:p>
              </w:tc>
              <w:tc>
                <w:tcPr>
                  <w:tcW w:w="1134" w:type="dxa"/>
                  <w:vAlign w:val="center"/>
                </w:tcPr>
                <w:p w:rsidR="00062688" w:rsidRDefault="0040454C" w:rsidP="0081082E">
                  <w:pPr>
                    <w:spacing w:after="0" w:line="240" w:lineRule="auto"/>
                    <w:ind w:right="284"/>
                    <w:jc w:val="right"/>
                  </w:pPr>
                  <w:r>
                    <w:rPr>
                      <w:rFonts w:eastAsia="Arial"/>
                      <w:b/>
                      <w:color w:val="000000"/>
                    </w:rPr>
                    <w:t>23</w:t>
                  </w:r>
                </w:p>
              </w:tc>
              <w:tc>
                <w:tcPr>
                  <w:tcW w:w="992" w:type="dxa"/>
                  <w:vAlign w:val="center"/>
                </w:tcPr>
                <w:p w:rsidR="00062688" w:rsidRDefault="00520C3E" w:rsidP="0081082E">
                  <w:pPr>
                    <w:spacing w:after="0" w:line="240" w:lineRule="auto"/>
                    <w:ind w:right="284"/>
                    <w:jc w:val="right"/>
                  </w:pPr>
                  <w:r>
                    <w:rPr>
                      <w:rFonts w:eastAsia="Arial"/>
                      <w:b/>
                      <w:color w:val="000000"/>
                    </w:rPr>
                    <w:t>46.0</w:t>
                  </w:r>
                </w:p>
              </w:tc>
            </w:tr>
            <w:tr w:rsidR="00062688" w:rsidTr="00BD64F3">
              <w:trPr>
                <w:trHeight w:val="397"/>
              </w:trPr>
              <w:tc>
                <w:tcPr>
                  <w:tcW w:w="5557" w:type="dxa"/>
                  <w:vAlign w:val="center"/>
                </w:tcPr>
                <w:p w:rsidR="00062688" w:rsidRPr="00076D6E" w:rsidRDefault="00062688" w:rsidP="00614CDB">
                  <w:pPr>
                    <w:tabs>
                      <w:tab w:val="clear" w:pos="567"/>
                      <w:tab w:val="clear" w:pos="1134"/>
                    </w:tabs>
                    <w:autoSpaceDE w:val="0"/>
                    <w:autoSpaceDN w:val="0"/>
                    <w:adjustRightInd w:val="0"/>
                    <w:spacing w:after="0" w:line="240" w:lineRule="auto"/>
                    <w:ind w:left="283" w:right="175"/>
                    <w:rPr>
                      <w:rFonts w:cs="Arial"/>
                      <w:b/>
                      <w:color w:val="000000"/>
                      <w:szCs w:val="20"/>
                      <w:lang w:val="en-AU" w:eastAsia="en-AU"/>
                    </w:rPr>
                  </w:pPr>
                  <w:r w:rsidRPr="00076D6E">
                    <w:rPr>
                      <w:rFonts w:cs="Arial"/>
                      <w:b/>
                      <w:color w:val="000000"/>
                      <w:szCs w:val="20"/>
                      <w:lang w:val="en-AU" w:eastAsia="en-AU"/>
                    </w:rPr>
                    <w:t>Applications granted</w:t>
                  </w:r>
                  <w:r>
                    <w:rPr>
                      <w:rFonts w:cs="Arial"/>
                      <w:b/>
                      <w:color w:val="000000"/>
                      <w:szCs w:val="20"/>
                      <w:lang w:val="en-AU" w:eastAsia="en-AU"/>
                    </w:rPr>
                    <w:t xml:space="preserve"> - dismissal was not fair</w:t>
                  </w:r>
                </w:p>
              </w:tc>
              <w:tc>
                <w:tcPr>
                  <w:tcW w:w="1134" w:type="dxa"/>
                  <w:vAlign w:val="center"/>
                </w:tcPr>
                <w:p w:rsidR="00062688" w:rsidRPr="005C5307" w:rsidRDefault="0081082E" w:rsidP="0081082E">
                  <w:pPr>
                    <w:spacing w:after="0" w:line="240" w:lineRule="auto"/>
                    <w:ind w:right="284"/>
                    <w:jc w:val="right"/>
                    <w:rPr>
                      <w:b/>
                    </w:rPr>
                  </w:pPr>
                  <w:r>
                    <w:rPr>
                      <w:b/>
                    </w:rPr>
                    <w:t>2</w:t>
                  </w:r>
                  <w:r w:rsidR="0040454C">
                    <w:rPr>
                      <w:b/>
                    </w:rPr>
                    <w:t>7</w:t>
                  </w:r>
                </w:p>
              </w:tc>
              <w:tc>
                <w:tcPr>
                  <w:tcW w:w="992" w:type="dxa"/>
                  <w:vAlign w:val="center"/>
                </w:tcPr>
                <w:p w:rsidR="00062688" w:rsidRDefault="00520C3E" w:rsidP="0081082E">
                  <w:pPr>
                    <w:spacing w:after="0" w:line="240" w:lineRule="auto"/>
                    <w:ind w:right="284"/>
                    <w:jc w:val="right"/>
                  </w:pPr>
                  <w:r>
                    <w:rPr>
                      <w:rFonts w:eastAsia="Arial"/>
                      <w:b/>
                      <w:color w:val="000000"/>
                    </w:rPr>
                    <w:t>54.0</w:t>
                  </w:r>
                </w:p>
              </w:tc>
            </w:tr>
            <w:tr w:rsidR="00062688" w:rsidTr="00BD64F3">
              <w:trPr>
                <w:trHeight w:val="397"/>
              </w:trPr>
              <w:tc>
                <w:tcPr>
                  <w:tcW w:w="5557" w:type="dxa"/>
                  <w:vAlign w:val="center"/>
                </w:tcPr>
                <w:p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compensation</w:t>
                  </w:r>
                </w:p>
              </w:tc>
              <w:tc>
                <w:tcPr>
                  <w:tcW w:w="1134" w:type="dxa"/>
                  <w:vAlign w:val="center"/>
                </w:tcPr>
                <w:p w:rsidR="00062688" w:rsidRDefault="0040454C" w:rsidP="00062688">
                  <w:pPr>
                    <w:spacing w:after="0" w:line="240" w:lineRule="auto"/>
                    <w:ind w:right="284"/>
                    <w:jc w:val="right"/>
                  </w:pPr>
                  <w:r>
                    <w:t>19</w:t>
                  </w:r>
                </w:p>
              </w:tc>
              <w:tc>
                <w:tcPr>
                  <w:tcW w:w="992" w:type="dxa"/>
                  <w:vAlign w:val="center"/>
                </w:tcPr>
                <w:p w:rsidR="00062688" w:rsidRDefault="00520C3E" w:rsidP="0081082E">
                  <w:pPr>
                    <w:spacing w:after="0" w:line="240" w:lineRule="auto"/>
                    <w:ind w:right="284"/>
                    <w:jc w:val="right"/>
                  </w:pPr>
                  <w:r>
                    <w:t>38.0</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no remedy granted</w:t>
                  </w:r>
                </w:p>
              </w:tc>
              <w:tc>
                <w:tcPr>
                  <w:tcW w:w="1134" w:type="dxa"/>
                  <w:vAlign w:val="center"/>
                </w:tcPr>
                <w:p w:rsidR="00062688" w:rsidRDefault="0081082E" w:rsidP="0081082E">
                  <w:pPr>
                    <w:spacing w:after="0" w:line="240" w:lineRule="auto"/>
                    <w:ind w:right="284"/>
                    <w:jc w:val="right"/>
                  </w:pPr>
                  <w:r>
                    <w:rPr>
                      <w:rFonts w:eastAsia="Arial"/>
                      <w:color w:val="000000"/>
                    </w:rPr>
                    <w:t>1</w:t>
                  </w:r>
                </w:p>
              </w:tc>
              <w:tc>
                <w:tcPr>
                  <w:tcW w:w="992" w:type="dxa"/>
                  <w:vAlign w:val="center"/>
                </w:tcPr>
                <w:p w:rsidR="00062688" w:rsidRDefault="00520C3E" w:rsidP="00062688">
                  <w:pPr>
                    <w:spacing w:after="0" w:line="240" w:lineRule="auto"/>
                    <w:ind w:right="284"/>
                    <w:jc w:val="right"/>
                  </w:pPr>
                  <w:r>
                    <w:rPr>
                      <w:rFonts w:eastAsia="Arial"/>
                      <w:color w:val="000000"/>
                    </w:rPr>
                    <w:t>2.0</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w:t>
                  </w:r>
                </w:p>
              </w:tc>
              <w:tc>
                <w:tcPr>
                  <w:tcW w:w="1134" w:type="dxa"/>
                  <w:vAlign w:val="center"/>
                </w:tcPr>
                <w:p w:rsidR="00062688" w:rsidRDefault="0040454C" w:rsidP="00062688">
                  <w:pPr>
                    <w:spacing w:after="0" w:line="240" w:lineRule="auto"/>
                    <w:ind w:right="284"/>
                    <w:jc w:val="right"/>
                  </w:pPr>
                  <w:r>
                    <w:t>1</w:t>
                  </w:r>
                </w:p>
              </w:tc>
              <w:tc>
                <w:tcPr>
                  <w:tcW w:w="992" w:type="dxa"/>
                  <w:vAlign w:val="center"/>
                </w:tcPr>
                <w:p w:rsidR="00062688" w:rsidRDefault="00520C3E" w:rsidP="00062688">
                  <w:pPr>
                    <w:spacing w:after="0" w:line="240" w:lineRule="auto"/>
                    <w:ind w:right="284"/>
                    <w:jc w:val="right"/>
                  </w:pPr>
                  <w:r>
                    <w:t>2.0</w:t>
                  </w:r>
                </w:p>
              </w:tc>
            </w:tr>
            <w:tr w:rsidR="00062688" w:rsidTr="00BD64F3">
              <w:trPr>
                <w:trHeight w:val="397"/>
              </w:trPr>
              <w:tc>
                <w:tcPr>
                  <w:tcW w:w="5557" w:type="dxa"/>
                  <w:vAlign w:val="center"/>
                </w:tcPr>
                <w:p w:rsidR="00062688" w:rsidRDefault="00062688" w:rsidP="00A93077">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reinstatement and lost remuneration</w:t>
                  </w:r>
                </w:p>
              </w:tc>
              <w:tc>
                <w:tcPr>
                  <w:tcW w:w="1134" w:type="dxa"/>
                  <w:vAlign w:val="center"/>
                </w:tcPr>
                <w:p w:rsidR="00062688" w:rsidRDefault="0040454C" w:rsidP="00062688">
                  <w:pPr>
                    <w:spacing w:after="0" w:line="240" w:lineRule="auto"/>
                    <w:ind w:right="284"/>
                    <w:jc w:val="right"/>
                  </w:pPr>
                  <w:r>
                    <w:t>2</w:t>
                  </w:r>
                </w:p>
              </w:tc>
              <w:tc>
                <w:tcPr>
                  <w:tcW w:w="992" w:type="dxa"/>
                  <w:vAlign w:val="center"/>
                </w:tcPr>
                <w:p w:rsidR="00062688" w:rsidRDefault="00520C3E" w:rsidP="0081082E">
                  <w:pPr>
                    <w:spacing w:after="0" w:line="240" w:lineRule="auto"/>
                    <w:ind w:right="284"/>
                    <w:jc w:val="right"/>
                  </w:pPr>
                  <w:r>
                    <w:rPr>
                      <w:rFonts w:eastAsia="Arial"/>
                      <w:color w:val="000000"/>
                    </w:rPr>
                    <w:t>4.0</w:t>
                  </w:r>
                </w:p>
              </w:tc>
            </w:tr>
            <w:tr w:rsidR="00062688" w:rsidTr="00BD64F3">
              <w:trPr>
                <w:trHeight w:val="397"/>
              </w:trPr>
              <w:tc>
                <w:tcPr>
                  <w:tcW w:w="5557" w:type="dxa"/>
                  <w:vAlign w:val="center"/>
                </w:tcPr>
                <w:p w:rsidR="00062688" w:rsidRDefault="00062688" w:rsidP="00076D6E">
                  <w:pPr>
                    <w:tabs>
                      <w:tab w:val="clear" w:pos="567"/>
                      <w:tab w:val="clear" w:pos="1134"/>
                    </w:tabs>
                    <w:autoSpaceDE w:val="0"/>
                    <w:autoSpaceDN w:val="0"/>
                    <w:adjustRightInd w:val="0"/>
                    <w:spacing w:after="0" w:line="240" w:lineRule="auto"/>
                    <w:ind w:left="720" w:right="175"/>
                    <w:rPr>
                      <w:rFonts w:cs="Arial"/>
                      <w:color w:val="000000"/>
                      <w:szCs w:val="20"/>
                      <w:lang w:val="en-AU" w:eastAsia="en-AU"/>
                    </w:rPr>
                  </w:pPr>
                  <w:r>
                    <w:rPr>
                      <w:rFonts w:cs="Arial"/>
                      <w:color w:val="000000"/>
                      <w:szCs w:val="20"/>
                      <w:lang w:val="en-AU" w:eastAsia="en-AU"/>
                    </w:rPr>
                    <w:t>Application granted - remedy to be determined</w:t>
                  </w:r>
                </w:p>
              </w:tc>
              <w:tc>
                <w:tcPr>
                  <w:tcW w:w="1134" w:type="dxa"/>
                  <w:vAlign w:val="center"/>
                </w:tcPr>
                <w:p w:rsidR="00062688" w:rsidRDefault="0040454C" w:rsidP="0081082E">
                  <w:pPr>
                    <w:spacing w:after="0" w:line="240" w:lineRule="auto"/>
                    <w:ind w:right="284"/>
                    <w:jc w:val="right"/>
                  </w:pPr>
                  <w:r>
                    <w:rPr>
                      <w:rFonts w:eastAsia="Arial"/>
                      <w:color w:val="000000"/>
                    </w:rPr>
                    <w:t>4</w:t>
                  </w:r>
                </w:p>
              </w:tc>
              <w:tc>
                <w:tcPr>
                  <w:tcW w:w="992" w:type="dxa"/>
                  <w:vAlign w:val="center"/>
                </w:tcPr>
                <w:p w:rsidR="00062688" w:rsidRDefault="00520C3E" w:rsidP="0081082E">
                  <w:pPr>
                    <w:spacing w:after="0" w:line="240" w:lineRule="auto"/>
                    <w:ind w:right="284"/>
                    <w:jc w:val="right"/>
                  </w:pPr>
                  <w:r>
                    <w:rPr>
                      <w:rFonts w:eastAsia="Arial"/>
                      <w:color w:val="000000"/>
                    </w:rPr>
                    <w:t>8.0</w:t>
                  </w:r>
                </w:p>
              </w:tc>
            </w:tr>
            <w:tr w:rsidR="00062688" w:rsidTr="00BD64F3">
              <w:trPr>
                <w:trHeight w:val="397"/>
              </w:trPr>
              <w:tc>
                <w:tcPr>
                  <w:tcW w:w="5557" w:type="dxa"/>
                  <w:vAlign w:val="center"/>
                </w:tcPr>
                <w:p w:rsidR="00062688" w:rsidRPr="00614CDB" w:rsidRDefault="00062688" w:rsidP="00614CDB">
                  <w:pPr>
                    <w:tabs>
                      <w:tab w:val="clear" w:pos="567"/>
                      <w:tab w:val="clear" w:pos="1134"/>
                    </w:tabs>
                    <w:autoSpaceDE w:val="0"/>
                    <w:autoSpaceDN w:val="0"/>
                    <w:adjustRightInd w:val="0"/>
                    <w:spacing w:after="0" w:line="240" w:lineRule="auto"/>
                    <w:ind w:right="175"/>
                    <w:rPr>
                      <w:rFonts w:cs="Arial"/>
                      <w:b/>
                      <w:color w:val="000000"/>
                      <w:szCs w:val="20"/>
                      <w:lang w:val="en-AU" w:eastAsia="en-AU"/>
                    </w:rPr>
                  </w:pPr>
                  <w:r w:rsidRPr="00614CDB">
                    <w:rPr>
                      <w:rFonts w:cs="Arial"/>
                      <w:b/>
                      <w:color w:val="000000"/>
                      <w:szCs w:val="20"/>
                      <w:lang w:val="en-AU" w:eastAsia="en-AU"/>
                    </w:rPr>
                    <w:t>Total merits results Australia wide</w:t>
                  </w:r>
                </w:p>
              </w:tc>
              <w:tc>
                <w:tcPr>
                  <w:tcW w:w="1134" w:type="dxa"/>
                  <w:vAlign w:val="center"/>
                </w:tcPr>
                <w:p w:rsidR="00062688" w:rsidRPr="00235C12" w:rsidRDefault="0040454C" w:rsidP="0081082E">
                  <w:pPr>
                    <w:spacing w:after="0" w:line="240" w:lineRule="auto"/>
                    <w:ind w:right="284"/>
                    <w:jc w:val="right"/>
                    <w:rPr>
                      <w:b/>
                    </w:rPr>
                  </w:pPr>
                  <w:r>
                    <w:rPr>
                      <w:b/>
                    </w:rPr>
                    <w:t>50</w:t>
                  </w:r>
                </w:p>
              </w:tc>
              <w:tc>
                <w:tcPr>
                  <w:tcW w:w="992" w:type="dxa"/>
                  <w:vAlign w:val="center"/>
                </w:tcPr>
                <w:p w:rsidR="00062688" w:rsidRDefault="00062688" w:rsidP="00062688">
                  <w:pPr>
                    <w:spacing w:after="0" w:line="240" w:lineRule="auto"/>
                    <w:ind w:right="284"/>
                    <w:jc w:val="right"/>
                  </w:pPr>
                  <w:r>
                    <w:rPr>
                      <w:rFonts w:eastAsia="Arial"/>
                      <w:b/>
                      <w:color w:val="000000"/>
                    </w:rPr>
                    <w:t>100</w:t>
                  </w:r>
                </w:p>
              </w:tc>
            </w:tr>
          </w:tbl>
          <w:p w:rsidR="002366C5" w:rsidRPr="00330A04" w:rsidRDefault="002366C5" w:rsidP="00D11F74">
            <w:pPr>
              <w:tabs>
                <w:tab w:val="clear" w:pos="567"/>
                <w:tab w:val="clear" w:pos="1134"/>
              </w:tabs>
              <w:autoSpaceDE w:val="0"/>
              <w:autoSpaceDN w:val="0"/>
              <w:adjustRightInd w:val="0"/>
              <w:spacing w:after="0" w:line="240" w:lineRule="auto"/>
              <w:ind w:right="175"/>
              <w:rPr>
                <w:rFonts w:cs="Arial"/>
                <w:b/>
                <w:color w:val="000000"/>
                <w:szCs w:val="20"/>
                <w:lang w:val="en-AU" w:eastAsia="en-AU"/>
              </w:rPr>
            </w:pPr>
          </w:p>
        </w:tc>
      </w:tr>
      <w:tr w:rsidR="002366C5" w:rsidRPr="007E4B3B" w:rsidTr="00BD64F3">
        <w:trPr>
          <w:trHeight w:val="340"/>
        </w:trPr>
        <w:tc>
          <w:tcPr>
            <w:tcW w:w="851" w:type="dxa"/>
            <w:vAlign w:val="center"/>
          </w:tcPr>
          <w:p w:rsidR="002366C5" w:rsidRPr="002366C5" w:rsidRDefault="002366C5"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p>
        </w:tc>
        <w:tc>
          <w:tcPr>
            <w:tcW w:w="1134" w:type="dxa"/>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C85BD1">
        <w:trPr>
          <w:trHeight w:val="681"/>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3</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Analysis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C85BD1">
        <w:trPr>
          <w:trHeight w:val="677"/>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3.1</w:t>
            </w:r>
          </w:p>
        </w:tc>
        <w:tc>
          <w:tcPr>
            <w:tcW w:w="7796" w:type="dxa"/>
            <w:tcBorders>
              <w:top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conciliations held</w:t>
            </w:r>
            <w:r w:rsidR="00E454CC">
              <w:rPr>
                <w:rFonts w:cs="Arial"/>
                <w:color w:val="000000"/>
                <w:szCs w:val="20"/>
                <w:lang w:val="en-AU" w:eastAsia="en-AU"/>
              </w:rPr>
              <w:t xml:space="preserve"> </w:t>
            </w:r>
            <w:r>
              <w:rPr>
                <w:rStyle w:val="FootnoteReference"/>
                <w:rFonts w:cs="Arial"/>
                <w:color w:val="000000"/>
                <w:szCs w:val="20"/>
                <w:lang w:val="en-AU" w:eastAsia="en-AU"/>
              </w:rPr>
              <w:footnoteReference w:id="4"/>
            </w:r>
            <w:r>
              <w:rPr>
                <w:rFonts w:cs="Arial"/>
                <w:color w:val="000000"/>
                <w:szCs w:val="20"/>
                <w:lang w:val="en-AU" w:eastAsia="en-AU"/>
              </w:rPr>
              <w:t xml:space="preserve"> </w:t>
            </w:r>
          </w:p>
        </w:tc>
        <w:tc>
          <w:tcPr>
            <w:tcW w:w="1134" w:type="dxa"/>
            <w:tcBorders>
              <w:top w:val="single" w:sz="4" w:space="0" w:color="D9D9D9" w:themeColor="background1" w:themeShade="D9"/>
            </w:tcBorders>
            <w:shd w:val="clear" w:color="auto" w:fill="auto"/>
            <w:noWrap/>
            <w:vAlign w:val="center"/>
            <w:hideMark/>
          </w:tcPr>
          <w:p w:rsidR="002366C5" w:rsidRDefault="0081082E"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2010</w:t>
            </w:r>
          </w:p>
        </w:tc>
      </w:tr>
      <w:tr w:rsidR="002366C5" w:rsidRPr="007E4B3B" w:rsidTr="00C85BD1">
        <w:trPr>
          <w:trHeight w:val="715"/>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3.2</w:t>
            </w:r>
          </w:p>
        </w:tc>
        <w:tc>
          <w:tcPr>
            <w:tcW w:w="7796" w:type="dxa"/>
            <w:shd w:val="clear" w:color="auto" w:fill="auto"/>
            <w:vAlign w:val="center"/>
            <w:hideMark/>
          </w:tcPr>
          <w:p w:rsidR="002366C5" w:rsidRDefault="002366C5" w:rsidP="000B423F">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at or prior to conciliation</w:t>
            </w:r>
          </w:p>
        </w:tc>
        <w:tc>
          <w:tcPr>
            <w:tcW w:w="1134" w:type="dxa"/>
            <w:shd w:val="clear" w:color="auto" w:fill="auto"/>
            <w:noWrap/>
            <w:vAlign w:val="center"/>
            <w:hideMark/>
          </w:tcPr>
          <w:p w:rsidR="002366C5" w:rsidRDefault="0081082E"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1771</w:t>
            </w:r>
          </w:p>
        </w:tc>
      </w:tr>
      <w:tr w:rsidR="002366C5" w:rsidRPr="007E4B3B" w:rsidTr="00C85BD1">
        <w:trPr>
          <w:trHeight w:val="683"/>
        </w:trPr>
        <w:tc>
          <w:tcPr>
            <w:tcW w:w="851" w:type="dxa"/>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3.3</w:t>
            </w:r>
          </w:p>
        </w:tc>
        <w:tc>
          <w:tcPr>
            <w:tcW w:w="7796" w:type="dxa"/>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Applications finalised prior to a decision</w:t>
            </w:r>
          </w:p>
        </w:tc>
        <w:tc>
          <w:tcPr>
            <w:tcW w:w="1134" w:type="dxa"/>
            <w:shd w:val="clear" w:color="auto" w:fill="auto"/>
            <w:noWrap/>
            <w:vAlign w:val="center"/>
            <w:hideMark/>
          </w:tcPr>
          <w:p w:rsidR="002366C5" w:rsidRDefault="0081082E"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1871</w:t>
            </w:r>
          </w:p>
        </w:tc>
      </w:tr>
      <w:tr w:rsidR="002366C5" w:rsidRPr="007E4B3B"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lastRenderedPageBreak/>
              <w:t>4</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Default="002366C5" w:rsidP="00DF75D5">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Mode of conciliation</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b/>
                <w:bCs/>
                <w:color w:val="000000"/>
                <w:szCs w:val="20"/>
                <w:lang w:val="en-AU" w:eastAsia="en-AU"/>
              </w:rPr>
            </w:pPr>
          </w:p>
        </w:tc>
      </w:tr>
      <w:tr w:rsidR="002366C5" w:rsidRPr="007E4B3B" w:rsidTr="00BD64F3">
        <w:trPr>
          <w:trHeight w:val="799"/>
        </w:trPr>
        <w:tc>
          <w:tcPr>
            <w:tcW w:w="851" w:type="dxa"/>
            <w:tcBorders>
              <w:top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4.1</w:t>
            </w:r>
          </w:p>
        </w:tc>
        <w:tc>
          <w:tcPr>
            <w:tcW w:w="7796" w:type="dxa"/>
            <w:tcBorders>
              <w:top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by telephone</w:t>
            </w:r>
            <w:r w:rsidR="00E454CC">
              <w:rPr>
                <w:rFonts w:cs="Arial"/>
                <w:color w:val="000000"/>
                <w:szCs w:val="20"/>
                <w:lang w:val="en-AU" w:eastAsia="en-AU"/>
              </w:rPr>
              <w:t xml:space="preserve"> </w:t>
            </w:r>
            <w:r w:rsidR="00E454CC">
              <w:rPr>
                <w:rStyle w:val="FootnoteReference"/>
                <w:rFonts w:cs="Arial"/>
                <w:color w:val="000000"/>
                <w:szCs w:val="20"/>
                <w:lang w:val="en-AU" w:eastAsia="en-AU"/>
              </w:rPr>
              <w:footnoteReference w:id="5"/>
            </w:r>
          </w:p>
        </w:tc>
        <w:tc>
          <w:tcPr>
            <w:tcW w:w="1134" w:type="dxa"/>
            <w:tcBorders>
              <w:top w:val="single" w:sz="4" w:space="0" w:color="D9D9D9" w:themeColor="background1" w:themeShade="D9"/>
            </w:tcBorders>
            <w:shd w:val="clear" w:color="auto" w:fill="auto"/>
            <w:noWrap/>
            <w:vAlign w:val="center"/>
            <w:hideMark/>
          </w:tcPr>
          <w:p w:rsidR="002366C5" w:rsidRDefault="00520C3E" w:rsidP="00520C3E">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2525</w:t>
            </w:r>
          </w:p>
        </w:tc>
      </w:tr>
      <w:tr w:rsidR="002366C5" w:rsidRPr="007E4B3B" w:rsidTr="00BD64F3">
        <w:trPr>
          <w:trHeight w:val="799"/>
        </w:trPr>
        <w:tc>
          <w:tcPr>
            <w:tcW w:w="851" w:type="dxa"/>
            <w:tcBorders>
              <w:bottom w:val="single" w:sz="4" w:space="0" w:color="D9D9D9" w:themeColor="background1" w:themeShade="D9"/>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4.2</w:t>
            </w:r>
          </w:p>
        </w:tc>
        <w:tc>
          <w:tcPr>
            <w:tcW w:w="7796" w:type="dxa"/>
            <w:tcBorders>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Conciliations conducted in person</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D9D9D9" w:themeColor="background1" w:themeShade="D9"/>
            </w:tcBorders>
            <w:shd w:val="clear" w:color="auto" w:fill="auto"/>
            <w:noWrap/>
            <w:vAlign w:val="center"/>
            <w:hideMark/>
          </w:tcPr>
          <w:p w:rsidR="002366C5" w:rsidRDefault="00520C3E"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39</w:t>
            </w: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4.3</w:t>
            </w:r>
          </w:p>
        </w:tc>
        <w:tc>
          <w:tcPr>
            <w:tcW w:w="7796" w:type="dxa"/>
            <w:tcBorders>
              <w:bottom w:val="single" w:sz="4" w:space="0" w:color="auto"/>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Conciliation by video conference/other</w:t>
            </w:r>
            <w:r w:rsidR="00E454CC">
              <w:rPr>
                <w:rFonts w:cs="Arial"/>
                <w:color w:val="000000"/>
                <w:szCs w:val="20"/>
                <w:lang w:val="en-AU" w:eastAsia="en-AU"/>
              </w:rPr>
              <w:t xml:space="preserve"> </w:t>
            </w:r>
            <w:r w:rsidR="000B423F">
              <w:rPr>
                <w:rFonts w:cs="Arial"/>
                <w:color w:val="000000"/>
                <w:szCs w:val="20"/>
                <w:vertAlign w:val="superscript"/>
                <w:lang w:val="en-AU" w:eastAsia="en-AU"/>
              </w:rPr>
              <w:t>5</w:t>
            </w:r>
          </w:p>
        </w:tc>
        <w:tc>
          <w:tcPr>
            <w:tcW w:w="1134" w:type="dxa"/>
            <w:tcBorders>
              <w:bottom w:val="single" w:sz="4" w:space="0" w:color="auto"/>
            </w:tcBorders>
            <w:shd w:val="clear" w:color="auto" w:fill="auto"/>
            <w:noWrap/>
            <w:vAlign w:val="center"/>
            <w:hideMark/>
          </w:tcPr>
          <w:p w:rsidR="002366C5" w:rsidRDefault="00520C3E"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4</w:t>
            </w:r>
          </w:p>
        </w:tc>
      </w:tr>
      <w:tr w:rsidR="002366C5" w:rsidRPr="00FF7E49" w:rsidTr="00BD64F3">
        <w:trPr>
          <w:trHeight w:val="799"/>
        </w:trPr>
        <w:tc>
          <w:tcPr>
            <w:tcW w:w="851" w:type="dxa"/>
            <w:tcBorders>
              <w:top w:val="single" w:sz="4" w:space="0" w:color="auto"/>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5</w:t>
            </w:r>
          </w:p>
        </w:tc>
        <w:tc>
          <w:tcPr>
            <w:tcW w:w="7796" w:type="dxa"/>
            <w:tcBorders>
              <w:top w:val="single" w:sz="4" w:space="0" w:color="auto"/>
              <w:bottom w:val="single" w:sz="4" w:space="0" w:color="D9D9D9" w:themeColor="background1" w:themeShade="D9"/>
            </w:tcBorders>
            <w:shd w:val="clear" w:color="auto" w:fill="auto"/>
            <w:vAlign w:val="center"/>
            <w:hideMark/>
          </w:tcPr>
          <w:p w:rsidR="002366C5" w:rsidRPr="00FF7E49"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sidRPr="00FF7E49">
              <w:rPr>
                <w:rFonts w:cs="Arial"/>
                <w:b/>
                <w:bCs/>
                <w:color w:val="000000"/>
                <w:szCs w:val="20"/>
                <w:lang w:val="en-AU" w:eastAsia="en-AU"/>
              </w:rPr>
              <w:t>General protections</w:t>
            </w:r>
          </w:p>
        </w:tc>
        <w:tc>
          <w:tcPr>
            <w:tcW w:w="1134" w:type="dxa"/>
            <w:tcBorders>
              <w:top w:val="single" w:sz="4" w:space="0" w:color="auto"/>
              <w:bottom w:val="single" w:sz="4" w:space="0" w:color="D9D9D9" w:themeColor="background1" w:themeShade="D9"/>
            </w:tcBorders>
            <w:shd w:val="clear" w:color="auto" w:fill="auto"/>
            <w:noWrap/>
            <w:vAlign w:val="center"/>
            <w:hideMark/>
          </w:tcPr>
          <w:p w:rsidR="002366C5" w:rsidRPr="00FF7E49"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5.1</w:t>
            </w:r>
          </w:p>
        </w:tc>
        <w:tc>
          <w:tcPr>
            <w:tcW w:w="7796" w:type="dxa"/>
            <w:tcBorders>
              <w:bottom w:val="single" w:sz="4" w:space="0" w:color="auto"/>
            </w:tcBorders>
            <w:shd w:val="clear" w:color="auto" w:fill="auto"/>
            <w:vAlign w:val="center"/>
            <w:hideMark/>
          </w:tcPr>
          <w:p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s.365</w:t>
            </w:r>
          </w:p>
        </w:tc>
        <w:tc>
          <w:tcPr>
            <w:tcW w:w="1134" w:type="dxa"/>
            <w:tcBorders>
              <w:bottom w:val="single" w:sz="4" w:space="0" w:color="auto"/>
            </w:tcBorders>
            <w:shd w:val="clear" w:color="auto" w:fill="auto"/>
            <w:noWrap/>
            <w:vAlign w:val="center"/>
            <w:hideMark/>
          </w:tcPr>
          <w:p w:rsidR="002366C5" w:rsidRDefault="00520C3E"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1061</w:t>
            </w:r>
          </w:p>
        </w:tc>
      </w:tr>
      <w:tr w:rsidR="002366C5" w:rsidRPr="007E4B3B" w:rsidTr="00BD64F3">
        <w:trPr>
          <w:trHeight w:val="799"/>
        </w:trPr>
        <w:tc>
          <w:tcPr>
            <w:tcW w:w="851" w:type="dxa"/>
            <w:tcBorders>
              <w:top w:val="nil"/>
              <w:bottom w:val="single" w:sz="4" w:space="0" w:color="D9D9D9" w:themeColor="background1" w:themeShade="D9"/>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bCs/>
                <w:color w:val="000000"/>
                <w:szCs w:val="20"/>
                <w:lang w:val="en-AU" w:eastAsia="en-AU"/>
              </w:rPr>
            </w:pPr>
            <w:r w:rsidRPr="00297666">
              <w:rPr>
                <w:rFonts w:cs="Arial"/>
                <w:b/>
                <w:bCs/>
                <w:color w:val="000000"/>
                <w:szCs w:val="20"/>
                <w:lang w:val="en-AU" w:eastAsia="en-AU"/>
              </w:rPr>
              <w:t>6</w:t>
            </w:r>
          </w:p>
        </w:tc>
        <w:tc>
          <w:tcPr>
            <w:tcW w:w="7796" w:type="dxa"/>
            <w:tcBorders>
              <w:top w:val="nil"/>
              <w:bottom w:val="single" w:sz="4" w:space="0" w:color="D9D9D9" w:themeColor="background1" w:themeShade="D9"/>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b/>
                <w:bCs/>
                <w:color w:val="000000"/>
                <w:szCs w:val="20"/>
                <w:lang w:val="en-AU" w:eastAsia="en-AU"/>
              </w:rPr>
            </w:pPr>
            <w:r>
              <w:rPr>
                <w:rFonts w:cs="Arial"/>
                <w:b/>
                <w:bCs/>
                <w:color w:val="000000"/>
                <w:szCs w:val="20"/>
                <w:lang w:val="en-AU" w:eastAsia="en-AU"/>
              </w:rPr>
              <w:t>Disputes</w:t>
            </w:r>
          </w:p>
        </w:tc>
        <w:tc>
          <w:tcPr>
            <w:tcW w:w="1134" w:type="dxa"/>
            <w:tcBorders>
              <w:top w:val="nil"/>
              <w:bottom w:val="single" w:sz="4" w:space="0" w:color="D9D9D9" w:themeColor="background1" w:themeShade="D9"/>
            </w:tcBorders>
            <w:shd w:val="clear" w:color="auto" w:fill="auto"/>
            <w:noWrap/>
            <w:vAlign w:val="center"/>
            <w:hideMark/>
          </w:tcPr>
          <w:p w:rsidR="002366C5" w:rsidRDefault="002366C5"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p>
        </w:tc>
      </w:tr>
      <w:tr w:rsidR="002366C5" w:rsidRPr="007E4B3B" w:rsidTr="00BD64F3">
        <w:trPr>
          <w:trHeight w:val="799"/>
        </w:trPr>
        <w:tc>
          <w:tcPr>
            <w:tcW w:w="851" w:type="dxa"/>
            <w:tcBorders>
              <w:bottom w:val="single" w:sz="4" w:space="0" w:color="auto"/>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6.1</w:t>
            </w:r>
          </w:p>
        </w:tc>
        <w:tc>
          <w:tcPr>
            <w:tcW w:w="7796" w:type="dxa"/>
            <w:tcBorders>
              <w:bottom w:val="single" w:sz="4" w:space="0" w:color="auto"/>
            </w:tcBorders>
            <w:shd w:val="clear" w:color="auto" w:fill="auto"/>
            <w:vAlign w:val="center"/>
            <w:hideMark/>
          </w:tcPr>
          <w:p w:rsidR="002366C5" w:rsidRDefault="002366C5" w:rsidP="00F0736C">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Number of applications for FWC to deal with dismissal disputes made under s.773</w:t>
            </w:r>
          </w:p>
        </w:tc>
        <w:tc>
          <w:tcPr>
            <w:tcW w:w="1134" w:type="dxa"/>
            <w:tcBorders>
              <w:bottom w:val="single" w:sz="4" w:space="0" w:color="auto"/>
            </w:tcBorders>
            <w:shd w:val="clear" w:color="auto" w:fill="auto"/>
            <w:noWrap/>
            <w:vAlign w:val="center"/>
            <w:hideMark/>
          </w:tcPr>
          <w:p w:rsidR="002366C5" w:rsidRDefault="00520C3E"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22</w:t>
            </w:r>
          </w:p>
        </w:tc>
      </w:tr>
      <w:tr w:rsidR="002366C5" w:rsidRPr="00290B0D" w:rsidTr="00BD64F3">
        <w:trPr>
          <w:trHeight w:val="799"/>
        </w:trPr>
        <w:tc>
          <w:tcPr>
            <w:tcW w:w="851" w:type="dxa"/>
            <w:tcBorders>
              <w:top w:val="single" w:sz="4" w:space="0" w:color="auto"/>
              <w:bottom w:val="single" w:sz="4" w:space="0" w:color="D9D9D9" w:themeColor="background1" w:themeShade="D9"/>
              <w:right w:val="nil"/>
            </w:tcBorders>
            <w:vAlign w:val="center"/>
          </w:tcPr>
          <w:p w:rsidR="002366C5" w:rsidRPr="00297666" w:rsidRDefault="00297666" w:rsidP="00297666">
            <w:pPr>
              <w:tabs>
                <w:tab w:val="clear" w:pos="567"/>
                <w:tab w:val="clear" w:pos="1134"/>
                <w:tab w:val="left" w:pos="885"/>
              </w:tabs>
              <w:autoSpaceDE w:val="0"/>
              <w:autoSpaceDN w:val="0"/>
              <w:adjustRightInd w:val="0"/>
              <w:spacing w:after="0" w:line="240" w:lineRule="auto"/>
              <w:ind w:left="-108" w:right="0"/>
              <w:rPr>
                <w:rFonts w:cs="Arial"/>
                <w:b/>
                <w:color w:val="000000"/>
                <w:szCs w:val="20"/>
                <w:lang w:val="en-AU" w:eastAsia="en-AU"/>
              </w:rPr>
            </w:pPr>
            <w:r w:rsidRPr="00297666">
              <w:rPr>
                <w:rFonts w:cs="Arial"/>
                <w:b/>
                <w:color w:val="000000"/>
                <w:szCs w:val="20"/>
                <w:lang w:val="en-AU" w:eastAsia="en-AU"/>
              </w:rPr>
              <w:t>7</w:t>
            </w:r>
          </w:p>
        </w:tc>
        <w:tc>
          <w:tcPr>
            <w:tcW w:w="7796" w:type="dxa"/>
            <w:tcBorders>
              <w:top w:val="single" w:sz="4" w:space="0" w:color="auto"/>
              <w:bottom w:val="single" w:sz="4" w:space="0" w:color="D9D9D9" w:themeColor="background1" w:themeShade="D9"/>
              <w:right w:val="nil"/>
            </w:tcBorders>
            <w:shd w:val="clear" w:color="auto" w:fill="auto"/>
            <w:vAlign w:val="center"/>
            <w:hideMark/>
          </w:tcPr>
          <w:p w:rsidR="002366C5" w:rsidRPr="00290B0D" w:rsidRDefault="002366C5" w:rsidP="00826926">
            <w:pPr>
              <w:tabs>
                <w:tab w:val="clear" w:pos="567"/>
                <w:tab w:val="clear" w:pos="1134"/>
              </w:tabs>
              <w:autoSpaceDE w:val="0"/>
              <w:autoSpaceDN w:val="0"/>
              <w:adjustRightInd w:val="0"/>
              <w:spacing w:after="0" w:line="240" w:lineRule="auto"/>
              <w:ind w:left="-108" w:right="0"/>
              <w:jc w:val="both"/>
              <w:rPr>
                <w:rFonts w:cs="Arial"/>
                <w:b/>
                <w:color w:val="000000"/>
                <w:szCs w:val="20"/>
                <w:lang w:val="en-AU" w:eastAsia="en-AU"/>
              </w:rPr>
            </w:pPr>
            <w:r w:rsidRPr="00290B0D">
              <w:rPr>
                <w:rFonts w:cs="Arial"/>
                <w:b/>
                <w:color w:val="000000"/>
                <w:szCs w:val="20"/>
                <w:lang w:val="en-AU" w:eastAsia="en-AU"/>
              </w:rPr>
              <w:t>Settlement Rate</w:t>
            </w:r>
          </w:p>
        </w:tc>
        <w:tc>
          <w:tcPr>
            <w:tcW w:w="1134" w:type="dxa"/>
            <w:tcBorders>
              <w:top w:val="single" w:sz="4" w:space="0" w:color="auto"/>
              <w:left w:val="nil"/>
              <w:bottom w:val="single" w:sz="4" w:space="0" w:color="D9D9D9" w:themeColor="background1" w:themeShade="D9"/>
            </w:tcBorders>
            <w:shd w:val="clear" w:color="auto" w:fill="auto"/>
            <w:noWrap/>
            <w:vAlign w:val="center"/>
            <w:hideMark/>
          </w:tcPr>
          <w:p w:rsidR="002366C5" w:rsidRPr="007438EF" w:rsidRDefault="002366C5" w:rsidP="00826926">
            <w:pPr>
              <w:tabs>
                <w:tab w:val="clear" w:pos="567"/>
                <w:tab w:val="clear" w:pos="1134"/>
              </w:tabs>
              <w:autoSpaceDE w:val="0"/>
              <w:autoSpaceDN w:val="0"/>
              <w:adjustRightInd w:val="0"/>
              <w:spacing w:after="0" w:line="240" w:lineRule="auto"/>
              <w:ind w:right="175"/>
              <w:jc w:val="right"/>
              <w:rPr>
                <w:rFonts w:cs="Arial"/>
                <w:b/>
                <w:color w:val="000000"/>
                <w:szCs w:val="20"/>
                <w:lang w:val="en-AU" w:eastAsia="en-AU"/>
              </w:rPr>
            </w:pPr>
            <w:r w:rsidRPr="007438EF">
              <w:rPr>
                <w:rFonts w:cs="Arial"/>
                <w:b/>
                <w:color w:val="000000"/>
                <w:szCs w:val="20"/>
                <w:lang w:val="en-AU" w:eastAsia="en-AU"/>
              </w:rPr>
              <w:t>%</w:t>
            </w:r>
          </w:p>
        </w:tc>
      </w:tr>
      <w:tr w:rsidR="002366C5" w:rsidRPr="007E4B3B" w:rsidTr="00BD64F3">
        <w:trPr>
          <w:trHeight w:val="799"/>
        </w:trPr>
        <w:tc>
          <w:tcPr>
            <w:tcW w:w="851" w:type="dxa"/>
            <w:tcBorders>
              <w:top w:val="single" w:sz="4" w:space="0" w:color="D9D9D9" w:themeColor="background1" w:themeShade="D9"/>
              <w:bottom w:val="single" w:sz="4" w:space="0" w:color="auto"/>
              <w:right w:val="nil"/>
            </w:tcBorders>
            <w:vAlign w:val="center"/>
          </w:tcPr>
          <w:p w:rsidR="002366C5" w:rsidRPr="002366C5" w:rsidRDefault="00297666" w:rsidP="00297666">
            <w:pPr>
              <w:tabs>
                <w:tab w:val="clear" w:pos="567"/>
                <w:tab w:val="clear" w:pos="1134"/>
                <w:tab w:val="left" w:pos="885"/>
              </w:tabs>
              <w:autoSpaceDE w:val="0"/>
              <w:autoSpaceDN w:val="0"/>
              <w:adjustRightInd w:val="0"/>
              <w:spacing w:after="0" w:line="240" w:lineRule="auto"/>
              <w:ind w:left="-108" w:right="0"/>
              <w:rPr>
                <w:rFonts w:cs="Arial"/>
                <w:color w:val="000000"/>
                <w:szCs w:val="20"/>
                <w:lang w:val="en-AU" w:eastAsia="en-AU"/>
              </w:rPr>
            </w:pPr>
            <w:r>
              <w:rPr>
                <w:rFonts w:cs="Arial"/>
                <w:color w:val="000000"/>
                <w:szCs w:val="20"/>
                <w:lang w:val="en-AU" w:eastAsia="en-AU"/>
              </w:rPr>
              <w:t>7.1</w:t>
            </w:r>
          </w:p>
        </w:tc>
        <w:tc>
          <w:tcPr>
            <w:tcW w:w="7796" w:type="dxa"/>
            <w:tcBorders>
              <w:top w:val="single" w:sz="4" w:space="0" w:color="D9D9D9" w:themeColor="background1" w:themeShade="D9"/>
              <w:bottom w:val="single" w:sz="4" w:space="0" w:color="auto"/>
              <w:right w:val="nil"/>
            </w:tcBorders>
            <w:shd w:val="clear" w:color="auto" w:fill="auto"/>
            <w:vAlign w:val="center"/>
            <w:hideMark/>
          </w:tcPr>
          <w:p w:rsidR="002366C5" w:rsidRDefault="002366C5" w:rsidP="00826926">
            <w:pPr>
              <w:tabs>
                <w:tab w:val="clear" w:pos="567"/>
                <w:tab w:val="clear" w:pos="1134"/>
              </w:tabs>
              <w:autoSpaceDE w:val="0"/>
              <w:autoSpaceDN w:val="0"/>
              <w:adjustRightInd w:val="0"/>
              <w:spacing w:after="0" w:line="240" w:lineRule="auto"/>
              <w:ind w:left="-108" w:right="0"/>
              <w:jc w:val="both"/>
              <w:rPr>
                <w:rFonts w:cs="Arial"/>
                <w:color w:val="000000"/>
                <w:szCs w:val="20"/>
                <w:lang w:val="en-AU" w:eastAsia="en-AU"/>
              </w:rPr>
            </w:pPr>
            <w:r>
              <w:rPr>
                <w:rFonts w:cs="Arial"/>
                <w:color w:val="000000"/>
                <w:szCs w:val="20"/>
                <w:lang w:val="en-AU" w:eastAsia="en-AU"/>
              </w:rPr>
              <w:t>Settlement rate of applications at conciliation</w:t>
            </w:r>
          </w:p>
        </w:tc>
        <w:tc>
          <w:tcPr>
            <w:tcW w:w="1134" w:type="dxa"/>
            <w:tcBorders>
              <w:top w:val="single" w:sz="4" w:space="0" w:color="D9D9D9" w:themeColor="background1" w:themeShade="D9"/>
              <w:left w:val="nil"/>
              <w:bottom w:val="single" w:sz="4" w:space="0" w:color="auto"/>
            </w:tcBorders>
            <w:shd w:val="clear" w:color="auto" w:fill="auto"/>
            <w:noWrap/>
            <w:vAlign w:val="center"/>
            <w:hideMark/>
          </w:tcPr>
          <w:p w:rsidR="002366C5" w:rsidRDefault="00520C3E" w:rsidP="00826926">
            <w:pPr>
              <w:tabs>
                <w:tab w:val="clear" w:pos="567"/>
                <w:tab w:val="clear" w:pos="1134"/>
              </w:tabs>
              <w:autoSpaceDE w:val="0"/>
              <w:autoSpaceDN w:val="0"/>
              <w:adjustRightInd w:val="0"/>
              <w:spacing w:after="0" w:line="240" w:lineRule="auto"/>
              <w:ind w:right="175"/>
              <w:jc w:val="right"/>
              <w:rPr>
                <w:rFonts w:cs="Arial"/>
                <w:color w:val="000000"/>
                <w:szCs w:val="20"/>
                <w:lang w:val="en-AU" w:eastAsia="en-AU"/>
              </w:rPr>
            </w:pPr>
            <w:r>
              <w:rPr>
                <w:rFonts w:cs="Arial"/>
                <w:color w:val="000000"/>
                <w:szCs w:val="20"/>
                <w:lang w:val="en-AU" w:eastAsia="en-AU"/>
              </w:rPr>
              <w:t>77</w:t>
            </w:r>
          </w:p>
        </w:tc>
      </w:tr>
    </w:tbl>
    <w:p w:rsidR="00857D01" w:rsidRDefault="00857D01" w:rsidP="00857D01">
      <w:pPr>
        <w:spacing w:after="0"/>
        <w:ind w:right="0"/>
        <w:rPr>
          <w:rFonts w:cs="Arial"/>
        </w:rPr>
      </w:pPr>
    </w:p>
    <w:p w:rsidR="00857D01" w:rsidRDefault="00857D01" w:rsidP="00857D01">
      <w:pPr>
        <w:spacing w:after="0"/>
        <w:ind w:right="0"/>
        <w:rPr>
          <w:rFonts w:cs="Arial"/>
        </w:rPr>
      </w:pPr>
    </w:p>
    <w:p w:rsidR="00857D01" w:rsidRDefault="00857D01" w:rsidP="00857D01">
      <w:pPr>
        <w:spacing w:after="0"/>
        <w:ind w:right="0"/>
        <w:rPr>
          <w:rFonts w:cs="Arial"/>
          <w:b/>
          <w:sz w:val="18"/>
          <w:szCs w:val="18"/>
        </w:rPr>
      </w:pPr>
    </w:p>
    <w:p w:rsidR="00857D01" w:rsidRDefault="00857D01" w:rsidP="00857D01">
      <w:pPr>
        <w:pStyle w:val="Headline3"/>
        <w:ind w:right="-2"/>
      </w:pPr>
      <w:r w:rsidRPr="001D312A">
        <w:t>Disclaimer</w:t>
      </w:r>
    </w:p>
    <w:p w:rsidR="00DF75D5" w:rsidRDefault="00DF75D5" w:rsidP="00DF75D5">
      <w:pPr>
        <w:spacing w:after="0"/>
        <w:ind w:right="-2"/>
        <w:rPr>
          <w:rFonts w:cs="Arial"/>
          <w:sz w:val="18"/>
          <w:szCs w:val="18"/>
        </w:rPr>
      </w:pPr>
      <w:r>
        <w:rPr>
          <w:rFonts w:cs="Arial"/>
          <w:sz w:val="18"/>
          <w:szCs w:val="18"/>
        </w:rPr>
        <w:t>This report should be read in conjunction with the Fair Work Commission information note for Quarterly reports</w:t>
      </w:r>
      <w:r w:rsidR="0033358F">
        <w:rPr>
          <w:rFonts w:cs="Arial"/>
          <w:sz w:val="18"/>
          <w:szCs w:val="18"/>
        </w:rPr>
        <w:t>.</w:t>
      </w:r>
    </w:p>
    <w:p w:rsidR="00DF75D5" w:rsidRDefault="00DF75D5" w:rsidP="00857D01">
      <w:pPr>
        <w:spacing w:after="0"/>
        <w:ind w:right="-2"/>
        <w:rPr>
          <w:rFonts w:cs="Arial"/>
          <w:sz w:val="18"/>
          <w:szCs w:val="18"/>
        </w:rPr>
      </w:pPr>
    </w:p>
    <w:p w:rsidR="00857D01" w:rsidRDefault="00857D01" w:rsidP="00857D01">
      <w:pPr>
        <w:spacing w:after="0"/>
        <w:ind w:right="-2"/>
        <w:rPr>
          <w:rFonts w:cs="Arial"/>
          <w:sz w:val="18"/>
          <w:szCs w:val="18"/>
        </w:rPr>
      </w:pPr>
      <w:r w:rsidRPr="00BD1677">
        <w:rPr>
          <w:rFonts w:cs="Arial"/>
          <w:sz w:val="18"/>
          <w:szCs w:val="18"/>
        </w:rPr>
        <w:t xml:space="preserve">In compiling this quarterly report all efforts have been made to ensure statistical accuracy, however minor </w:t>
      </w:r>
      <w:r>
        <w:rPr>
          <w:rFonts w:cs="Arial"/>
          <w:sz w:val="18"/>
          <w:szCs w:val="18"/>
        </w:rPr>
        <w:t>revisions</w:t>
      </w:r>
      <w:r w:rsidRPr="00BD1677">
        <w:rPr>
          <w:rFonts w:cs="Arial"/>
          <w:sz w:val="18"/>
          <w:szCs w:val="18"/>
        </w:rPr>
        <w:t xml:space="preserve"> in figur</w:t>
      </w:r>
      <w:r>
        <w:rPr>
          <w:rFonts w:cs="Arial"/>
          <w:sz w:val="18"/>
          <w:szCs w:val="18"/>
        </w:rPr>
        <w:t xml:space="preserve">es may occur from time to time. </w:t>
      </w:r>
      <w:r w:rsidRPr="00BD1677">
        <w:rPr>
          <w:rFonts w:cs="Arial"/>
          <w:sz w:val="18"/>
          <w:szCs w:val="18"/>
        </w:rPr>
        <w:t xml:space="preserve">The Fair Work </w:t>
      </w:r>
      <w:r>
        <w:rPr>
          <w:rFonts w:cs="Arial"/>
          <w:sz w:val="18"/>
          <w:szCs w:val="18"/>
        </w:rPr>
        <w:t>Commission</w:t>
      </w:r>
      <w:r w:rsidRPr="00BD1677">
        <w:rPr>
          <w:rFonts w:cs="Arial"/>
          <w:sz w:val="18"/>
          <w:szCs w:val="18"/>
        </w:rPr>
        <w:t xml:space="preserve"> annual report, which is tabled in the Australian Parliament each year, is the official statistica</w:t>
      </w:r>
      <w:r>
        <w:rPr>
          <w:rFonts w:cs="Arial"/>
          <w:sz w:val="18"/>
          <w:szCs w:val="18"/>
        </w:rPr>
        <w:t>l record of tribunal activities for the financial year.</w:t>
      </w:r>
    </w:p>
    <w:p w:rsidR="00857D01" w:rsidRDefault="00857D01" w:rsidP="00857D01">
      <w:pPr>
        <w:ind w:right="-2"/>
        <w:rPr>
          <w:rFonts w:cs="Arial"/>
        </w:rPr>
      </w:pPr>
    </w:p>
    <w:p w:rsidR="00857D01" w:rsidRDefault="00857D01" w:rsidP="00857D01">
      <w:pPr>
        <w:pStyle w:val="Headline3"/>
        <w:ind w:right="-2"/>
      </w:pPr>
      <w:r>
        <w:t>Further information</w:t>
      </w:r>
    </w:p>
    <w:p w:rsidR="005C5307" w:rsidRDefault="00701831" w:rsidP="005C5307">
      <w:pPr>
        <w:pStyle w:val="ListBullet1"/>
        <w:numPr>
          <w:ilvl w:val="0"/>
          <w:numId w:val="0"/>
        </w:numPr>
        <w:tabs>
          <w:tab w:val="left" w:pos="720"/>
        </w:tabs>
        <w:ind w:right="-2"/>
        <w:rPr>
          <w:rFonts w:cs="Arial"/>
          <w:sz w:val="18"/>
          <w:szCs w:val="18"/>
        </w:rPr>
      </w:pPr>
      <w:r w:rsidRPr="009167D6">
        <w:rPr>
          <w:rFonts w:cs="Arial"/>
          <w:sz w:val="18"/>
          <w:szCs w:val="18"/>
        </w:rPr>
        <w:t xml:space="preserve">If you have an inquiry about this report please </w:t>
      </w:r>
      <w:r>
        <w:rPr>
          <w:rFonts w:cs="Arial"/>
          <w:sz w:val="18"/>
          <w:szCs w:val="18"/>
        </w:rPr>
        <w:t xml:space="preserve">contact </w:t>
      </w:r>
      <w:r w:rsidR="005C5307">
        <w:rPr>
          <w:rFonts w:cs="Arial"/>
          <w:sz w:val="18"/>
          <w:szCs w:val="18"/>
        </w:rPr>
        <w:t xml:space="preserve">Louise Clarke, </w:t>
      </w:r>
      <w:r w:rsidR="006418EE">
        <w:rPr>
          <w:rFonts w:cs="Arial"/>
          <w:sz w:val="18"/>
          <w:szCs w:val="18"/>
        </w:rPr>
        <w:t xml:space="preserve">Executive </w:t>
      </w:r>
      <w:r w:rsidR="005C5307">
        <w:rPr>
          <w:rFonts w:cs="Arial"/>
          <w:sz w:val="18"/>
          <w:szCs w:val="18"/>
        </w:rPr>
        <w:t xml:space="preserve">Director, </w:t>
      </w:r>
      <w:proofErr w:type="gramStart"/>
      <w:r w:rsidR="005C5307">
        <w:rPr>
          <w:rFonts w:cs="Arial"/>
          <w:sz w:val="18"/>
          <w:szCs w:val="18"/>
        </w:rPr>
        <w:t>Client</w:t>
      </w:r>
      <w:proofErr w:type="gramEnd"/>
      <w:r w:rsidR="005C5307">
        <w:rPr>
          <w:rFonts w:cs="Arial"/>
          <w:sz w:val="18"/>
          <w:szCs w:val="18"/>
        </w:rPr>
        <w:t xml:space="preserve"> Services Branch. Phone 03 8656 4800 or by email </w:t>
      </w:r>
      <w:hyperlink r:id="rId12" w:history="1">
        <w:r w:rsidR="005C5307" w:rsidRPr="006418EE">
          <w:rPr>
            <w:rStyle w:val="Hyperlink"/>
            <w:rFonts w:ascii="Arial" w:hAnsi="Arial" w:cs="Arial"/>
            <w:sz w:val="18"/>
            <w:szCs w:val="18"/>
          </w:rPr>
          <w:t>louise.clarke@fwc.gov.au</w:t>
        </w:r>
      </w:hyperlink>
      <w:r w:rsidR="005C5307">
        <w:t xml:space="preserve"> </w:t>
      </w:r>
    </w:p>
    <w:p w:rsidR="00701831" w:rsidRPr="00701831" w:rsidRDefault="00701831" w:rsidP="005C5307">
      <w:pPr>
        <w:pStyle w:val="ListBullet1"/>
        <w:numPr>
          <w:ilvl w:val="0"/>
          <w:numId w:val="0"/>
        </w:numPr>
        <w:tabs>
          <w:tab w:val="left" w:pos="720"/>
        </w:tabs>
        <w:ind w:right="-2"/>
      </w:pPr>
    </w:p>
    <w:sectPr w:rsidR="00701831" w:rsidRPr="00701831" w:rsidSect="00E54ED2">
      <w:headerReference w:type="even" r:id="rId13"/>
      <w:footerReference w:type="default" r:id="rId14"/>
      <w:headerReference w:type="first" r:id="rId15"/>
      <w:footerReference w:type="first" r:id="rId16"/>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77" w:rsidRDefault="00A93077">
      <w:r>
        <w:separator/>
      </w:r>
    </w:p>
  </w:endnote>
  <w:endnote w:type="continuationSeparator" w:id="0">
    <w:p w:rsidR="00A93077" w:rsidRDefault="00A9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Pr="00EF570A" w:rsidRDefault="00A93077" w:rsidP="00EF570A">
    <w:pPr>
      <w:pStyle w:val="Footer"/>
      <w:pBdr>
        <w:top w:val="single" w:sz="6" w:space="1" w:color="auto"/>
      </w:pBdr>
      <w:tabs>
        <w:tab w:val="clear" w:pos="4320"/>
        <w:tab w:val="clear" w:pos="8640"/>
        <w:tab w:val="left" w:pos="4253"/>
        <w:tab w:val="left" w:pos="6804"/>
        <w:tab w:val="right" w:pos="9639"/>
      </w:tabs>
      <w:ind w:right="-569"/>
      <w:rPr>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A417BC">
      <w:rPr>
        <w:noProof/>
        <w:sz w:val="18"/>
        <w:szCs w:val="18"/>
      </w:rPr>
      <w:t>3</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A417BC">
      <w:rPr>
        <w:noProof/>
        <w:sz w:val="18"/>
        <w:szCs w:val="18"/>
      </w:rPr>
      <w:t>3</w:t>
    </w:r>
    <w:r w:rsidR="00222775"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Pr="00B16C55" w:rsidRDefault="00A93077" w:rsidP="002C4707">
    <w:pPr>
      <w:pStyle w:val="Footer"/>
      <w:pBdr>
        <w:top w:val="single" w:sz="6" w:space="1" w:color="auto"/>
      </w:pBdr>
      <w:tabs>
        <w:tab w:val="clear" w:pos="4320"/>
        <w:tab w:val="clear" w:pos="8640"/>
        <w:tab w:val="left" w:pos="4253"/>
        <w:tab w:val="left" w:pos="6804"/>
        <w:tab w:val="right" w:pos="9639"/>
      </w:tabs>
      <w:ind w:right="-569"/>
      <w:rPr>
        <w:sz w:val="18"/>
        <w:szCs w:val="18"/>
      </w:rPr>
    </w:pPr>
    <w:r>
      <w:rPr>
        <w:sz w:val="18"/>
        <w:szCs w:val="18"/>
      </w:rPr>
      <w:tab/>
    </w:r>
    <w:hyperlink r:id="rId1" w:history="1">
      <w:r w:rsidRPr="002B2ADE">
        <w:rPr>
          <w:rStyle w:val="Hyperlink"/>
          <w:rFonts w:ascii="Arial" w:hAnsi="Arial" w:cs="Arial"/>
          <w:sz w:val="18"/>
          <w:szCs w:val="18"/>
        </w:rPr>
        <w:t>www.fwc.gov.au</w:t>
      </w:r>
    </w:hyperlink>
    <w:r>
      <w:rPr>
        <w:sz w:val="18"/>
        <w:szCs w:val="18"/>
      </w:rPr>
      <w:tab/>
    </w:r>
    <w:r>
      <w:rPr>
        <w:sz w:val="18"/>
        <w:szCs w:val="18"/>
      </w:rPr>
      <w:tab/>
    </w:r>
    <w:r w:rsidR="00222775" w:rsidRPr="003E5DD9">
      <w:rPr>
        <w:sz w:val="18"/>
        <w:szCs w:val="18"/>
      </w:rPr>
      <w:fldChar w:fldCharType="begin"/>
    </w:r>
    <w:r w:rsidRPr="003E5DD9">
      <w:rPr>
        <w:sz w:val="18"/>
        <w:szCs w:val="18"/>
      </w:rPr>
      <w:instrText xml:space="preserve"> PAGE </w:instrText>
    </w:r>
    <w:r w:rsidR="00222775" w:rsidRPr="003E5DD9">
      <w:rPr>
        <w:sz w:val="18"/>
        <w:szCs w:val="18"/>
      </w:rPr>
      <w:fldChar w:fldCharType="separate"/>
    </w:r>
    <w:r w:rsidR="00A417BC">
      <w:rPr>
        <w:noProof/>
        <w:sz w:val="18"/>
        <w:szCs w:val="18"/>
      </w:rPr>
      <w:t>1</w:t>
    </w:r>
    <w:r w:rsidR="00222775" w:rsidRPr="003E5DD9">
      <w:rPr>
        <w:sz w:val="18"/>
        <w:szCs w:val="18"/>
      </w:rPr>
      <w:fldChar w:fldCharType="end"/>
    </w:r>
    <w:r w:rsidRPr="003E5DD9">
      <w:rPr>
        <w:sz w:val="18"/>
        <w:szCs w:val="18"/>
      </w:rPr>
      <w:t>/</w:t>
    </w:r>
    <w:r w:rsidR="00222775" w:rsidRPr="003E5DD9">
      <w:rPr>
        <w:sz w:val="18"/>
        <w:szCs w:val="18"/>
      </w:rPr>
      <w:fldChar w:fldCharType="begin"/>
    </w:r>
    <w:r w:rsidRPr="003E5DD9">
      <w:rPr>
        <w:sz w:val="18"/>
        <w:szCs w:val="18"/>
      </w:rPr>
      <w:instrText xml:space="preserve"> NUMPAGES </w:instrText>
    </w:r>
    <w:r w:rsidR="00222775" w:rsidRPr="003E5DD9">
      <w:rPr>
        <w:sz w:val="18"/>
        <w:szCs w:val="18"/>
      </w:rPr>
      <w:fldChar w:fldCharType="separate"/>
    </w:r>
    <w:r w:rsidR="00A417BC">
      <w:rPr>
        <w:noProof/>
        <w:sz w:val="18"/>
        <w:szCs w:val="18"/>
      </w:rPr>
      <w:t>3</w:t>
    </w:r>
    <w:r w:rsidR="00222775"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77" w:rsidRDefault="00A93077">
      <w:r>
        <w:separator/>
      </w:r>
    </w:p>
  </w:footnote>
  <w:footnote w:type="continuationSeparator" w:id="0">
    <w:p w:rsidR="00A93077" w:rsidRDefault="00A93077">
      <w:r>
        <w:continuationSeparator/>
      </w:r>
    </w:p>
  </w:footnote>
  <w:footnote w:id="1">
    <w:p w:rsidR="00A93077" w:rsidRPr="00841538" w:rsidRDefault="00A93077" w:rsidP="000B423F">
      <w:pPr>
        <w:pStyle w:val="FootnoteText"/>
        <w:tabs>
          <w:tab w:val="left" w:pos="7655"/>
        </w:tabs>
        <w:ind w:right="0"/>
        <w:rPr>
          <w:sz w:val="16"/>
          <w:szCs w:val="16"/>
          <w:lang w:val="en-AU"/>
        </w:rPr>
      </w:pPr>
      <w:r w:rsidRPr="00841538">
        <w:rPr>
          <w:rStyle w:val="FootnoteReference"/>
          <w:sz w:val="18"/>
          <w:szCs w:val="18"/>
        </w:rPr>
        <w:footnoteRef/>
      </w:r>
      <w:r w:rsidRPr="00841538">
        <w:rPr>
          <w:sz w:val="18"/>
          <w:szCs w:val="18"/>
        </w:rPr>
        <w:t xml:space="preserve"> </w:t>
      </w:r>
      <w:r w:rsidRPr="00F37323">
        <w:rPr>
          <w:rFonts w:cs="Arial"/>
          <w:color w:val="000000"/>
          <w:sz w:val="16"/>
          <w:szCs w:val="16"/>
          <w:lang w:eastAsia="en-AU"/>
        </w:rPr>
        <w:t>Conciliation refers to conciliations conducted by Commission employees, not Members of the Commission.</w:t>
      </w:r>
    </w:p>
  </w:footnote>
  <w:footnote w:id="2">
    <w:p w:rsidR="00A93077" w:rsidRPr="000D01F9" w:rsidRDefault="00A93077" w:rsidP="000B423F">
      <w:pPr>
        <w:pStyle w:val="FootnoteText"/>
        <w:tabs>
          <w:tab w:val="left" w:pos="7655"/>
        </w:tabs>
        <w:ind w:right="0"/>
        <w:rPr>
          <w:lang w:val="en-AU"/>
        </w:rPr>
      </w:pPr>
      <w:r>
        <w:rPr>
          <w:rStyle w:val="FootnoteReference"/>
        </w:rPr>
        <w:footnoteRef/>
      </w:r>
      <w:r>
        <w:t xml:space="preserve"> </w:t>
      </w:r>
      <w:proofErr w:type="gramStart"/>
      <w:r w:rsidRPr="00F37323">
        <w:rPr>
          <w:rFonts w:cs="Arial"/>
          <w:color w:val="000000"/>
          <w:sz w:val="16"/>
          <w:szCs w:val="16"/>
          <w:lang w:eastAsia="en-AU"/>
        </w:rPr>
        <w:t>A count of Applications that have been withdrawn prior to conciliation.</w:t>
      </w:r>
      <w:proofErr w:type="gramEnd"/>
      <w:r w:rsidRPr="00F37323">
        <w:rPr>
          <w:rFonts w:cs="Arial"/>
          <w:color w:val="000000"/>
          <w:sz w:val="16"/>
          <w:szCs w:val="16"/>
          <w:lang w:eastAsia="en-AU"/>
        </w:rPr>
        <w:t xml:space="preserve">  </w:t>
      </w:r>
    </w:p>
  </w:footnote>
  <w:footnote w:id="3">
    <w:p w:rsidR="00A93077" w:rsidRPr="00DF75D5" w:rsidRDefault="00A93077" w:rsidP="000B423F">
      <w:pPr>
        <w:pStyle w:val="FootnoteText"/>
        <w:ind w:right="0"/>
        <w:rPr>
          <w:lang w:val="en-AU"/>
        </w:rPr>
      </w:pPr>
      <w:r>
        <w:rPr>
          <w:rStyle w:val="FootnoteReference"/>
        </w:rPr>
        <w:footnoteRef/>
      </w:r>
      <w:r>
        <w:t xml:space="preserve"> </w:t>
      </w:r>
      <w:proofErr w:type="gramStart"/>
      <w:r w:rsidRPr="00F37323">
        <w:rPr>
          <w:rFonts w:cs="Arial"/>
          <w:color w:val="000000"/>
          <w:sz w:val="16"/>
          <w:szCs w:val="16"/>
          <w:lang w:eastAsia="en-AU"/>
        </w:rPr>
        <w:t>Does not include applications dismissed by the Commission prior to conciliation pursuant to sections 399A or 587.</w:t>
      </w:r>
      <w:proofErr w:type="gramEnd"/>
    </w:p>
  </w:footnote>
  <w:footnote w:id="4">
    <w:p w:rsidR="00A93077" w:rsidRPr="000B423F" w:rsidRDefault="00A93077" w:rsidP="000B423F">
      <w:pPr>
        <w:tabs>
          <w:tab w:val="left" w:pos="7655"/>
        </w:tabs>
        <w:spacing w:after="0"/>
        <w:ind w:right="0"/>
        <w:jc w:val="both"/>
        <w:rPr>
          <w:rFonts w:cs="Arial"/>
          <w:sz w:val="16"/>
          <w:szCs w:val="16"/>
          <w:lang w:val="en-AU"/>
        </w:rPr>
      </w:pPr>
      <w:r w:rsidRPr="000B423F">
        <w:rPr>
          <w:rStyle w:val="FootnoteReference"/>
          <w:rFonts w:cs="Arial"/>
          <w:szCs w:val="20"/>
        </w:rPr>
        <w:footnoteRef/>
      </w:r>
      <w:r w:rsidRPr="000B423F">
        <w:rPr>
          <w:rFonts w:cs="Arial"/>
          <w:sz w:val="16"/>
          <w:szCs w:val="16"/>
        </w:rPr>
        <w:t xml:space="preserve"> </w:t>
      </w:r>
      <w:proofErr w:type="gramStart"/>
      <w:r w:rsidRPr="000B423F">
        <w:rPr>
          <w:rFonts w:cs="Arial"/>
          <w:sz w:val="16"/>
          <w:szCs w:val="16"/>
        </w:rPr>
        <w:t>I</w:t>
      </w:r>
      <w:r w:rsidRPr="000B423F">
        <w:rPr>
          <w:rFonts w:cs="Arial"/>
          <w:color w:val="000000"/>
          <w:sz w:val="16"/>
          <w:szCs w:val="16"/>
          <w:lang w:eastAsia="en-AU"/>
        </w:rPr>
        <w:t>ncludes all settled and not settled conciliations before a conciliator.</w:t>
      </w:r>
      <w:proofErr w:type="gramEnd"/>
      <w:r w:rsidRPr="000B423F">
        <w:rPr>
          <w:rFonts w:cs="Arial"/>
          <w:color w:val="000000"/>
          <w:sz w:val="16"/>
          <w:szCs w:val="16"/>
          <w:lang w:eastAsia="en-AU"/>
        </w:rPr>
        <w:t xml:space="preserve"> Does not include applications withdraws after conciliation.  Conciliation refers to conciliations conducted by Fair Work Commission employees</w:t>
      </w:r>
    </w:p>
  </w:footnote>
  <w:footnote w:id="5">
    <w:p w:rsidR="00A93077" w:rsidRPr="00E454CC" w:rsidRDefault="00A93077">
      <w:pPr>
        <w:pStyle w:val="FootnoteText"/>
        <w:rPr>
          <w:lang w:val="en-AU"/>
        </w:rPr>
      </w:pPr>
      <w:r>
        <w:rPr>
          <w:rStyle w:val="FootnoteReference"/>
        </w:rPr>
        <w:footnoteRef/>
      </w:r>
      <w:r>
        <w:t xml:space="preserve"> </w:t>
      </w:r>
      <w:r w:rsidRPr="006213E3">
        <w:rPr>
          <w:sz w:val="16"/>
          <w:szCs w:val="16"/>
          <w:lang w:val="en-AU"/>
        </w:rPr>
        <w:t>May not include applications that withdraw after conciliation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Default="00A417B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892.7pt;height:1079.15pt;z-index:-251657728;mso-wrap-edited:f;mso-position-horizontal:center;mso-position-horizontal-relative:margin;mso-position-vertical:center;mso-position-vertical-relative:margin" wrapcoords="14430 5839 14339 5854 14103 6019 14103 6079 13068 6079 12633 6139 12596 6319 12596 6589 12742 6784 11616 6994 11562 7084 11435 7220 11471 7685 11834 7745 12978 7760 12869 7880 12778 8000 4828 8075 4773 8721 4773 9201 4846 9681 4900 9921 4973 10162 3721 10162 3648 10222 3793 10402 -18 10597 -18 10672 217 10867 598 11107 1107 11377 1542 11588 2250 11873 2940 12068 3085 12083 3085 12158 4900 12308 5717 12323 6643 13029 7405 13509 7823 13749 4356 13974 4138 14004 3376 14079 3339 14184 3503 14244 3503 14259 4174 14515 4937 14710 5082 14725 5082 14800 6498 14950 10346 14965 10346 14980 11489 15445 12143 15700 12724 15911 12832 15926 11163 16031 9801 16121 9293 16211 8440 16376 7659 16616 7078 16856 6752 17021 6752 17111 7078 17171 13994 17352 15301 17367 14720 17457 14139 17577 13250 17847 12996 17937 12705 18057 12143 18297 11689 18582 11344 18808 11344 18883 15483 19033 17225 19048 17007 19138 16717 19288 16644 19303 16281 19498 15501 19978 15101 20324 15809 20324 15882 20324 16390 20264 16590 20234 17552 20038 18423 19768 19058 19543 19639 19273 20057 19033 20402 18823 20783 18552 21164 18222 21128 18162 15628 18087 21600 17877 21600 17186 21581 17126 21436 16886 21291 16661 21273 16646 21146 16466 20910 16166 20837 16106 20692 15926 20456 15685 19911 15205 19585 14935 19276 14725 21600 14515 21600 14259 18477 14244 17933 13974 17570 13824 17388 13764 17352 13704 17062 13659 15501 13524 15265 13329 15192 13284 14974 13104 14847 13014 14484 12803 14448 12713 12215 12533 11816 12098 11562 11858 11253 11603 13195 11588 15755 11467 15791 11347 15973 11107 16844 10867 17044 10687 17062 10447 17044 10342 16844 10147 17497 9936 17552 9906 17715 9726 17715 9441 17697 9396 17443 9216 16644 9051 16190 8961 17443 8946 17915 8886 17969 8510 17878 8330 17806 8240 17788 8165 17552 8135 16009 8000 17280 7745 17461 7580 17497 7505 17497 7340 17461 7235 17370 7144 17243 7039 16390 6784 16426 6604 16372 6454 16263 6319 16227 6259 15882 6199 15047 6079 15047 6004 14847 5854 14738 5839 14430 5839">
          <v:imagedata r:id="rId1" o:title="Untitled-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77" w:rsidRDefault="00A93077"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A93077" w:rsidRDefault="00A93077" w:rsidP="00B74701">
    <w:pPr>
      <w:rPr>
        <w:sz w:val="16"/>
        <w:szCs w:val="16"/>
      </w:rPr>
    </w:pPr>
  </w:p>
  <w:p w:rsidR="00A93077" w:rsidRPr="0015037E" w:rsidRDefault="00E409B2"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93077"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o:colormru v:ext="edit" colors="#872434,#b2b2b2,black"/>
    </o:shapedefaults>
    <o:shapelayout v:ext="edit">
      <o:idmap v:ext="edit" data="2"/>
    </o:shapelayout>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519A"/>
    <w:rsid w:val="00006D83"/>
    <w:rsid w:val="0001247E"/>
    <w:rsid w:val="0001507F"/>
    <w:rsid w:val="000162F6"/>
    <w:rsid w:val="00020663"/>
    <w:rsid w:val="000218C2"/>
    <w:rsid w:val="000259A8"/>
    <w:rsid w:val="00032989"/>
    <w:rsid w:val="00033870"/>
    <w:rsid w:val="000449AE"/>
    <w:rsid w:val="0005053F"/>
    <w:rsid w:val="00052B56"/>
    <w:rsid w:val="0005401E"/>
    <w:rsid w:val="00060A22"/>
    <w:rsid w:val="00062688"/>
    <w:rsid w:val="00067DE7"/>
    <w:rsid w:val="000727FC"/>
    <w:rsid w:val="00076D6E"/>
    <w:rsid w:val="00083198"/>
    <w:rsid w:val="00083B13"/>
    <w:rsid w:val="00084CAA"/>
    <w:rsid w:val="000865AA"/>
    <w:rsid w:val="00093012"/>
    <w:rsid w:val="000A0D9A"/>
    <w:rsid w:val="000A1F9B"/>
    <w:rsid w:val="000B423F"/>
    <w:rsid w:val="000B42B5"/>
    <w:rsid w:val="000B6F31"/>
    <w:rsid w:val="000B765F"/>
    <w:rsid w:val="000C7566"/>
    <w:rsid w:val="000D01F9"/>
    <w:rsid w:val="000D14EE"/>
    <w:rsid w:val="000D2CB4"/>
    <w:rsid w:val="000D2F34"/>
    <w:rsid w:val="000D3335"/>
    <w:rsid w:val="000D52C2"/>
    <w:rsid w:val="000D5494"/>
    <w:rsid w:val="000E4C69"/>
    <w:rsid w:val="000F3CD2"/>
    <w:rsid w:val="0011296C"/>
    <w:rsid w:val="0011713B"/>
    <w:rsid w:val="0011739F"/>
    <w:rsid w:val="001174B9"/>
    <w:rsid w:val="0012387F"/>
    <w:rsid w:val="00125A16"/>
    <w:rsid w:val="0012738D"/>
    <w:rsid w:val="00136F9F"/>
    <w:rsid w:val="001401AC"/>
    <w:rsid w:val="00145557"/>
    <w:rsid w:val="001503A9"/>
    <w:rsid w:val="00150F0E"/>
    <w:rsid w:val="001517D1"/>
    <w:rsid w:val="0015507D"/>
    <w:rsid w:val="00162CE3"/>
    <w:rsid w:val="00171870"/>
    <w:rsid w:val="001719D0"/>
    <w:rsid w:val="00180DDB"/>
    <w:rsid w:val="00184B41"/>
    <w:rsid w:val="001974B5"/>
    <w:rsid w:val="001A062B"/>
    <w:rsid w:val="001A50A7"/>
    <w:rsid w:val="001D1141"/>
    <w:rsid w:val="001D27A3"/>
    <w:rsid w:val="001D312A"/>
    <w:rsid w:val="001D4B00"/>
    <w:rsid w:val="001E1EA6"/>
    <w:rsid w:val="001E33D4"/>
    <w:rsid w:val="001E3DB8"/>
    <w:rsid w:val="001E6963"/>
    <w:rsid w:val="001F0E07"/>
    <w:rsid w:val="001F2AE8"/>
    <w:rsid w:val="001F4CF7"/>
    <w:rsid w:val="001F5250"/>
    <w:rsid w:val="001F58BE"/>
    <w:rsid w:val="00207776"/>
    <w:rsid w:val="00211E1E"/>
    <w:rsid w:val="00216C09"/>
    <w:rsid w:val="00222775"/>
    <w:rsid w:val="00223ADD"/>
    <w:rsid w:val="00224D59"/>
    <w:rsid w:val="00225B06"/>
    <w:rsid w:val="00232BCD"/>
    <w:rsid w:val="00234D42"/>
    <w:rsid w:val="00235C12"/>
    <w:rsid w:val="002366C5"/>
    <w:rsid w:val="00243C8D"/>
    <w:rsid w:val="00246783"/>
    <w:rsid w:val="00247AD0"/>
    <w:rsid w:val="00256132"/>
    <w:rsid w:val="00261F5C"/>
    <w:rsid w:val="0026344D"/>
    <w:rsid w:val="00276856"/>
    <w:rsid w:val="00282CD6"/>
    <w:rsid w:val="00290B0D"/>
    <w:rsid w:val="00294032"/>
    <w:rsid w:val="00296376"/>
    <w:rsid w:val="00297666"/>
    <w:rsid w:val="00297F8B"/>
    <w:rsid w:val="002A2853"/>
    <w:rsid w:val="002A7A28"/>
    <w:rsid w:val="002B38B6"/>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12B11"/>
    <w:rsid w:val="00317307"/>
    <w:rsid w:val="00322C00"/>
    <w:rsid w:val="00330A04"/>
    <w:rsid w:val="0033358F"/>
    <w:rsid w:val="00341BAB"/>
    <w:rsid w:val="00352E35"/>
    <w:rsid w:val="003551AE"/>
    <w:rsid w:val="00370E19"/>
    <w:rsid w:val="00384EA2"/>
    <w:rsid w:val="00394767"/>
    <w:rsid w:val="0039749B"/>
    <w:rsid w:val="003A0894"/>
    <w:rsid w:val="003A30EE"/>
    <w:rsid w:val="003B0133"/>
    <w:rsid w:val="003B2555"/>
    <w:rsid w:val="003B3A22"/>
    <w:rsid w:val="003C2E0C"/>
    <w:rsid w:val="003D1652"/>
    <w:rsid w:val="003D7CD4"/>
    <w:rsid w:val="00401494"/>
    <w:rsid w:val="004017EB"/>
    <w:rsid w:val="0040454C"/>
    <w:rsid w:val="00404676"/>
    <w:rsid w:val="0040656E"/>
    <w:rsid w:val="00406C66"/>
    <w:rsid w:val="004147B4"/>
    <w:rsid w:val="004152DB"/>
    <w:rsid w:val="00420C8F"/>
    <w:rsid w:val="00425AEB"/>
    <w:rsid w:val="004273D2"/>
    <w:rsid w:val="0043048D"/>
    <w:rsid w:val="00440AC0"/>
    <w:rsid w:val="00442216"/>
    <w:rsid w:val="00442DD1"/>
    <w:rsid w:val="00443813"/>
    <w:rsid w:val="004441A6"/>
    <w:rsid w:val="0045154F"/>
    <w:rsid w:val="00457FC6"/>
    <w:rsid w:val="0046009F"/>
    <w:rsid w:val="00460282"/>
    <w:rsid w:val="00476B8D"/>
    <w:rsid w:val="00483025"/>
    <w:rsid w:val="00483887"/>
    <w:rsid w:val="0048453F"/>
    <w:rsid w:val="00492730"/>
    <w:rsid w:val="00495DFF"/>
    <w:rsid w:val="004A02C2"/>
    <w:rsid w:val="004A7492"/>
    <w:rsid w:val="004B0398"/>
    <w:rsid w:val="004B6573"/>
    <w:rsid w:val="004C2CE0"/>
    <w:rsid w:val="004C3B62"/>
    <w:rsid w:val="004C4444"/>
    <w:rsid w:val="004D0D16"/>
    <w:rsid w:val="004D23A6"/>
    <w:rsid w:val="004D4EA2"/>
    <w:rsid w:val="004F0B93"/>
    <w:rsid w:val="004F1575"/>
    <w:rsid w:val="004F2A0A"/>
    <w:rsid w:val="004F49DD"/>
    <w:rsid w:val="00502707"/>
    <w:rsid w:val="005032CE"/>
    <w:rsid w:val="00513CB9"/>
    <w:rsid w:val="00513F51"/>
    <w:rsid w:val="00520C3E"/>
    <w:rsid w:val="00520EB0"/>
    <w:rsid w:val="00523021"/>
    <w:rsid w:val="00526153"/>
    <w:rsid w:val="00526FAB"/>
    <w:rsid w:val="005340D3"/>
    <w:rsid w:val="0054200D"/>
    <w:rsid w:val="00542CD5"/>
    <w:rsid w:val="0055063E"/>
    <w:rsid w:val="00550684"/>
    <w:rsid w:val="005528BA"/>
    <w:rsid w:val="00555EB1"/>
    <w:rsid w:val="00562E8C"/>
    <w:rsid w:val="00566714"/>
    <w:rsid w:val="00571BAD"/>
    <w:rsid w:val="00583D98"/>
    <w:rsid w:val="0058482A"/>
    <w:rsid w:val="005A2679"/>
    <w:rsid w:val="005A3AE4"/>
    <w:rsid w:val="005A621B"/>
    <w:rsid w:val="005B171E"/>
    <w:rsid w:val="005B2F81"/>
    <w:rsid w:val="005B378B"/>
    <w:rsid w:val="005B43DC"/>
    <w:rsid w:val="005B7DC3"/>
    <w:rsid w:val="005C0FE0"/>
    <w:rsid w:val="005C5307"/>
    <w:rsid w:val="005C6C30"/>
    <w:rsid w:val="005C755B"/>
    <w:rsid w:val="005D3729"/>
    <w:rsid w:val="005D6987"/>
    <w:rsid w:val="005F45B3"/>
    <w:rsid w:val="00600DA2"/>
    <w:rsid w:val="00603DAF"/>
    <w:rsid w:val="00614CDB"/>
    <w:rsid w:val="00624E4B"/>
    <w:rsid w:val="006300E3"/>
    <w:rsid w:val="006418EE"/>
    <w:rsid w:val="00641B53"/>
    <w:rsid w:val="0064234F"/>
    <w:rsid w:val="00644501"/>
    <w:rsid w:val="006457D5"/>
    <w:rsid w:val="00646CA4"/>
    <w:rsid w:val="00655D1A"/>
    <w:rsid w:val="00666465"/>
    <w:rsid w:val="00666B30"/>
    <w:rsid w:val="006711CA"/>
    <w:rsid w:val="00671A95"/>
    <w:rsid w:val="0067709F"/>
    <w:rsid w:val="00677659"/>
    <w:rsid w:val="00680904"/>
    <w:rsid w:val="00682013"/>
    <w:rsid w:val="00683B07"/>
    <w:rsid w:val="00690DFE"/>
    <w:rsid w:val="006925CC"/>
    <w:rsid w:val="006A6BD9"/>
    <w:rsid w:val="006B0182"/>
    <w:rsid w:val="006B2B6C"/>
    <w:rsid w:val="006C5E0B"/>
    <w:rsid w:val="006E12E6"/>
    <w:rsid w:val="006E3D71"/>
    <w:rsid w:val="006E6C6C"/>
    <w:rsid w:val="006F3138"/>
    <w:rsid w:val="006F7E82"/>
    <w:rsid w:val="00701831"/>
    <w:rsid w:val="007110E9"/>
    <w:rsid w:val="00713C99"/>
    <w:rsid w:val="00722E6E"/>
    <w:rsid w:val="007276E1"/>
    <w:rsid w:val="00730605"/>
    <w:rsid w:val="00733EF5"/>
    <w:rsid w:val="00735D1E"/>
    <w:rsid w:val="007438EF"/>
    <w:rsid w:val="00754E4B"/>
    <w:rsid w:val="007630B1"/>
    <w:rsid w:val="007632C3"/>
    <w:rsid w:val="00771168"/>
    <w:rsid w:val="007735D2"/>
    <w:rsid w:val="00773FE6"/>
    <w:rsid w:val="00776A1E"/>
    <w:rsid w:val="00784EBC"/>
    <w:rsid w:val="00786B17"/>
    <w:rsid w:val="0079097E"/>
    <w:rsid w:val="007A4839"/>
    <w:rsid w:val="007B26A4"/>
    <w:rsid w:val="007B5E2A"/>
    <w:rsid w:val="007B7151"/>
    <w:rsid w:val="007C1C99"/>
    <w:rsid w:val="007C38FD"/>
    <w:rsid w:val="007C7A59"/>
    <w:rsid w:val="007D076D"/>
    <w:rsid w:val="007D179C"/>
    <w:rsid w:val="007E00FA"/>
    <w:rsid w:val="007E076F"/>
    <w:rsid w:val="007E4B3B"/>
    <w:rsid w:val="007E559F"/>
    <w:rsid w:val="008031A3"/>
    <w:rsid w:val="008054C3"/>
    <w:rsid w:val="00807BC8"/>
    <w:rsid w:val="0081082E"/>
    <w:rsid w:val="00811180"/>
    <w:rsid w:val="00820A22"/>
    <w:rsid w:val="00821B9C"/>
    <w:rsid w:val="00826926"/>
    <w:rsid w:val="008316AA"/>
    <w:rsid w:val="00837E6D"/>
    <w:rsid w:val="00841538"/>
    <w:rsid w:val="00841E57"/>
    <w:rsid w:val="00842CAB"/>
    <w:rsid w:val="008432AE"/>
    <w:rsid w:val="0085216D"/>
    <w:rsid w:val="00853539"/>
    <w:rsid w:val="008541F5"/>
    <w:rsid w:val="00857D01"/>
    <w:rsid w:val="00861A6D"/>
    <w:rsid w:val="0086281E"/>
    <w:rsid w:val="00863819"/>
    <w:rsid w:val="00871B9E"/>
    <w:rsid w:val="008764E5"/>
    <w:rsid w:val="008766C9"/>
    <w:rsid w:val="00877EBB"/>
    <w:rsid w:val="00877F9A"/>
    <w:rsid w:val="00881A72"/>
    <w:rsid w:val="00887B2B"/>
    <w:rsid w:val="00890F79"/>
    <w:rsid w:val="008A68F8"/>
    <w:rsid w:val="008B1438"/>
    <w:rsid w:val="008B34D6"/>
    <w:rsid w:val="008B60A8"/>
    <w:rsid w:val="008B745C"/>
    <w:rsid w:val="008C0871"/>
    <w:rsid w:val="008D23A0"/>
    <w:rsid w:val="008D32A3"/>
    <w:rsid w:val="008D428B"/>
    <w:rsid w:val="008D46D2"/>
    <w:rsid w:val="008E1150"/>
    <w:rsid w:val="008E2102"/>
    <w:rsid w:val="008E4548"/>
    <w:rsid w:val="008F0A2E"/>
    <w:rsid w:val="008F0A3D"/>
    <w:rsid w:val="008F26A5"/>
    <w:rsid w:val="008F3594"/>
    <w:rsid w:val="00915749"/>
    <w:rsid w:val="009164E6"/>
    <w:rsid w:val="009239A3"/>
    <w:rsid w:val="009239DE"/>
    <w:rsid w:val="009273B3"/>
    <w:rsid w:val="0093103B"/>
    <w:rsid w:val="00934FBD"/>
    <w:rsid w:val="00935B7D"/>
    <w:rsid w:val="00937490"/>
    <w:rsid w:val="00941476"/>
    <w:rsid w:val="009432D9"/>
    <w:rsid w:val="009507A1"/>
    <w:rsid w:val="00966371"/>
    <w:rsid w:val="00967AF3"/>
    <w:rsid w:val="009756D1"/>
    <w:rsid w:val="00976966"/>
    <w:rsid w:val="009A5C1A"/>
    <w:rsid w:val="009A7AB8"/>
    <w:rsid w:val="009B1DA2"/>
    <w:rsid w:val="009B467E"/>
    <w:rsid w:val="009B7121"/>
    <w:rsid w:val="009C097A"/>
    <w:rsid w:val="009C6241"/>
    <w:rsid w:val="009D068E"/>
    <w:rsid w:val="009D08F1"/>
    <w:rsid w:val="009D333F"/>
    <w:rsid w:val="009D6C67"/>
    <w:rsid w:val="009F194F"/>
    <w:rsid w:val="009F3C0F"/>
    <w:rsid w:val="009F4930"/>
    <w:rsid w:val="00A16BFF"/>
    <w:rsid w:val="00A263B7"/>
    <w:rsid w:val="00A30891"/>
    <w:rsid w:val="00A30D80"/>
    <w:rsid w:val="00A353AB"/>
    <w:rsid w:val="00A3644E"/>
    <w:rsid w:val="00A417BC"/>
    <w:rsid w:val="00A42C38"/>
    <w:rsid w:val="00A437AF"/>
    <w:rsid w:val="00A509FF"/>
    <w:rsid w:val="00A55F0D"/>
    <w:rsid w:val="00A56796"/>
    <w:rsid w:val="00A61AA2"/>
    <w:rsid w:val="00A7260F"/>
    <w:rsid w:val="00A77A7B"/>
    <w:rsid w:val="00A802AE"/>
    <w:rsid w:val="00A808E4"/>
    <w:rsid w:val="00A819E3"/>
    <w:rsid w:val="00A85A78"/>
    <w:rsid w:val="00A921C1"/>
    <w:rsid w:val="00A93077"/>
    <w:rsid w:val="00A9328F"/>
    <w:rsid w:val="00AA0D76"/>
    <w:rsid w:val="00AA1823"/>
    <w:rsid w:val="00AB0855"/>
    <w:rsid w:val="00AB4768"/>
    <w:rsid w:val="00AB62B1"/>
    <w:rsid w:val="00AB678E"/>
    <w:rsid w:val="00AC20A6"/>
    <w:rsid w:val="00AD6640"/>
    <w:rsid w:val="00AE48D3"/>
    <w:rsid w:val="00B14548"/>
    <w:rsid w:val="00B17CDE"/>
    <w:rsid w:val="00B3115A"/>
    <w:rsid w:val="00B32F0D"/>
    <w:rsid w:val="00B41277"/>
    <w:rsid w:val="00B5574F"/>
    <w:rsid w:val="00B55AFA"/>
    <w:rsid w:val="00B613D3"/>
    <w:rsid w:val="00B657F0"/>
    <w:rsid w:val="00B74701"/>
    <w:rsid w:val="00B76297"/>
    <w:rsid w:val="00B81C59"/>
    <w:rsid w:val="00B867E7"/>
    <w:rsid w:val="00B912A7"/>
    <w:rsid w:val="00B92CC8"/>
    <w:rsid w:val="00BB22D2"/>
    <w:rsid w:val="00BB337A"/>
    <w:rsid w:val="00BB3FBE"/>
    <w:rsid w:val="00BB4320"/>
    <w:rsid w:val="00BB54AC"/>
    <w:rsid w:val="00BC330E"/>
    <w:rsid w:val="00BC36D3"/>
    <w:rsid w:val="00BD1677"/>
    <w:rsid w:val="00BD4E0C"/>
    <w:rsid w:val="00BD64F3"/>
    <w:rsid w:val="00BD7ABF"/>
    <w:rsid w:val="00BE1F89"/>
    <w:rsid w:val="00BE1FB3"/>
    <w:rsid w:val="00BE2296"/>
    <w:rsid w:val="00BE2AAD"/>
    <w:rsid w:val="00BE4953"/>
    <w:rsid w:val="00BE5163"/>
    <w:rsid w:val="00BF777E"/>
    <w:rsid w:val="00C0096B"/>
    <w:rsid w:val="00C05A31"/>
    <w:rsid w:val="00C15177"/>
    <w:rsid w:val="00C174D4"/>
    <w:rsid w:val="00C21555"/>
    <w:rsid w:val="00C22361"/>
    <w:rsid w:val="00C26738"/>
    <w:rsid w:val="00C30D51"/>
    <w:rsid w:val="00C37FC9"/>
    <w:rsid w:val="00C40BF0"/>
    <w:rsid w:val="00C4112B"/>
    <w:rsid w:val="00C52F98"/>
    <w:rsid w:val="00C54743"/>
    <w:rsid w:val="00C6476D"/>
    <w:rsid w:val="00C709A9"/>
    <w:rsid w:val="00C725D8"/>
    <w:rsid w:val="00C770DF"/>
    <w:rsid w:val="00C85BD1"/>
    <w:rsid w:val="00C8697E"/>
    <w:rsid w:val="00C95FB3"/>
    <w:rsid w:val="00C96E85"/>
    <w:rsid w:val="00CA1106"/>
    <w:rsid w:val="00CA33BE"/>
    <w:rsid w:val="00CA5D58"/>
    <w:rsid w:val="00CA79DE"/>
    <w:rsid w:val="00CC32BF"/>
    <w:rsid w:val="00CC7618"/>
    <w:rsid w:val="00CE03F6"/>
    <w:rsid w:val="00CE209F"/>
    <w:rsid w:val="00CF2C1E"/>
    <w:rsid w:val="00CF2FC4"/>
    <w:rsid w:val="00CF481E"/>
    <w:rsid w:val="00D04001"/>
    <w:rsid w:val="00D11B54"/>
    <w:rsid w:val="00D11F74"/>
    <w:rsid w:val="00D168C7"/>
    <w:rsid w:val="00D2024A"/>
    <w:rsid w:val="00D2569F"/>
    <w:rsid w:val="00D332F8"/>
    <w:rsid w:val="00D37285"/>
    <w:rsid w:val="00D53AAB"/>
    <w:rsid w:val="00D56F21"/>
    <w:rsid w:val="00D756BD"/>
    <w:rsid w:val="00D8152D"/>
    <w:rsid w:val="00D82E98"/>
    <w:rsid w:val="00D83CD4"/>
    <w:rsid w:val="00D90E52"/>
    <w:rsid w:val="00DA22C2"/>
    <w:rsid w:val="00DA5F5D"/>
    <w:rsid w:val="00DB2E1B"/>
    <w:rsid w:val="00DB670F"/>
    <w:rsid w:val="00DC20EC"/>
    <w:rsid w:val="00DC2881"/>
    <w:rsid w:val="00DC43D7"/>
    <w:rsid w:val="00DC7BC8"/>
    <w:rsid w:val="00DD05C0"/>
    <w:rsid w:val="00DE77E0"/>
    <w:rsid w:val="00DF090F"/>
    <w:rsid w:val="00DF351B"/>
    <w:rsid w:val="00DF5016"/>
    <w:rsid w:val="00DF75D5"/>
    <w:rsid w:val="00E009E1"/>
    <w:rsid w:val="00E01E75"/>
    <w:rsid w:val="00E04C99"/>
    <w:rsid w:val="00E10891"/>
    <w:rsid w:val="00E16E60"/>
    <w:rsid w:val="00E24AB6"/>
    <w:rsid w:val="00E24BFC"/>
    <w:rsid w:val="00E27069"/>
    <w:rsid w:val="00E337C7"/>
    <w:rsid w:val="00E34F31"/>
    <w:rsid w:val="00E409B2"/>
    <w:rsid w:val="00E454CC"/>
    <w:rsid w:val="00E54ED2"/>
    <w:rsid w:val="00E64AEF"/>
    <w:rsid w:val="00E7273D"/>
    <w:rsid w:val="00E72E74"/>
    <w:rsid w:val="00E810C6"/>
    <w:rsid w:val="00E87D4F"/>
    <w:rsid w:val="00E952BF"/>
    <w:rsid w:val="00E96B2C"/>
    <w:rsid w:val="00EA2160"/>
    <w:rsid w:val="00EA2511"/>
    <w:rsid w:val="00EA5531"/>
    <w:rsid w:val="00EA7B38"/>
    <w:rsid w:val="00EB2D81"/>
    <w:rsid w:val="00EB643A"/>
    <w:rsid w:val="00EB66EC"/>
    <w:rsid w:val="00EB6D77"/>
    <w:rsid w:val="00EC4CB2"/>
    <w:rsid w:val="00EC6E7A"/>
    <w:rsid w:val="00ED3D44"/>
    <w:rsid w:val="00ED6840"/>
    <w:rsid w:val="00EE1834"/>
    <w:rsid w:val="00EE3B27"/>
    <w:rsid w:val="00EF3C1F"/>
    <w:rsid w:val="00EF570A"/>
    <w:rsid w:val="00F0736C"/>
    <w:rsid w:val="00F13FC9"/>
    <w:rsid w:val="00F20268"/>
    <w:rsid w:val="00F21DD0"/>
    <w:rsid w:val="00F27EAF"/>
    <w:rsid w:val="00F36947"/>
    <w:rsid w:val="00F37EEF"/>
    <w:rsid w:val="00F425CB"/>
    <w:rsid w:val="00F441FB"/>
    <w:rsid w:val="00F511B3"/>
    <w:rsid w:val="00F605F0"/>
    <w:rsid w:val="00F6239A"/>
    <w:rsid w:val="00F67FBA"/>
    <w:rsid w:val="00F71131"/>
    <w:rsid w:val="00F715A0"/>
    <w:rsid w:val="00F735C8"/>
    <w:rsid w:val="00F7361D"/>
    <w:rsid w:val="00F9119E"/>
    <w:rsid w:val="00F949E9"/>
    <w:rsid w:val="00FA1EA1"/>
    <w:rsid w:val="00FA4F3F"/>
    <w:rsid w:val="00FB5CA6"/>
    <w:rsid w:val="00FC2461"/>
    <w:rsid w:val="00FC24F6"/>
    <w:rsid w:val="00FD7186"/>
    <w:rsid w:val="00FE46F0"/>
    <w:rsid w:val="00FF367E"/>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Normal"/>
    <w:next w:val="Normal"/>
    <w:qFormat/>
    <w:rsid w:val="000D14EE"/>
    <w:pPr>
      <w:keepNext/>
      <w:spacing w:before="240" w:after="120"/>
      <w:outlineLvl w:val="0"/>
    </w:pPr>
    <w:rPr>
      <w:rFonts w:cs="Arial"/>
      <w:b/>
      <w:bCs/>
      <w:kern w:val="32"/>
      <w:sz w:val="28"/>
      <w:szCs w:val="32"/>
    </w:rPr>
  </w:style>
  <w:style w:type="paragraph" w:styleId="Heading2">
    <w:name w:val="heading 2"/>
    <w:basedOn w:val="Normal"/>
    <w:next w:val="Normal"/>
    <w:qFormat/>
    <w:rsid w:val="009C097A"/>
    <w:pPr>
      <w:spacing w:before="240" w:after="60"/>
      <w:outlineLvl w:val="1"/>
    </w:pPr>
    <w:rPr>
      <w:rFonts w:cs="Arial"/>
      <w:b/>
      <w:bCs/>
      <w:iCs/>
      <w:sz w:val="24"/>
      <w:szCs w:val="28"/>
    </w:rPr>
  </w:style>
  <w:style w:type="paragraph" w:styleId="Heading3">
    <w:name w:val="heading 3"/>
    <w:basedOn w:val="Normal"/>
    <w:next w:val="Normal"/>
    <w:qFormat/>
    <w:rsid w:val="000D14EE"/>
    <w:pPr>
      <w:keepNext/>
      <w:spacing w:before="240"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8972">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ouise.clarke@fw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9BF0-DC07-4F83-80D0-7F0E927F9AD3}">
  <ds:schemaRef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 ds:uri="http://schemas.microsoft.com/sharepoint/v3"/>
    <ds:schemaRef ds:uri="http://purl.org/dc/terms/"/>
    <ds:schemaRef ds:uri="1c541ee4-6bb6-4651-b50f-6126f84c8d24"/>
    <ds:schemaRef ds:uri="http://schemas.microsoft.com/office/2006/metadata/properties"/>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D35966F-F84D-43CD-8E7A-8FE15C78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485</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3277</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dc:creator>
  <cp:lastModifiedBy>todorovski</cp:lastModifiedBy>
  <cp:revision>5</cp:revision>
  <cp:lastPrinted>2018-04-06T03:52:00Z</cp:lastPrinted>
  <dcterms:created xsi:type="dcterms:W3CDTF">2018-03-21T04:49:00Z</dcterms:created>
  <dcterms:modified xsi:type="dcterms:W3CDTF">2018-04-06T03:55:00Z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