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bookmarkStart w:id="0" w:name="_GoBack"/>
      <w:bookmarkEnd w:id="0"/>
    </w:p>
    <w:p w14:paraId="003C1012" w14:textId="5538739B"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993D19">
        <w:rPr>
          <w:rFonts w:cs="Arial"/>
          <w:color w:val="000000" w:themeColor="text1"/>
        </w:rPr>
        <w:t>Jan-Mar 2020</w:t>
      </w:r>
    </w:p>
    <w:p w14:paraId="1B4138DD" w14:textId="260CA8BF" w:rsidR="00857D01" w:rsidRDefault="00993D19" w:rsidP="00857D01">
      <w:pPr>
        <w:pStyle w:val="Headline2"/>
        <w:tabs>
          <w:tab w:val="left" w:pos="5636"/>
        </w:tabs>
        <w:ind w:right="-286"/>
      </w:pPr>
      <w:r>
        <w:t>3r</w:t>
      </w:r>
      <w:r w:rsidR="00CF4B32">
        <w:t>d</w:t>
      </w:r>
      <w:r w:rsidR="007E076F">
        <w:t xml:space="preserve"> Quarter 201</w:t>
      </w:r>
      <w:r w:rsidR="007F2058">
        <w:t>9</w:t>
      </w:r>
      <w:r w:rsidR="007E076F">
        <w:t>–</w:t>
      </w:r>
      <w:r w:rsidR="007F2058">
        <w:t>20</w:t>
      </w:r>
    </w:p>
    <w:p w14:paraId="302F4437" w14:textId="57D9ED05" w:rsidR="00857D01" w:rsidRDefault="00857D01" w:rsidP="00857D01">
      <w:pPr>
        <w:ind w:right="-57"/>
        <w:rPr>
          <w:rFonts w:cs="Arial"/>
        </w:rPr>
      </w:pPr>
      <w:r w:rsidRPr="00BD7ABF">
        <w:rPr>
          <w:rFonts w:cs="Arial"/>
        </w:rPr>
        <w:t xml:space="preserve">This </w:t>
      </w:r>
      <w:r w:rsidR="00CF181D">
        <w:rPr>
          <w:rFonts w:cs="Arial"/>
        </w:rPr>
        <w:t>q</w:t>
      </w:r>
      <w:r w:rsidRPr="00BD7ABF">
        <w:rPr>
          <w:rFonts w:cs="Arial"/>
        </w:rPr>
        <w:t xml:space="preserve">uarterly report </w:t>
      </w:r>
      <w:r>
        <w:rPr>
          <w:rFonts w:cs="Arial"/>
        </w:rPr>
        <w:t xml:space="preserve">on unfair dismissals covers </w:t>
      </w:r>
      <w:r w:rsidR="0080678E">
        <w:rPr>
          <w:rFonts w:cs="Arial"/>
        </w:rPr>
        <w:t>the</w:t>
      </w:r>
      <w:r>
        <w:rPr>
          <w:rFonts w:cs="Arial"/>
        </w:rPr>
        <w:t xml:space="preserve"> period </w:t>
      </w:r>
      <w:r w:rsidR="00993D19" w:rsidRPr="00AA0EA8">
        <w:rPr>
          <w:rFonts w:cs="Arial"/>
        </w:rPr>
        <w:t>1</w:t>
      </w:r>
      <w:r w:rsidR="00993D19">
        <w:rPr>
          <w:rFonts w:cs="Arial"/>
        </w:rPr>
        <w:t xml:space="preserve"> January 2020</w:t>
      </w:r>
      <w:r w:rsidR="00993D19" w:rsidRPr="00AA0EA8">
        <w:rPr>
          <w:rFonts w:cs="Arial"/>
        </w:rPr>
        <w:t xml:space="preserve"> to </w:t>
      </w:r>
      <w:r w:rsidR="00993D19">
        <w:rPr>
          <w:rFonts w:cs="Arial"/>
        </w:rPr>
        <w:t>31</w:t>
      </w:r>
      <w:r w:rsidR="00993D19" w:rsidRPr="00AA0EA8">
        <w:rPr>
          <w:rFonts w:cs="Arial"/>
        </w:rPr>
        <w:t xml:space="preserve"> </w:t>
      </w:r>
      <w:r w:rsidR="00993D19">
        <w:rPr>
          <w:rFonts w:cs="Arial"/>
        </w:rPr>
        <w:t>March 2020</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2763F9B4"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993D19">
              <w:rPr>
                <w:rFonts w:cs="Arial"/>
                <w:color w:val="000000"/>
                <w:szCs w:val="20"/>
                <w:lang w:val="en-AU" w:eastAsia="en-AU"/>
              </w:rPr>
              <w:t>906</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18FE91A9" w:rsidR="002366C5" w:rsidRDefault="00993D19"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748</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039BACC9"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993D19">
              <w:rPr>
                <w:rFonts w:cs="Arial"/>
                <w:color w:val="000000"/>
                <w:szCs w:val="20"/>
                <w:lang w:val="en-AU" w:eastAsia="en-AU"/>
              </w:rPr>
              <w:t>287</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160D0FA0" w:rsidR="002366C5" w:rsidRDefault="006D629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w:t>
            </w:r>
            <w:r w:rsidR="00993D19">
              <w:rPr>
                <w:rFonts w:cs="Arial"/>
                <w:color w:val="000000"/>
                <w:szCs w:val="20"/>
                <w:lang w:val="en-AU" w:eastAsia="en-AU"/>
              </w:rPr>
              <w:t>54</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5D567E7B" w:rsidR="002366C5" w:rsidRDefault="00993D19"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604</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75C51B12" w:rsidR="002366C5" w:rsidRDefault="00993D19"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0459A003" w:rsidR="002366C5" w:rsidRDefault="00993D19"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167</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2381F8F8" w:rsidR="00062688" w:rsidRDefault="00B02DDB" w:rsidP="00062688">
                  <w:pPr>
                    <w:spacing w:after="0" w:line="240" w:lineRule="auto"/>
                    <w:ind w:right="284"/>
                    <w:jc w:val="right"/>
                  </w:pPr>
                  <w:r>
                    <w:rPr>
                      <w:rFonts w:eastAsia="Arial"/>
                      <w:b/>
                      <w:color w:val="000000"/>
                    </w:rPr>
                    <w:t>1</w:t>
                  </w:r>
                  <w:r w:rsidR="00993D19">
                    <w:rPr>
                      <w:rFonts w:eastAsia="Arial"/>
                      <w:b/>
                      <w:color w:val="000000"/>
                    </w:rPr>
                    <w:t>45</w:t>
                  </w:r>
                </w:p>
              </w:tc>
              <w:tc>
                <w:tcPr>
                  <w:tcW w:w="992" w:type="dxa"/>
                  <w:vAlign w:val="center"/>
                </w:tcPr>
                <w:p w14:paraId="21DDFA9F" w14:textId="0B902E79" w:rsidR="00062688" w:rsidRDefault="00993D19" w:rsidP="00E7273D">
                  <w:pPr>
                    <w:spacing w:after="0" w:line="240" w:lineRule="auto"/>
                    <w:ind w:right="284"/>
                    <w:jc w:val="right"/>
                  </w:pPr>
                  <w:r>
                    <w:rPr>
                      <w:rFonts w:eastAsia="Arial"/>
                      <w:b/>
                      <w:color w:val="000000"/>
                    </w:rPr>
                    <w:t>86.8</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58CC91AE" w:rsidR="00062688" w:rsidRDefault="006D6296" w:rsidP="00062688">
                  <w:pPr>
                    <w:spacing w:after="0" w:line="240" w:lineRule="auto"/>
                    <w:ind w:right="284"/>
                    <w:jc w:val="right"/>
                  </w:pPr>
                  <w:r>
                    <w:t>3</w:t>
                  </w:r>
                  <w:r w:rsidR="00993D19">
                    <w:t>7</w:t>
                  </w:r>
                </w:p>
              </w:tc>
              <w:tc>
                <w:tcPr>
                  <w:tcW w:w="992" w:type="dxa"/>
                  <w:vAlign w:val="center"/>
                </w:tcPr>
                <w:p w14:paraId="0580BA2A" w14:textId="63EEFBCA" w:rsidR="00062688" w:rsidRDefault="00993D19" w:rsidP="00062688">
                  <w:pPr>
                    <w:spacing w:after="0" w:line="240" w:lineRule="auto"/>
                    <w:ind w:right="284"/>
                    <w:jc w:val="right"/>
                  </w:pPr>
                  <w:r>
                    <w:rPr>
                      <w:rFonts w:eastAsia="Arial"/>
                      <w:color w:val="000000"/>
                    </w:rPr>
                    <w:t>22.2</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6D39982D" w:rsidR="00062688" w:rsidRDefault="00993D19" w:rsidP="00062688">
                  <w:pPr>
                    <w:spacing w:after="0" w:line="240" w:lineRule="auto"/>
                    <w:ind w:right="284"/>
                    <w:jc w:val="right"/>
                  </w:pPr>
                  <w:r>
                    <w:rPr>
                      <w:rFonts w:eastAsia="Arial"/>
                      <w:color w:val="000000"/>
                    </w:rPr>
                    <w:t>17</w:t>
                  </w:r>
                </w:p>
              </w:tc>
              <w:tc>
                <w:tcPr>
                  <w:tcW w:w="992" w:type="dxa"/>
                  <w:vAlign w:val="center"/>
                </w:tcPr>
                <w:p w14:paraId="41BB1B08" w14:textId="27CA57B3" w:rsidR="00062688" w:rsidRDefault="00993D19" w:rsidP="00062688">
                  <w:pPr>
                    <w:spacing w:after="0" w:line="240" w:lineRule="auto"/>
                    <w:ind w:right="284"/>
                    <w:jc w:val="right"/>
                  </w:pPr>
                  <w:r>
                    <w:rPr>
                      <w:rFonts w:eastAsia="Arial"/>
                      <w:color w:val="000000"/>
                    </w:rPr>
                    <w:t>10.2</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7BBE78E4" w:rsidR="00062688" w:rsidRDefault="00993D19" w:rsidP="00062688">
                  <w:pPr>
                    <w:spacing w:after="0" w:line="240" w:lineRule="auto"/>
                    <w:ind w:right="284"/>
                    <w:jc w:val="right"/>
                  </w:pPr>
                  <w:r>
                    <w:rPr>
                      <w:rFonts w:eastAsia="Arial"/>
                      <w:color w:val="000000"/>
                    </w:rPr>
                    <w:t>91</w:t>
                  </w:r>
                </w:p>
              </w:tc>
              <w:tc>
                <w:tcPr>
                  <w:tcW w:w="992" w:type="dxa"/>
                  <w:vAlign w:val="center"/>
                </w:tcPr>
                <w:p w14:paraId="278D3E5F" w14:textId="2C20D53F" w:rsidR="00062688" w:rsidRDefault="00993D19" w:rsidP="00062688">
                  <w:pPr>
                    <w:spacing w:after="0" w:line="240" w:lineRule="auto"/>
                    <w:ind w:right="284"/>
                    <w:jc w:val="right"/>
                  </w:pPr>
                  <w:r>
                    <w:t>54.5</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419A0D99" w:rsidR="00062688" w:rsidRPr="006D6296" w:rsidRDefault="00993D19" w:rsidP="00062688">
                  <w:pPr>
                    <w:spacing w:after="0" w:line="240" w:lineRule="auto"/>
                    <w:ind w:right="284"/>
                    <w:jc w:val="right"/>
                    <w:rPr>
                      <w:b/>
                      <w:bCs/>
                    </w:rPr>
                  </w:pPr>
                  <w:r>
                    <w:rPr>
                      <w:b/>
                      <w:bCs/>
                    </w:rPr>
                    <w:t>22</w:t>
                  </w:r>
                </w:p>
              </w:tc>
              <w:tc>
                <w:tcPr>
                  <w:tcW w:w="992" w:type="dxa"/>
                  <w:vAlign w:val="center"/>
                </w:tcPr>
                <w:p w14:paraId="51453F12" w14:textId="02B956F1" w:rsidR="00062688" w:rsidRDefault="00993D19" w:rsidP="00062688">
                  <w:pPr>
                    <w:spacing w:after="0" w:line="240" w:lineRule="auto"/>
                    <w:ind w:right="284"/>
                    <w:jc w:val="right"/>
                  </w:pPr>
                  <w:r>
                    <w:rPr>
                      <w:rFonts w:eastAsia="Arial"/>
                      <w:b/>
                      <w:color w:val="000000"/>
                    </w:rPr>
                    <w:t>13.2</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5F3F4A9A" w:rsidR="00062688" w:rsidRDefault="00993D19" w:rsidP="00062688">
                  <w:pPr>
                    <w:spacing w:after="0" w:line="240" w:lineRule="auto"/>
                    <w:ind w:right="284"/>
                    <w:jc w:val="right"/>
                  </w:pPr>
                  <w:r>
                    <w:rPr>
                      <w:rFonts w:eastAsia="Arial"/>
                      <w:color w:val="000000"/>
                    </w:rPr>
                    <w:t>17</w:t>
                  </w:r>
                </w:p>
              </w:tc>
              <w:tc>
                <w:tcPr>
                  <w:tcW w:w="992" w:type="dxa"/>
                  <w:vAlign w:val="center"/>
                </w:tcPr>
                <w:p w14:paraId="40405F2D" w14:textId="544D3E9C" w:rsidR="00062688" w:rsidRDefault="00B51523" w:rsidP="00062688">
                  <w:pPr>
                    <w:spacing w:after="0" w:line="240" w:lineRule="auto"/>
                    <w:ind w:right="284"/>
                    <w:jc w:val="right"/>
                  </w:pPr>
                  <w:r>
                    <w:rPr>
                      <w:rFonts w:eastAsia="Arial"/>
                      <w:color w:val="000000"/>
                    </w:rPr>
                    <w:t>10.2</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0903324B" w:rsidR="00062688" w:rsidRDefault="00993D19" w:rsidP="00062688">
                  <w:pPr>
                    <w:spacing w:after="0" w:line="240" w:lineRule="auto"/>
                    <w:ind w:right="284"/>
                    <w:jc w:val="right"/>
                  </w:pPr>
                  <w:r>
                    <w:rPr>
                      <w:rFonts w:eastAsia="Arial"/>
                      <w:color w:val="000000"/>
                    </w:rPr>
                    <w:t>1</w:t>
                  </w:r>
                </w:p>
              </w:tc>
              <w:tc>
                <w:tcPr>
                  <w:tcW w:w="992" w:type="dxa"/>
                  <w:vAlign w:val="center"/>
                </w:tcPr>
                <w:p w14:paraId="06228554" w14:textId="50CF3979" w:rsidR="00062688" w:rsidRDefault="00B51523" w:rsidP="00B02DDB">
                  <w:pPr>
                    <w:spacing w:after="0" w:line="240" w:lineRule="auto"/>
                    <w:ind w:right="284"/>
                    <w:jc w:val="right"/>
                  </w:pPr>
                  <w:r>
                    <w:rPr>
                      <w:rFonts w:eastAsia="Arial"/>
                      <w:color w:val="000000"/>
                    </w:rPr>
                    <w:t>0.6</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3BC2C459" w:rsidR="00062688" w:rsidRDefault="00993D19" w:rsidP="00062688">
                  <w:pPr>
                    <w:spacing w:after="0" w:line="240" w:lineRule="auto"/>
                    <w:ind w:right="284"/>
                    <w:jc w:val="right"/>
                  </w:pPr>
                  <w:r>
                    <w:rPr>
                      <w:rFonts w:eastAsia="Arial"/>
                      <w:color w:val="000000"/>
                    </w:rPr>
                    <w:t>0</w:t>
                  </w:r>
                </w:p>
              </w:tc>
              <w:tc>
                <w:tcPr>
                  <w:tcW w:w="992" w:type="dxa"/>
                  <w:vAlign w:val="center"/>
                </w:tcPr>
                <w:p w14:paraId="06D99A45" w14:textId="77344EA6" w:rsidR="00062688" w:rsidRDefault="00B51523" w:rsidP="00062688">
                  <w:pPr>
                    <w:spacing w:after="0" w:line="240" w:lineRule="auto"/>
                    <w:ind w:right="284"/>
                    <w:jc w:val="right"/>
                  </w:pPr>
                  <w:r>
                    <w:rPr>
                      <w:rFonts w:eastAsia="Arial"/>
                      <w:color w:val="000000"/>
                    </w:rPr>
                    <w:t>0.0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48654885" w:rsidR="00062688" w:rsidRDefault="00993D19" w:rsidP="00062688">
                  <w:pPr>
                    <w:spacing w:after="0" w:line="240" w:lineRule="auto"/>
                    <w:ind w:right="284"/>
                    <w:jc w:val="right"/>
                  </w:pPr>
                  <w:r>
                    <w:rPr>
                      <w:rFonts w:eastAsia="Arial"/>
                      <w:color w:val="000000"/>
                    </w:rPr>
                    <w:t>1</w:t>
                  </w:r>
                </w:p>
              </w:tc>
              <w:tc>
                <w:tcPr>
                  <w:tcW w:w="992" w:type="dxa"/>
                  <w:vAlign w:val="center"/>
                </w:tcPr>
                <w:p w14:paraId="6B19F151" w14:textId="10D72F11" w:rsidR="00062688" w:rsidRDefault="00B51523" w:rsidP="00062688">
                  <w:pPr>
                    <w:spacing w:after="0" w:line="240" w:lineRule="auto"/>
                    <w:ind w:right="284"/>
                    <w:jc w:val="right"/>
                  </w:pPr>
                  <w:r>
                    <w:rPr>
                      <w:rFonts w:eastAsia="Arial"/>
                      <w:color w:val="000000"/>
                    </w:rPr>
                    <w:t>0.6</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0E5A888C" w:rsidR="00062688" w:rsidRDefault="006D6296" w:rsidP="00062688">
                  <w:pPr>
                    <w:spacing w:after="0" w:line="240" w:lineRule="auto"/>
                    <w:ind w:right="284"/>
                    <w:jc w:val="right"/>
                  </w:pPr>
                  <w:r>
                    <w:rPr>
                      <w:rFonts w:eastAsia="Arial"/>
                      <w:color w:val="000000"/>
                    </w:rPr>
                    <w:t>3</w:t>
                  </w:r>
                </w:p>
              </w:tc>
              <w:tc>
                <w:tcPr>
                  <w:tcW w:w="992" w:type="dxa"/>
                  <w:vAlign w:val="center"/>
                </w:tcPr>
                <w:p w14:paraId="4B2D3002" w14:textId="14D183DD" w:rsidR="00062688" w:rsidRDefault="00B51523" w:rsidP="00062688">
                  <w:pPr>
                    <w:spacing w:after="0" w:line="240" w:lineRule="auto"/>
                    <w:ind w:right="284"/>
                    <w:jc w:val="right"/>
                  </w:pPr>
                  <w:r>
                    <w:t>1.8</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0085A8F4" w:rsidR="00062688" w:rsidRPr="006D6296" w:rsidRDefault="00993D19" w:rsidP="00062688">
                  <w:pPr>
                    <w:spacing w:after="0" w:line="240" w:lineRule="auto"/>
                    <w:ind w:right="284"/>
                    <w:jc w:val="right"/>
                    <w:rPr>
                      <w:b/>
                      <w:bCs/>
                    </w:rPr>
                  </w:pPr>
                  <w:r>
                    <w:rPr>
                      <w:b/>
                      <w:bCs/>
                    </w:rPr>
                    <w:t>167</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57B4A6BA" w:rsidR="00062688" w:rsidRDefault="00B51523" w:rsidP="00062688">
                  <w:pPr>
                    <w:spacing w:after="0" w:line="240" w:lineRule="auto"/>
                    <w:ind w:right="284"/>
                    <w:jc w:val="right"/>
                  </w:pPr>
                  <w:r>
                    <w:rPr>
                      <w:rFonts w:eastAsia="Arial"/>
                      <w:b/>
                      <w:color w:val="000000"/>
                    </w:rPr>
                    <w:t>17</w:t>
                  </w:r>
                </w:p>
              </w:tc>
              <w:tc>
                <w:tcPr>
                  <w:tcW w:w="992" w:type="dxa"/>
                  <w:vAlign w:val="center"/>
                </w:tcPr>
                <w:p w14:paraId="5EC9FB22" w14:textId="148B7EB1" w:rsidR="00062688" w:rsidRDefault="00B51523" w:rsidP="00D63C1B">
                  <w:pPr>
                    <w:spacing w:after="0" w:line="240" w:lineRule="auto"/>
                    <w:ind w:right="284"/>
                    <w:jc w:val="right"/>
                  </w:pPr>
                  <w:r>
                    <w:rPr>
                      <w:rFonts w:eastAsia="Arial"/>
                      <w:b/>
                      <w:color w:val="000000"/>
                    </w:rPr>
                    <w:t>43.6</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7643A08E" w:rsidR="00062688" w:rsidRPr="005C5307" w:rsidRDefault="00B51523" w:rsidP="00062688">
                  <w:pPr>
                    <w:spacing w:after="0" w:line="240" w:lineRule="auto"/>
                    <w:ind w:right="284"/>
                    <w:jc w:val="right"/>
                    <w:rPr>
                      <w:b/>
                    </w:rPr>
                  </w:pPr>
                  <w:r>
                    <w:rPr>
                      <w:b/>
                    </w:rPr>
                    <w:t>22</w:t>
                  </w:r>
                </w:p>
              </w:tc>
              <w:tc>
                <w:tcPr>
                  <w:tcW w:w="992" w:type="dxa"/>
                  <w:vAlign w:val="center"/>
                </w:tcPr>
                <w:p w14:paraId="6CCECA1C" w14:textId="322BD78D" w:rsidR="00062688" w:rsidRDefault="00B51523" w:rsidP="00D63C1B">
                  <w:pPr>
                    <w:spacing w:after="0" w:line="240" w:lineRule="auto"/>
                    <w:ind w:right="284"/>
                    <w:jc w:val="right"/>
                  </w:pPr>
                  <w:r>
                    <w:rPr>
                      <w:rFonts w:eastAsia="Arial"/>
                      <w:b/>
                      <w:color w:val="000000"/>
                    </w:rPr>
                    <w:t>56.4</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419B5BCD" w:rsidR="00062688" w:rsidRDefault="00B51523" w:rsidP="00062688">
                  <w:pPr>
                    <w:spacing w:after="0" w:line="240" w:lineRule="auto"/>
                    <w:ind w:right="284"/>
                    <w:jc w:val="right"/>
                  </w:pPr>
                  <w:r>
                    <w:rPr>
                      <w:rFonts w:eastAsia="Arial"/>
                      <w:color w:val="000000"/>
                    </w:rPr>
                    <w:t>17</w:t>
                  </w:r>
                </w:p>
              </w:tc>
              <w:tc>
                <w:tcPr>
                  <w:tcW w:w="992" w:type="dxa"/>
                  <w:vAlign w:val="center"/>
                </w:tcPr>
                <w:p w14:paraId="73EA5D80" w14:textId="773A5A07" w:rsidR="00062688" w:rsidRDefault="006D6296" w:rsidP="00D63C1B">
                  <w:pPr>
                    <w:spacing w:after="0" w:line="240" w:lineRule="auto"/>
                    <w:ind w:right="284"/>
                    <w:jc w:val="right"/>
                  </w:pPr>
                  <w:r>
                    <w:rPr>
                      <w:rFonts w:eastAsia="Arial"/>
                      <w:color w:val="000000"/>
                    </w:rPr>
                    <w:t>4</w:t>
                  </w:r>
                  <w:r w:rsidR="00B51523">
                    <w:rPr>
                      <w:rFonts w:eastAsia="Arial"/>
                      <w:color w:val="000000"/>
                    </w:rPr>
                    <w:t>3.6</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0CC2203A" w:rsidR="00062688" w:rsidRDefault="00B51523" w:rsidP="00062688">
                  <w:pPr>
                    <w:spacing w:after="0" w:line="240" w:lineRule="auto"/>
                    <w:ind w:right="284"/>
                    <w:jc w:val="right"/>
                  </w:pPr>
                  <w:r>
                    <w:rPr>
                      <w:rFonts w:eastAsia="Arial"/>
                      <w:color w:val="000000"/>
                    </w:rPr>
                    <w:t>1</w:t>
                  </w:r>
                </w:p>
              </w:tc>
              <w:tc>
                <w:tcPr>
                  <w:tcW w:w="992" w:type="dxa"/>
                  <w:vAlign w:val="center"/>
                </w:tcPr>
                <w:p w14:paraId="070C3E6A" w14:textId="3BA3CA4F" w:rsidR="00062688" w:rsidRDefault="00B51523" w:rsidP="00062688">
                  <w:pPr>
                    <w:spacing w:after="0" w:line="240" w:lineRule="auto"/>
                    <w:ind w:right="284"/>
                    <w:jc w:val="right"/>
                  </w:pPr>
                  <w:r>
                    <w:rPr>
                      <w:rFonts w:eastAsia="Arial"/>
                      <w:color w:val="000000"/>
                    </w:rPr>
                    <w:t>2.6</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573FD296" w:rsidR="00062688" w:rsidRDefault="00B51523" w:rsidP="00062688">
                  <w:pPr>
                    <w:spacing w:after="0" w:line="240" w:lineRule="auto"/>
                    <w:ind w:right="284"/>
                    <w:jc w:val="right"/>
                  </w:pPr>
                  <w:r>
                    <w:rPr>
                      <w:rFonts w:eastAsia="Arial"/>
                      <w:color w:val="000000"/>
                    </w:rPr>
                    <w:t>0</w:t>
                  </w:r>
                </w:p>
              </w:tc>
              <w:tc>
                <w:tcPr>
                  <w:tcW w:w="992" w:type="dxa"/>
                  <w:vAlign w:val="center"/>
                </w:tcPr>
                <w:p w14:paraId="6AA5FD62" w14:textId="2098D6DA" w:rsidR="00062688" w:rsidRDefault="00B51523" w:rsidP="00D63C1B">
                  <w:pPr>
                    <w:spacing w:after="0" w:line="240" w:lineRule="auto"/>
                    <w:ind w:right="284"/>
                    <w:jc w:val="right"/>
                  </w:pPr>
                  <w:r>
                    <w:rPr>
                      <w:rFonts w:eastAsia="Arial"/>
                      <w:color w:val="000000"/>
                    </w:rPr>
                    <w:t>0.0</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02354889" w:rsidR="00062688" w:rsidRDefault="00B51523" w:rsidP="00062688">
                  <w:pPr>
                    <w:spacing w:after="0" w:line="240" w:lineRule="auto"/>
                    <w:ind w:right="284"/>
                    <w:jc w:val="right"/>
                  </w:pPr>
                  <w:r>
                    <w:rPr>
                      <w:rFonts w:eastAsia="Arial"/>
                      <w:color w:val="000000"/>
                    </w:rPr>
                    <w:t>1</w:t>
                  </w:r>
                </w:p>
              </w:tc>
              <w:tc>
                <w:tcPr>
                  <w:tcW w:w="992" w:type="dxa"/>
                  <w:vAlign w:val="center"/>
                </w:tcPr>
                <w:p w14:paraId="678476EC" w14:textId="44A263D4" w:rsidR="00062688" w:rsidRDefault="00B51523" w:rsidP="00062688">
                  <w:pPr>
                    <w:spacing w:after="0" w:line="240" w:lineRule="auto"/>
                    <w:ind w:right="284"/>
                    <w:jc w:val="right"/>
                  </w:pPr>
                  <w:r>
                    <w:rPr>
                      <w:rFonts w:eastAsia="Arial"/>
                      <w:color w:val="000000"/>
                    </w:rPr>
                    <w:t>2.6</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30F36206" w:rsidR="00062688" w:rsidRDefault="00B51523" w:rsidP="00062688">
                  <w:pPr>
                    <w:spacing w:after="0" w:line="240" w:lineRule="auto"/>
                    <w:ind w:right="284"/>
                    <w:jc w:val="right"/>
                  </w:pPr>
                  <w:r>
                    <w:rPr>
                      <w:rFonts w:eastAsia="Arial"/>
                      <w:color w:val="000000"/>
                    </w:rPr>
                    <w:t>3</w:t>
                  </w:r>
                </w:p>
              </w:tc>
              <w:tc>
                <w:tcPr>
                  <w:tcW w:w="992" w:type="dxa"/>
                  <w:vAlign w:val="center"/>
                </w:tcPr>
                <w:p w14:paraId="65F370E8" w14:textId="6BCBC070" w:rsidR="00062688" w:rsidRDefault="00B51523" w:rsidP="00062688">
                  <w:pPr>
                    <w:spacing w:after="0" w:line="240" w:lineRule="auto"/>
                    <w:ind w:right="284"/>
                    <w:jc w:val="right"/>
                  </w:pPr>
                  <w:r>
                    <w:rPr>
                      <w:rFonts w:eastAsia="Arial"/>
                      <w:color w:val="000000"/>
                    </w:rPr>
                    <w:t>7.6</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7D5FD98C" w:rsidR="00062688" w:rsidRPr="00235C12" w:rsidRDefault="00B51523" w:rsidP="00062688">
                  <w:pPr>
                    <w:spacing w:after="0" w:line="240" w:lineRule="auto"/>
                    <w:ind w:right="284"/>
                    <w:jc w:val="right"/>
                    <w:rPr>
                      <w:b/>
                    </w:rPr>
                  </w:pPr>
                  <w:r>
                    <w:rPr>
                      <w:b/>
                    </w:rPr>
                    <w:t>39</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0C0BCFFC"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B4617">
              <w:rPr>
                <w:rFonts w:cs="Arial"/>
                <w:color w:val="000000"/>
                <w:szCs w:val="20"/>
                <w:lang w:val="en-AU" w:eastAsia="en-AU"/>
              </w:rPr>
              <w:t>9</w:t>
            </w:r>
            <w:r w:rsidR="00B51523">
              <w:rPr>
                <w:rFonts w:cs="Arial"/>
                <w:color w:val="000000"/>
                <w:szCs w:val="20"/>
                <w:lang w:val="en-AU" w:eastAsia="en-AU"/>
              </w:rPr>
              <w:t>41</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1871837D" w:rsidR="002366C5" w:rsidRDefault="00B51523"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3035</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67115BFB"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B51523">
              <w:rPr>
                <w:rFonts w:cs="Arial"/>
                <w:color w:val="000000"/>
                <w:szCs w:val="20"/>
                <w:lang w:val="en-AU" w:eastAsia="en-AU"/>
              </w:rPr>
              <w:t>650</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5BE1B3E4"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4702D7">
              <w:rPr>
                <w:rFonts w:cs="Arial"/>
                <w:color w:val="000000"/>
                <w:szCs w:val="20"/>
                <w:lang w:val="en-AU" w:eastAsia="en-AU"/>
              </w:rPr>
              <w:t>8</w:t>
            </w:r>
            <w:r w:rsidR="00B51523">
              <w:rPr>
                <w:rFonts w:cs="Arial"/>
                <w:color w:val="000000"/>
                <w:szCs w:val="20"/>
                <w:lang w:val="en-AU" w:eastAsia="en-AU"/>
              </w:rPr>
              <w:t>79</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374345A5" w:rsidR="002366C5" w:rsidRDefault="00B51523"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57</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14DE18E6" w:rsidR="002366C5" w:rsidRDefault="00B51523"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19055C3C"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r w:rsidR="00B51523">
              <w:rPr>
                <w:rFonts w:cs="Arial"/>
                <w:color w:val="000000"/>
                <w:szCs w:val="20"/>
                <w:lang w:val="en-AU" w:eastAsia="en-AU"/>
              </w:rPr>
              <w:t>97</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69B8C895"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B51523">
              <w:rPr>
                <w:rFonts w:cs="Arial"/>
                <w:color w:val="000000"/>
                <w:szCs w:val="20"/>
                <w:lang w:val="en-AU" w:eastAsia="en-AU"/>
              </w:rPr>
              <w:t>1</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55F9D60A"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w:t>
            </w:r>
            <w:r w:rsidR="00B51523">
              <w:rPr>
                <w:rFonts w:cs="Arial"/>
                <w:color w:val="000000"/>
                <w:szCs w:val="20"/>
                <w:lang w:val="en-AU" w:eastAsia="en-AU"/>
              </w:rPr>
              <w:t>8</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5C96A266" w14:textId="77777777" w:rsidR="00B319B0" w:rsidRDefault="00B319B0" w:rsidP="00B319B0">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w:t>
      </w:r>
      <w:proofErr w:type="spellStart"/>
      <w:r>
        <w:rPr>
          <w:rFonts w:cs="Arial"/>
          <w:sz w:val="18"/>
          <w:szCs w:val="18"/>
        </w:rPr>
        <w:t>Siavash</w:t>
      </w:r>
      <w:proofErr w:type="spellEnd"/>
      <w:r>
        <w:rPr>
          <w:rFonts w:cs="Arial"/>
          <w:sz w:val="18"/>
          <w:szCs w:val="18"/>
        </w:rPr>
        <w:t xml:space="preserve"> </w:t>
      </w:r>
      <w:proofErr w:type="spellStart"/>
      <w:r>
        <w:rPr>
          <w:rFonts w:cs="Arial"/>
          <w:sz w:val="18"/>
          <w:szCs w:val="18"/>
        </w:rPr>
        <w:t>Motearefi</w:t>
      </w:r>
      <w:proofErr w:type="spellEnd"/>
      <w:r>
        <w:rPr>
          <w:rFonts w:cs="Arial"/>
          <w:sz w:val="18"/>
          <w:szCs w:val="18"/>
        </w:rPr>
        <w:t xml:space="preserve">, Technical Lead, Tribunal Data and Reporting by phone 0402 410 662 or by email </w:t>
      </w:r>
      <w:hyperlink r:id="rId11" w:history="1">
        <w:r>
          <w:rPr>
            <w:rStyle w:val="Hyperlink"/>
            <w:sz w:val="18"/>
            <w:szCs w:val="18"/>
          </w:rPr>
          <w:t>Siavash.Motearefi@fwc.gov.au</w:t>
        </w:r>
      </w:hyperlink>
      <w:r>
        <w:t xml:space="preserve"> </w:t>
      </w:r>
    </w:p>
    <w:p w14:paraId="5C28F5A0" w14:textId="25D0F6BE" w:rsidR="001A43C6" w:rsidRDefault="001A43C6" w:rsidP="001A43C6">
      <w:pPr>
        <w:pStyle w:val="ListBullet1"/>
        <w:numPr>
          <w:ilvl w:val="0"/>
          <w:numId w:val="0"/>
        </w:numPr>
        <w:tabs>
          <w:tab w:val="left" w:pos="720"/>
        </w:tabs>
        <w:ind w:right="-2"/>
        <w:rPr>
          <w:rFonts w:cs="Arial"/>
          <w:sz w:val="18"/>
          <w:szCs w:val="18"/>
        </w:rPr>
      </w:pPr>
      <w:r>
        <w:t xml:space="preserve"> </w:t>
      </w:r>
    </w:p>
    <w:p w14:paraId="2A63DACF" w14:textId="77777777"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8008" w14:textId="77777777" w:rsidR="000C482A" w:rsidRDefault="000C482A">
      <w:r>
        <w:separator/>
      </w:r>
    </w:p>
  </w:endnote>
  <w:endnote w:type="continuationSeparator" w:id="0">
    <w:p w14:paraId="64BC65D5" w14:textId="77777777" w:rsidR="000C482A" w:rsidRDefault="000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B0FE" w14:textId="77777777" w:rsidR="000C482A" w:rsidRDefault="000C482A">
      <w:r>
        <w:separator/>
      </w:r>
    </w:p>
  </w:footnote>
  <w:footnote w:type="continuationSeparator" w:id="0">
    <w:p w14:paraId="2127DEBD" w14:textId="77777777" w:rsidR="000C482A" w:rsidRDefault="000C482A">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0C482A">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482A"/>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02D7"/>
    <w:rsid w:val="00476B8D"/>
    <w:rsid w:val="00483025"/>
    <w:rsid w:val="00483887"/>
    <w:rsid w:val="0048453F"/>
    <w:rsid w:val="00492730"/>
    <w:rsid w:val="00495DFF"/>
    <w:rsid w:val="004A02C2"/>
    <w:rsid w:val="004A7492"/>
    <w:rsid w:val="004B0398"/>
    <w:rsid w:val="004B6573"/>
    <w:rsid w:val="004C2CE0"/>
    <w:rsid w:val="004C3B62"/>
    <w:rsid w:val="004C4444"/>
    <w:rsid w:val="004C4DAF"/>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D6296"/>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87877"/>
    <w:rsid w:val="0079097E"/>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93D19"/>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570F9"/>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2D22"/>
    <w:rsid w:val="00B14548"/>
    <w:rsid w:val="00B17CDE"/>
    <w:rsid w:val="00B3115A"/>
    <w:rsid w:val="00B319B0"/>
    <w:rsid w:val="00B32F0D"/>
    <w:rsid w:val="00B41277"/>
    <w:rsid w:val="00B43392"/>
    <w:rsid w:val="00B51523"/>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080"/>
    <w:rsid w:val="00C709A9"/>
    <w:rsid w:val="00C725D8"/>
    <w:rsid w:val="00C770DF"/>
    <w:rsid w:val="00C823D8"/>
    <w:rsid w:val="00C85BD1"/>
    <w:rsid w:val="00C8697E"/>
    <w:rsid w:val="00C95FB3"/>
    <w:rsid w:val="00C96E85"/>
    <w:rsid w:val="00CA1106"/>
    <w:rsid w:val="00CA33BE"/>
    <w:rsid w:val="00CA5D58"/>
    <w:rsid w:val="00CA79DE"/>
    <w:rsid w:val="00CC32BF"/>
    <w:rsid w:val="00CC7618"/>
    <w:rsid w:val="00CE03F6"/>
    <w:rsid w:val="00CE209F"/>
    <w:rsid w:val="00CF181D"/>
    <w:rsid w:val="00CF2C1E"/>
    <w:rsid w:val="00CF2FC4"/>
    <w:rsid w:val="00CF481E"/>
    <w:rsid w:val="00CF4B32"/>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4547367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142EC214-5D41-4310-AA54-25B352D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481</Words>
  <Characters>2820</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3283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unfair dismissals report Jan–Mar 2020</dc:title>
  <dc:creator>FairWorkCommission@fwc.gov.au</dc:creator>
  <cp:lastModifiedBy>SINCOCK, Julie</cp:lastModifiedBy>
  <cp:revision>7</cp:revision>
  <cp:lastPrinted>2019-01-13T23:18:00Z</cp:lastPrinted>
  <dcterms:created xsi:type="dcterms:W3CDTF">2020-04-14T02:58:00Z</dcterms:created>
  <dcterms:modified xsi:type="dcterms:W3CDTF">2020-05-21T06:43:00Z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