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F0A3D" w:rsidRDefault="005B43DC" w:rsidP="00857D01">
      <w:pPr>
        <w:pStyle w:val="Headline"/>
        <w:rPr>
          <w:rFonts w:cs="Arial"/>
          <w:color w:val="000000" w:themeColor="text1"/>
        </w:rPr>
      </w:pPr>
      <w:r w:rsidRPr="008F0A3D">
        <w:rPr>
          <w:rFonts w:cs="Arial"/>
          <w:color w:val="000000" w:themeColor="text1"/>
        </w:rPr>
        <w:t>U</w:t>
      </w:r>
      <w:bookmarkStart w:id="0" w:name="_GoBack"/>
      <w:bookmarkEnd w:id="0"/>
      <w:r w:rsidRPr="008F0A3D">
        <w:rPr>
          <w:rFonts w:cs="Arial"/>
          <w:color w:val="000000" w:themeColor="text1"/>
        </w:rPr>
        <w:t>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3815A6">
        <w:rPr>
          <w:rFonts w:cs="Arial"/>
          <w:color w:val="000000" w:themeColor="text1"/>
        </w:rPr>
        <w:t>Apr</w:t>
      </w:r>
      <w:r w:rsidR="006757F0">
        <w:rPr>
          <w:rFonts w:cs="Arial"/>
          <w:color w:val="000000" w:themeColor="text1"/>
        </w:rPr>
        <w:t>–</w:t>
      </w:r>
      <w:r w:rsidR="003815A6">
        <w:rPr>
          <w:rFonts w:cs="Arial"/>
          <w:color w:val="000000" w:themeColor="text1"/>
        </w:rPr>
        <w:t>Jun</w:t>
      </w:r>
      <w:r w:rsidR="00857D01" w:rsidRPr="008F0A3D">
        <w:rPr>
          <w:rFonts w:cs="Arial"/>
          <w:color w:val="000000" w:themeColor="text1"/>
        </w:rPr>
        <w:t xml:space="preserve"> 201</w:t>
      </w:r>
      <w:r w:rsidR="006418EE">
        <w:rPr>
          <w:rFonts w:cs="Arial"/>
          <w:color w:val="000000" w:themeColor="text1"/>
        </w:rPr>
        <w:t>8</w:t>
      </w:r>
    </w:p>
    <w:p w:rsidR="00857D01" w:rsidRDefault="003815A6" w:rsidP="00857D01">
      <w:pPr>
        <w:pStyle w:val="Headline2"/>
        <w:tabs>
          <w:tab w:val="left" w:pos="5636"/>
        </w:tabs>
        <w:ind w:right="-286"/>
      </w:pPr>
      <w:r>
        <w:t>4th</w:t>
      </w:r>
      <w:r w:rsidR="007E076F">
        <w:t xml:space="preserve"> Quarter 201</w:t>
      </w:r>
      <w:r w:rsidR="008054C3">
        <w:t>7</w:t>
      </w:r>
      <w:r w:rsidR="007E076F">
        <w:t>–1</w:t>
      </w:r>
      <w:r w:rsidR="008054C3">
        <w:t>8</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3815A6">
        <w:rPr>
          <w:rFonts w:cs="Arial"/>
        </w:rPr>
        <w:t>April</w:t>
      </w:r>
      <w:r w:rsidR="008054C3">
        <w:rPr>
          <w:rFonts w:cs="Arial"/>
        </w:rPr>
        <w:t xml:space="preserve"> 201</w:t>
      </w:r>
      <w:r w:rsidR="006418EE">
        <w:rPr>
          <w:rFonts w:cs="Arial"/>
        </w:rPr>
        <w:t>8</w:t>
      </w:r>
      <w:r w:rsidR="00E7273D" w:rsidRPr="00AA0EA8">
        <w:rPr>
          <w:rFonts w:cs="Arial"/>
        </w:rPr>
        <w:t xml:space="preserve"> to </w:t>
      </w:r>
      <w:r w:rsidR="00E7273D">
        <w:rPr>
          <w:rFonts w:cs="Arial"/>
        </w:rPr>
        <w:t>3</w:t>
      </w:r>
      <w:r w:rsidR="003815A6">
        <w:rPr>
          <w:rFonts w:cs="Arial"/>
        </w:rPr>
        <w:t>0</w:t>
      </w:r>
      <w:r w:rsidR="00E7273D" w:rsidRPr="00AA0EA8">
        <w:rPr>
          <w:rFonts w:cs="Arial"/>
        </w:rPr>
        <w:t xml:space="preserve"> </w:t>
      </w:r>
      <w:r w:rsidR="003815A6">
        <w:rPr>
          <w:rFonts w:cs="Arial"/>
        </w:rPr>
        <w:t>April</w:t>
      </w:r>
      <w:r w:rsidR="00E7273D">
        <w:rPr>
          <w:rFonts w:cs="Arial"/>
        </w:rPr>
        <w:t xml:space="preserve"> </w:t>
      </w:r>
      <w:r w:rsidR="007E076F" w:rsidRPr="00BD7ABF">
        <w:rPr>
          <w:rFonts w:cs="Arial"/>
        </w:rPr>
        <w:t>201</w:t>
      </w:r>
      <w:r w:rsidR="006418EE">
        <w:rPr>
          <w:rFonts w:cs="Arial"/>
        </w:rPr>
        <w:t>8</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B8558F" w:rsidP="0081082E">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3327</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806B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622</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806B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2108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806B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576</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806B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508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806B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806B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197</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806BFD" w:rsidP="00062688">
                  <w:pPr>
                    <w:spacing w:after="0" w:line="240" w:lineRule="auto"/>
                    <w:ind w:right="284"/>
                    <w:jc w:val="right"/>
                  </w:pPr>
                  <w:r>
                    <w:rPr>
                      <w:rFonts w:eastAsia="Arial"/>
                      <w:b/>
                      <w:color w:val="000000"/>
                    </w:rPr>
                    <w:t>161</w:t>
                  </w:r>
                </w:p>
              </w:tc>
              <w:tc>
                <w:tcPr>
                  <w:tcW w:w="992" w:type="dxa"/>
                  <w:vAlign w:val="center"/>
                </w:tcPr>
                <w:p w:rsidR="00062688" w:rsidRDefault="00806BFD" w:rsidP="0081082E">
                  <w:pPr>
                    <w:spacing w:after="0" w:line="240" w:lineRule="auto"/>
                    <w:ind w:right="284"/>
                    <w:jc w:val="right"/>
                  </w:pPr>
                  <w:r>
                    <w:rPr>
                      <w:rFonts w:eastAsia="Arial"/>
                      <w:b/>
                      <w:color w:val="000000"/>
                    </w:rPr>
                    <w:t>81.7</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806BFD" w:rsidP="00062688">
                  <w:pPr>
                    <w:spacing w:after="0" w:line="240" w:lineRule="auto"/>
                    <w:ind w:right="284"/>
                    <w:jc w:val="right"/>
                  </w:pPr>
                  <w:r>
                    <w:t>45</w:t>
                  </w:r>
                </w:p>
              </w:tc>
              <w:tc>
                <w:tcPr>
                  <w:tcW w:w="992" w:type="dxa"/>
                  <w:vAlign w:val="center"/>
                </w:tcPr>
                <w:p w:rsidR="00062688" w:rsidRDefault="00806BFD" w:rsidP="0081082E">
                  <w:pPr>
                    <w:spacing w:after="0" w:line="240" w:lineRule="auto"/>
                    <w:ind w:right="284"/>
                    <w:jc w:val="right"/>
                  </w:pPr>
                  <w:r>
                    <w:rPr>
                      <w:rFonts w:eastAsia="Arial"/>
                      <w:color w:val="000000"/>
                    </w:rPr>
                    <w:t>22.8</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806BFD" w:rsidP="0081082E">
                  <w:pPr>
                    <w:spacing w:after="0" w:line="240" w:lineRule="auto"/>
                    <w:ind w:right="284"/>
                    <w:jc w:val="right"/>
                  </w:pPr>
                  <w:r>
                    <w:t>31</w:t>
                  </w:r>
                </w:p>
              </w:tc>
              <w:tc>
                <w:tcPr>
                  <w:tcW w:w="992" w:type="dxa"/>
                  <w:vAlign w:val="center"/>
                </w:tcPr>
                <w:p w:rsidR="00062688" w:rsidRDefault="00806BFD" w:rsidP="0081082E">
                  <w:pPr>
                    <w:spacing w:after="0" w:line="240" w:lineRule="auto"/>
                    <w:ind w:right="284"/>
                    <w:jc w:val="right"/>
                  </w:pPr>
                  <w:r>
                    <w:t>15.7</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806BFD" w:rsidP="0081082E">
                  <w:pPr>
                    <w:spacing w:after="0" w:line="240" w:lineRule="auto"/>
                    <w:ind w:right="284"/>
                    <w:jc w:val="right"/>
                  </w:pPr>
                  <w:r>
                    <w:rPr>
                      <w:rFonts w:eastAsia="Arial"/>
                      <w:color w:val="000000"/>
                    </w:rPr>
                    <w:t>85</w:t>
                  </w:r>
                </w:p>
              </w:tc>
              <w:tc>
                <w:tcPr>
                  <w:tcW w:w="992" w:type="dxa"/>
                  <w:vAlign w:val="center"/>
                </w:tcPr>
                <w:p w:rsidR="00062688" w:rsidRDefault="00806BFD" w:rsidP="0081082E">
                  <w:pPr>
                    <w:spacing w:after="0" w:line="240" w:lineRule="auto"/>
                    <w:ind w:right="284"/>
                    <w:jc w:val="right"/>
                  </w:pPr>
                  <w:r>
                    <w:rPr>
                      <w:rFonts w:eastAsia="Arial"/>
                      <w:color w:val="000000"/>
                    </w:rPr>
                    <w:t>43.2</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Pr="0040454C" w:rsidRDefault="00806BFD" w:rsidP="0081082E">
                  <w:pPr>
                    <w:spacing w:after="0" w:line="240" w:lineRule="auto"/>
                    <w:ind w:right="284"/>
                    <w:jc w:val="right"/>
                    <w:rPr>
                      <w:b/>
                    </w:rPr>
                  </w:pPr>
                  <w:r>
                    <w:rPr>
                      <w:b/>
                    </w:rPr>
                    <w:t>36</w:t>
                  </w:r>
                </w:p>
              </w:tc>
              <w:tc>
                <w:tcPr>
                  <w:tcW w:w="992" w:type="dxa"/>
                  <w:vAlign w:val="center"/>
                </w:tcPr>
                <w:p w:rsidR="00062688" w:rsidRDefault="00806BFD" w:rsidP="0081082E">
                  <w:pPr>
                    <w:spacing w:after="0" w:line="240" w:lineRule="auto"/>
                    <w:ind w:right="284"/>
                    <w:jc w:val="right"/>
                  </w:pPr>
                  <w:r>
                    <w:rPr>
                      <w:rFonts w:eastAsia="Arial"/>
                      <w:b/>
                      <w:color w:val="000000"/>
                    </w:rPr>
                    <w:t>18.3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806BFD" w:rsidP="0081082E">
                  <w:pPr>
                    <w:spacing w:after="0" w:line="240" w:lineRule="auto"/>
                    <w:ind w:right="284"/>
                    <w:jc w:val="right"/>
                  </w:pPr>
                  <w:r>
                    <w:rPr>
                      <w:rFonts w:eastAsia="Arial"/>
                      <w:color w:val="000000"/>
                    </w:rPr>
                    <w:t>26</w:t>
                  </w:r>
                </w:p>
              </w:tc>
              <w:tc>
                <w:tcPr>
                  <w:tcW w:w="992" w:type="dxa"/>
                  <w:vAlign w:val="center"/>
                </w:tcPr>
                <w:p w:rsidR="00062688" w:rsidRDefault="00806BFD" w:rsidP="0081082E">
                  <w:pPr>
                    <w:spacing w:after="0" w:line="240" w:lineRule="auto"/>
                    <w:ind w:right="284"/>
                    <w:jc w:val="right"/>
                  </w:pPr>
                  <w:r>
                    <w:rPr>
                      <w:rFonts w:eastAsia="Arial"/>
                      <w:color w:val="000000"/>
                    </w:rPr>
                    <w:t>13.2</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806BFD" w:rsidP="0081082E">
                  <w:pPr>
                    <w:spacing w:after="0" w:line="240" w:lineRule="auto"/>
                    <w:ind w:right="284"/>
                    <w:jc w:val="right"/>
                  </w:pPr>
                  <w:r>
                    <w:rPr>
                      <w:rFonts w:eastAsia="Arial"/>
                      <w:color w:val="000000"/>
                    </w:rPr>
                    <w:t>2</w:t>
                  </w:r>
                </w:p>
              </w:tc>
              <w:tc>
                <w:tcPr>
                  <w:tcW w:w="992" w:type="dxa"/>
                  <w:vAlign w:val="center"/>
                </w:tcPr>
                <w:p w:rsidR="00062688" w:rsidRDefault="00806BFD" w:rsidP="0081082E">
                  <w:pPr>
                    <w:spacing w:after="0" w:line="240" w:lineRule="auto"/>
                    <w:ind w:right="284"/>
                    <w:jc w:val="right"/>
                  </w:pPr>
                  <w:r>
                    <w:rPr>
                      <w:rFonts w:eastAsia="Arial"/>
                      <w:color w:val="000000"/>
                    </w:rPr>
                    <w:t>1.0</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806BFD" w:rsidP="00062688">
                  <w:pPr>
                    <w:spacing w:after="0" w:line="240" w:lineRule="auto"/>
                    <w:ind w:right="284"/>
                    <w:jc w:val="right"/>
                  </w:pPr>
                  <w:r>
                    <w:t>0</w:t>
                  </w:r>
                </w:p>
              </w:tc>
              <w:tc>
                <w:tcPr>
                  <w:tcW w:w="992" w:type="dxa"/>
                  <w:vAlign w:val="center"/>
                </w:tcPr>
                <w:p w:rsidR="00062688" w:rsidRDefault="0081082E" w:rsidP="0081082E">
                  <w:pPr>
                    <w:spacing w:after="0" w:line="240" w:lineRule="auto"/>
                    <w:ind w:right="284"/>
                    <w:jc w:val="right"/>
                  </w:pPr>
                  <w:r>
                    <w:rPr>
                      <w:rFonts w:eastAsia="Arial"/>
                      <w:color w:val="000000"/>
                    </w:rPr>
                    <w:t>0.</w:t>
                  </w:r>
                  <w:r w:rsidR="00806BFD">
                    <w:rPr>
                      <w:rFonts w:eastAsia="Arial"/>
                      <w:color w:val="000000"/>
                    </w:rPr>
                    <w:t>0</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806BFD" w:rsidP="0081082E">
                  <w:pPr>
                    <w:spacing w:after="0" w:line="240" w:lineRule="auto"/>
                    <w:ind w:right="284"/>
                    <w:jc w:val="right"/>
                  </w:pPr>
                  <w:r>
                    <w:rPr>
                      <w:rFonts w:eastAsia="Arial"/>
                      <w:color w:val="000000"/>
                    </w:rPr>
                    <w:t>3</w:t>
                  </w:r>
                </w:p>
              </w:tc>
              <w:tc>
                <w:tcPr>
                  <w:tcW w:w="992" w:type="dxa"/>
                  <w:vAlign w:val="center"/>
                </w:tcPr>
                <w:p w:rsidR="00062688" w:rsidRDefault="00806BFD" w:rsidP="0081082E">
                  <w:pPr>
                    <w:spacing w:after="0" w:line="240" w:lineRule="auto"/>
                    <w:ind w:right="284"/>
                    <w:jc w:val="right"/>
                  </w:pPr>
                  <w:r>
                    <w:rPr>
                      <w:rFonts w:eastAsia="Arial"/>
                      <w:color w:val="000000"/>
                    </w:rPr>
                    <w:t>1.5</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806BFD" w:rsidP="0081082E">
                  <w:pPr>
                    <w:spacing w:after="0" w:line="240" w:lineRule="auto"/>
                    <w:ind w:right="284"/>
                    <w:jc w:val="right"/>
                  </w:pPr>
                  <w:r>
                    <w:rPr>
                      <w:rFonts w:eastAsia="Arial"/>
                      <w:color w:val="000000"/>
                    </w:rPr>
                    <w:t>5</w:t>
                  </w:r>
                </w:p>
              </w:tc>
              <w:tc>
                <w:tcPr>
                  <w:tcW w:w="992" w:type="dxa"/>
                  <w:vAlign w:val="center"/>
                </w:tcPr>
                <w:p w:rsidR="00062688" w:rsidRDefault="00806BFD" w:rsidP="0081082E">
                  <w:pPr>
                    <w:spacing w:after="0" w:line="240" w:lineRule="auto"/>
                    <w:ind w:right="284"/>
                    <w:jc w:val="right"/>
                  </w:pPr>
                  <w:r>
                    <w:rPr>
                      <w:rFonts w:eastAsia="Arial"/>
                      <w:color w:val="000000"/>
                    </w:rPr>
                    <w:t>2.6</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Pr="0040454C" w:rsidRDefault="00806BFD" w:rsidP="00062688">
                  <w:pPr>
                    <w:spacing w:after="0" w:line="240" w:lineRule="auto"/>
                    <w:ind w:right="284"/>
                    <w:jc w:val="right"/>
                    <w:rPr>
                      <w:b/>
                    </w:rPr>
                  </w:pPr>
                  <w:r>
                    <w:rPr>
                      <w:b/>
                    </w:rPr>
                    <w:t>197</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806BFD" w:rsidP="0081082E">
                  <w:pPr>
                    <w:spacing w:after="0" w:line="240" w:lineRule="auto"/>
                    <w:ind w:right="284"/>
                    <w:jc w:val="right"/>
                  </w:pPr>
                  <w:r>
                    <w:rPr>
                      <w:rFonts w:eastAsia="Arial"/>
                      <w:b/>
                      <w:color w:val="000000"/>
                    </w:rPr>
                    <w:t>31</w:t>
                  </w:r>
                </w:p>
              </w:tc>
              <w:tc>
                <w:tcPr>
                  <w:tcW w:w="992" w:type="dxa"/>
                  <w:vAlign w:val="center"/>
                </w:tcPr>
                <w:p w:rsidR="00062688" w:rsidRDefault="00806BFD" w:rsidP="0081082E">
                  <w:pPr>
                    <w:spacing w:after="0" w:line="240" w:lineRule="auto"/>
                    <w:ind w:right="284"/>
                    <w:jc w:val="right"/>
                  </w:pPr>
                  <w:r>
                    <w:rPr>
                      <w:rFonts w:eastAsia="Arial"/>
                      <w:b/>
                      <w:color w:val="000000"/>
                    </w:rPr>
                    <w:t>46.3</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Pr="005C5307" w:rsidRDefault="00806BFD" w:rsidP="0081082E">
                  <w:pPr>
                    <w:spacing w:after="0" w:line="240" w:lineRule="auto"/>
                    <w:ind w:right="284"/>
                    <w:jc w:val="right"/>
                    <w:rPr>
                      <w:b/>
                    </w:rPr>
                  </w:pPr>
                  <w:r>
                    <w:rPr>
                      <w:b/>
                    </w:rPr>
                    <w:t>36</w:t>
                  </w:r>
                </w:p>
              </w:tc>
              <w:tc>
                <w:tcPr>
                  <w:tcW w:w="992" w:type="dxa"/>
                  <w:vAlign w:val="center"/>
                </w:tcPr>
                <w:p w:rsidR="00062688" w:rsidRDefault="00806BFD" w:rsidP="0081082E">
                  <w:pPr>
                    <w:spacing w:after="0" w:line="240" w:lineRule="auto"/>
                    <w:ind w:right="284"/>
                    <w:jc w:val="right"/>
                  </w:pPr>
                  <w:r>
                    <w:rPr>
                      <w:rFonts w:eastAsia="Arial"/>
                      <w:b/>
                      <w:color w:val="000000"/>
                    </w:rPr>
                    <w:t>53.7</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806BFD" w:rsidP="00062688">
                  <w:pPr>
                    <w:spacing w:after="0" w:line="240" w:lineRule="auto"/>
                    <w:ind w:right="284"/>
                    <w:jc w:val="right"/>
                  </w:pPr>
                  <w:r>
                    <w:t>26</w:t>
                  </w:r>
                </w:p>
              </w:tc>
              <w:tc>
                <w:tcPr>
                  <w:tcW w:w="992" w:type="dxa"/>
                  <w:vAlign w:val="center"/>
                </w:tcPr>
                <w:p w:rsidR="00062688" w:rsidRDefault="00806BFD" w:rsidP="0081082E">
                  <w:pPr>
                    <w:spacing w:after="0" w:line="240" w:lineRule="auto"/>
                    <w:ind w:right="284"/>
                    <w:jc w:val="right"/>
                  </w:pPr>
                  <w:r>
                    <w:t>38.8</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806BFD" w:rsidP="0081082E">
                  <w:pPr>
                    <w:spacing w:after="0" w:line="240" w:lineRule="auto"/>
                    <w:ind w:right="284"/>
                    <w:jc w:val="right"/>
                  </w:pPr>
                  <w:r>
                    <w:rPr>
                      <w:rFonts w:eastAsia="Arial"/>
                      <w:color w:val="000000"/>
                    </w:rPr>
                    <w:t>2</w:t>
                  </w:r>
                </w:p>
              </w:tc>
              <w:tc>
                <w:tcPr>
                  <w:tcW w:w="992" w:type="dxa"/>
                  <w:vAlign w:val="center"/>
                </w:tcPr>
                <w:p w:rsidR="00062688" w:rsidRDefault="00806BFD" w:rsidP="00062688">
                  <w:pPr>
                    <w:spacing w:after="0" w:line="240" w:lineRule="auto"/>
                    <w:ind w:right="284"/>
                    <w:jc w:val="right"/>
                  </w:pPr>
                  <w:r>
                    <w:rPr>
                      <w:rFonts w:eastAsia="Arial"/>
                      <w:color w:val="000000"/>
                    </w:rPr>
                    <w:t>2.9</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806BFD" w:rsidP="00062688">
                  <w:pPr>
                    <w:spacing w:after="0" w:line="240" w:lineRule="auto"/>
                    <w:ind w:right="284"/>
                    <w:jc w:val="right"/>
                  </w:pPr>
                  <w:r>
                    <w:t>0</w:t>
                  </w:r>
                </w:p>
              </w:tc>
              <w:tc>
                <w:tcPr>
                  <w:tcW w:w="992" w:type="dxa"/>
                  <w:vAlign w:val="center"/>
                </w:tcPr>
                <w:p w:rsidR="00062688" w:rsidRDefault="00806BFD" w:rsidP="00062688">
                  <w:pPr>
                    <w:spacing w:after="0" w:line="240" w:lineRule="auto"/>
                    <w:ind w:right="284"/>
                    <w:jc w:val="right"/>
                  </w:pPr>
                  <w:r>
                    <w:t>0.0</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806BFD" w:rsidP="00062688">
                  <w:pPr>
                    <w:spacing w:after="0" w:line="240" w:lineRule="auto"/>
                    <w:ind w:right="284"/>
                    <w:jc w:val="right"/>
                  </w:pPr>
                  <w:r>
                    <w:t>3</w:t>
                  </w:r>
                </w:p>
              </w:tc>
              <w:tc>
                <w:tcPr>
                  <w:tcW w:w="992" w:type="dxa"/>
                  <w:vAlign w:val="center"/>
                </w:tcPr>
                <w:p w:rsidR="00062688" w:rsidRDefault="00144C36" w:rsidP="0081082E">
                  <w:pPr>
                    <w:spacing w:after="0" w:line="240" w:lineRule="auto"/>
                    <w:ind w:right="284"/>
                    <w:jc w:val="right"/>
                  </w:pPr>
                  <w:r>
                    <w:rPr>
                      <w:rFonts w:eastAsia="Arial"/>
                      <w:color w:val="000000"/>
                    </w:rPr>
                    <w:t>4.5</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806BFD" w:rsidP="0081082E">
                  <w:pPr>
                    <w:spacing w:after="0" w:line="240" w:lineRule="auto"/>
                    <w:ind w:right="284"/>
                    <w:jc w:val="right"/>
                  </w:pPr>
                  <w:r>
                    <w:rPr>
                      <w:rFonts w:eastAsia="Arial"/>
                      <w:color w:val="000000"/>
                    </w:rPr>
                    <w:t>5</w:t>
                  </w:r>
                </w:p>
              </w:tc>
              <w:tc>
                <w:tcPr>
                  <w:tcW w:w="992" w:type="dxa"/>
                  <w:vAlign w:val="center"/>
                </w:tcPr>
                <w:p w:rsidR="00062688" w:rsidRDefault="00144C36" w:rsidP="0081082E">
                  <w:pPr>
                    <w:spacing w:after="0" w:line="240" w:lineRule="auto"/>
                    <w:ind w:right="284"/>
                    <w:jc w:val="right"/>
                  </w:pPr>
                  <w:r>
                    <w:rPr>
                      <w:rFonts w:eastAsia="Arial"/>
                      <w:color w:val="000000"/>
                    </w:rPr>
                    <w:t>7.5</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806BFD" w:rsidP="0081082E">
                  <w:pPr>
                    <w:spacing w:after="0" w:line="240" w:lineRule="auto"/>
                    <w:ind w:right="284"/>
                    <w:jc w:val="right"/>
                    <w:rPr>
                      <w:b/>
                    </w:rPr>
                  </w:pPr>
                  <w:r>
                    <w:rPr>
                      <w:b/>
                    </w:rPr>
                    <w:t>67</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144C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2684</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144C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2730</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144C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3249</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144C36" w:rsidP="00520C3E">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2625</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144C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55</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144C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1031</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22</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144C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 xml:space="preserve">This report should be read in conjunction with the </w:t>
      </w:r>
      <w:hyperlink r:id="rId12" w:history="1">
        <w:r w:rsidRPr="006757F0">
          <w:rPr>
            <w:rStyle w:val="Hyperlink"/>
            <w:rFonts w:ascii="Arial" w:hAnsi="Arial" w:cs="Arial"/>
            <w:sz w:val="18"/>
            <w:szCs w:val="18"/>
          </w:rPr>
          <w:t>Fair Work Commission information note for Quarterly reports</w:t>
        </w:r>
      </w:hyperlink>
      <w:r w:rsidR="0033358F">
        <w:rPr>
          <w:rFonts w:cs="Arial"/>
          <w:sz w:val="18"/>
          <w:szCs w:val="18"/>
        </w:rPr>
        <w:t>.</w:t>
      </w:r>
    </w:p>
    <w:p w:rsidR="00DF75D5" w:rsidRDefault="00DF75D5" w:rsidP="00857D01">
      <w:pPr>
        <w:spacing w:after="0"/>
        <w:ind w:right="-2"/>
        <w:rPr>
          <w:rFonts w:cs="Arial"/>
          <w:sz w:val="18"/>
          <w:szCs w:val="18"/>
        </w:rPr>
      </w:pPr>
    </w:p>
    <w:p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5C5307" w:rsidRDefault="00701831" w:rsidP="005C5307">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5C5307">
        <w:rPr>
          <w:rFonts w:cs="Arial"/>
          <w:sz w:val="18"/>
          <w:szCs w:val="18"/>
        </w:rPr>
        <w:t xml:space="preserve">Louise Clarke, </w:t>
      </w:r>
      <w:r w:rsidR="006418EE">
        <w:rPr>
          <w:rFonts w:cs="Arial"/>
          <w:sz w:val="18"/>
          <w:szCs w:val="18"/>
        </w:rPr>
        <w:t xml:space="preserve">Executive </w:t>
      </w:r>
      <w:r w:rsidR="005C5307">
        <w:rPr>
          <w:rFonts w:cs="Arial"/>
          <w:sz w:val="18"/>
          <w:szCs w:val="18"/>
        </w:rPr>
        <w:t xml:space="preserve">Director, </w:t>
      </w:r>
      <w:proofErr w:type="gramStart"/>
      <w:r w:rsidR="005C5307">
        <w:rPr>
          <w:rFonts w:cs="Arial"/>
          <w:sz w:val="18"/>
          <w:szCs w:val="18"/>
        </w:rPr>
        <w:t>Client</w:t>
      </w:r>
      <w:proofErr w:type="gramEnd"/>
      <w:r w:rsidR="005C5307">
        <w:rPr>
          <w:rFonts w:cs="Arial"/>
          <w:sz w:val="18"/>
          <w:szCs w:val="18"/>
        </w:rPr>
        <w:t xml:space="preserve"> Services Branch. Phone 03 8656 4800 or by email </w:t>
      </w:r>
      <w:hyperlink r:id="rId13" w:history="1">
        <w:r w:rsidR="005C5307" w:rsidRPr="006418EE">
          <w:rPr>
            <w:rStyle w:val="Hyperlink"/>
            <w:rFonts w:ascii="Arial" w:hAnsi="Arial" w:cs="Arial"/>
            <w:sz w:val="18"/>
            <w:szCs w:val="18"/>
          </w:rPr>
          <w:t>louise.clarke@fwc.gov.au</w:t>
        </w:r>
      </w:hyperlink>
      <w:r w:rsidR="005C5307">
        <w:t xml:space="preserve"> </w:t>
      </w:r>
    </w:p>
    <w:p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9C" w:rsidRDefault="0021549C">
      <w:r>
        <w:separator/>
      </w:r>
    </w:p>
  </w:endnote>
  <w:endnote w:type="continuationSeparator" w:id="0">
    <w:p w:rsidR="0021549C" w:rsidRDefault="0021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6757F0">
      <w:rPr>
        <w:noProof/>
        <w:sz w:val="18"/>
        <w:szCs w:val="18"/>
      </w:rPr>
      <w:t>2</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6757F0">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6757F0">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6757F0">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9C" w:rsidRDefault="0021549C">
      <w:r>
        <w:separator/>
      </w:r>
    </w:p>
  </w:footnote>
  <w:footnote w:type="continuationSeparator" w:id="0">
    <w:p w:rsidR="0021549C" w:rsidRDefault="0021549C">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21549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4C36"/>
    <w:rsid w:val="00145557"/>
    <w:rsid w:val="001503A9"/>
    <w:rsid w:val="00150F0E"/>
    <w:rsid w:val="001517D1"/>
    <w:rsid w:val="0015507D"/>
    <w:rsid w:val="00162CE3"/>
    <w:rsid w:val="00171870"/>
    <w:rsid w:val="001719D0"/>
    <w:rsid w:val="00180DDB"/>
    <w:rsid w:val="00184B41"/>
    <w:rsid w:val="001974B5"/>
    <w:rsid w:val="001A062B"/>
    <w:rsid w:val="001A50A7"/>
    <w:rsid w:val="001D1141"/>
    <w:rsid w:val="001D27A3"/>
    <w:rsid w:val="001D312A"/>
    <w:rsid w:val="001D4B00"/>
    <w:rsid w:val="001E1EA6"/>
    <w:rsid w:val="001E33D4"/>
    <w:rsid w:val="001E3DB8"/>
    <w:rsid w:val="001E6963"/>
    <w:rsid w:val="001F0E07"/>
    <w:rsid w:val="001F2AE8"/>
    <w:rsid w:val="001F4CF7"/>
    <w:rsid w:val="001F5250"/>
    <w:rsid w:val="001F58BE"/>
    <w:rsid w:val="00207776"/>
    <w:rsid w:val="00211E1E"/>
    <w:rsid w:val="0021549C"/>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6376"/>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15A6"/>
    <w:rsid w:val="00384EA2"/>
    <w:rsid w:val="00394767"/>
    <w:rsid w:val="0039749B"/>
    <w:rsid w:val="003A0894"/>
    <w:rsid w:val="003A30EE"/>
    <w:rsid w:val="003B0133"/>
    <w:rsid w:val="003B2555"/>
    <w:rsid w:val="003B3A22"/>
    <w:rsid w:val="003C2E0C"/>
    <w:rsid w:val="003D1652"/>
    <w:rsid w:val="003D7CD4"/>
    <w:rsid w:val="00401494"/>
    <w:rsid w:val="004017EB"/>
    <w:rsid w:val="0040454C"/>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C3E"/>
    <w:rsid w:val="00520EB0"/>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8EE"/>
    <w:rsid w:val="00641B53"/>
    <w:rsid w:val="0064234F"/>
    <w:rsid w:val="00644501"/>
    <w:rsid w:val="006457D5"/>
    <w:rsid w:val="00646CA4"/>
    <w:rsid w:val="00655D1A"/>
    <w:rsid w:val="00666465"/>
    <w:rsid w:val="00666B30"/>
    <w:rsid w:val="006711CA"/>
    <w:rsid w:val="00671A95"/>
    <w:rsid w:val="006757F0"/>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6BFD"/>
    <w:rsid w:val="00807BC8"/>
    <w:rsid w:val="0081082E"/>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043"/>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63B7"/>
    <w:rsid w:val="00A30891"/>
    <w:rsid w:val="00A30D80"/>
    <w:rsid w:val="00A353AB"/>
    <w:rsid w:val="00A3644E"/>
    <w:rsid w:val="00A417BC"/>
    <w:rsid w:val="00A42C38"/>
    <w:rsid w:val="00A437AF"/>
    <w:rsid w:val="00A509FF"/>
    <w:rsid w:val="00A55F0D"/>
    <w:rsid w:val="00A56796"/>
    <w:rsid w:val="00A61AA2"/>
    <w:rsid w:val="00A7260F"/>
    <w:rsid w:val="00A77A7B"/>
    <w:rsid w:val="00A802AE"/>
    <w:rsid w:val="00A808E4"/>
    <w:rsid w:val="00A819E3"/>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558F"/>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e.clarke@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wc.gov.au/documents/quarterlyreports/QR-information-no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3A1DE4B6-2651-4329-A1BE-CCB56D77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3367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Unfair dismissals report Apr–Jun 2018</dc:title>
  <dc:creator>Fair Work Commission</dc:creator>
  <cp:lastModifiedBy>PINE, Louise</cp:lastModifiedBy>
  <cp:revision>5</cp:revision>
  <cp:lastPrinted>2018-08-15T04:42:00Z</cp:lastPrinted>
  <dcterms:created xsi:type="dcterms:W3CDTF">2018-07-30T00:58:00Z</dcterms:created>
  <dcterms:modified xsi:type="dcterms:W3CDTF">2018-10-24T01:10:00Z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