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bookmarkStart w:id="0" w:name="_GoBack"/>
      <w:bookmarkEnd w:id="0"/>
    </w:p>
    <w:p w14:paraId="003C1012" w14:textId="4FCA2C4C" w:rsidR="00857D01" w:rsidRPr="008F0A3D" w:rsidRDefault="005B43DC" w:rsidP="00594F50">
      <w:pPr>
        <w:pStyle w:val="Heading2"/>
      </w:pPr>
      <w:r w:rsidRPr="008F0A3D">
        <w:t>Unfair d</w:t>
      </w:r>
      <w:r w:rsidR="00394767" w:rsidRPr="008F0A3D">
        <w:t xml:space="preserve">ismissals </w:t>
      </w:r>
      <w:r w:rsidR="00BD7ABF" w:rsidRPr="008F0A3D">
        <w:t xml:space="preserve">report </w:t>
      </w:r>
      <w:r w:rsidR="002B4142" w:rsidRPr="00594F50">
        <w:t>Apr</w:t>
      </w:r>
      <w:r w:rsidR="00594F50">
        <w:t>–</w:t>
      </w:r>
      <w:r w:rsidR="002B4142">
        <w:t>Jun</w:t>
      </w:r>
      <w:r w:rsidR="00857D01" w:rsidRPr="008F0A3D">
        <w:t xml:space="preserve"> 201</w:t>
      </w:r>
      <w:r w:rsidR="00787877">
        <w:t>9</w:t>
      </w:r>
    </w:p>
    <w:p w14:paraId="1B4138DD" w14:textId="3883589D" w:rsidR="00857D01" w:rsidRDefault="002B4142" w:rsidP="00594F50">
      <w:pPr>
        <w:pStyle w:val="Heading3"/>
      </w:pPr>
      <w:r>
        <w:t>4th</w:t>
      </w:r>
      <w:r w:rsidR="007E076F">
        <w:t xml:space="preserve"> </w:t>
      </w:r>
      <w:r w:rsidR="007E076F" w:rsidRPr="00594F50">
        <w:t>Quarter</w:t>
      </w:r>
      <w:r w:rsidR="007E076F">
        <w:t xml:space="preserve"> 201</w:t>
      </w:r>
      <w:r w:rsidR="00D63C1B">
        <w:t>8</w:t>
      </w:r>
      <w:r w:rsidR="007E076F">
        <w:t>–1</w:t>
      </w:r>
      <w:r w:rsidR="00D63C1B">
        <w:t>9</w:t>
      </w:r>
    </w:p>
    <w:p w14:paraId="302F4437" w14:textId="49FC588B"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2B4142">
        <w:rPr>
          <w:rFonts w:eastAsia="Arial"/>
          <w:color w:val="000000"/>
        </w:rPr>
        <w:t>April</w:t>
      </w:r>
      <w:r w:rsidR="00787877">
        <w:rPr>
          <w:rFonts w:eastAsia="Arial"/>
          <w:color w:val="000000"/>
        </w:rPr>
        <w:t xml:space="preserve"> 2019 to 3</w:t>
      </w:r>
      <w:r w:rsidR="002B4142">
        <w:rPr>
          <w:rFonts w:eastAsia="Arial"/>
          <w:color w:val="000000"/>
        </w:rPr>
        <w:t>0</w:t>
      </w:r>
      <w:r w:rsidR="00787877">
        <w:rPr>
          <w:rFonts w:eastAsia="Arial"/>
          <w:color w:val="000000"/>
        </w:rPr>
        <w:t xml:space="preserve"> </w:t>
      </w:r>
      <w:r w:rsidR="002B4142">
        <w:rPr>
          <w:rFonts w:eastAsia="Arial"/>
          <w:color w:val="000000"/>
        </w:rPr>
        <w:t>June</w:t>
      </w:r>
      <w:r w:rsidR="00787877">
        <w:rPr>
          <w:rFonts w:eastAsia="Arial"/>
          <w:color w:val="000000"/>
        </w:rPr>
        <w:t xml:space="preserve"> 2019</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0BE1DA45"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B43392">
              <w:rPr>
                <w:rFonts w:cs="Arial"/>
                <w:color w:val="000000"/>
                <w:szCs w:val="20"/>
                <w:lang w:val="en-AU" w:eastAsia="en-AU"/>
              </w:rPr>
              <w:t>504</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0BFDB5A1"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593</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2445B53C"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B43392">
              <w:rPr>
                <w:rFonts w:cs="Arial"/>
                <w:color w:val="000000"/>
                <w:szCs w:val="20"/>
                <w:lang w:val="en-AU" w:eastAsia="en-AU"/>
              </w:rPr>
              <w:t>163</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2BB289CF"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w:t>
            </w:r>
            <w:r w:rsidR="00B43392">
              <w:rPr>
                <w:rFonts w:cs="Arial"/>
                <w:color w:val="000000"/>
                <w:szCs w:val="20"/>
                <w:lang w:val="en-AU" w:eastAsia="en-AU"/>
              </w:rPr>
              <w:t>78</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45D69C12" w:rsidR="002366C5" w:rsidRDefault="0078787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w:t>
            </w:r>
            <w:r w:rsidR="00B43392">
              <w:rPr>
                <w:rFonts w:cs="Arial"/>
                <w:color w:val="000000"/>
                <w:szCs w:val="20"/>
                <w:lang w:val="en-AU" w:eastAsia="en-AU"/>
              </w:rPr>
              <w:t>81</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695F79A2"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42FF412A"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B43392">
              <w:rPr>
                <w:rFonts w:cs="Arial"/>
                <w:color w:val="000000"/>
                <w:szCs w:val="20"/>
                <w:lang w:val="en-AU" w:eastAsia="en-AU"/>
              </w:rPr>
              <w:t>89</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1DF5F9B1" w:rsidR="00062688" w:rsidRDefault="00B02DDB" w:rsidP="00062688">
                  <w:pPr>
                    <w:spacing w:after="0" w:line="240" w:lineRule="auto"/>
                    <w:ind w:right="284"/>
                    <w:jc w:val="right"/>
                  </w:pPr>
                  <w:r>
                    <w:rPr>
                      <w:rFonts w:eastAsia="Arial"/>
                      <w:b/>
                      <w:color w:val="000000"/>
                    </w:rPr>
                    <w:t>1</w:t>
                  </w:r>
                  <w:r w:rsidR="00B43392">
                    <w:rPr>
                      <w:rFonts w:eastAsia="Arial"/>
                      <w:b/>
                      <w:color w:val="000000"/>
                    </w:rPr>
                    <w:t>55</w:t>
                  </w:r>
                </w:p>
              </w:tc>
              <w:tc>
                <w:tcPr>
                  <w:tcW w:w="992" w:type="dxa"/>
                  <w:vAlign w:val="center"/>
                </w:tcPr>
                <w:p w14:paraId="21DDFA9F" w14:textId="40A57370" w:rsidR="00062688" w:rsidRDefault="00B02DDB" w:rsidP="00E7273D">
                  <w:pPr>
                    <w:spacing w:after="0" w:line="240" w:lineRule="auto"/>
                    <w:ind w:right="284"/>
                    <w:jc w:val="right"/>
                  </w:pPr>
                  <w:r>
                    <w:rPr>
                      <w:rFonts w:eastAsia="Arial"/>
                      <w:b/>
                      <w:color w:val="000000"/>
                    </w:rPr>
                    <w:t>8</w:t>
                  </w:r>
                  <w:r w:rsidR="00B43392">
                    <w:rPr>
                      <w:rFonts w:eastAsia="Arial"/>
                      <w:b/>
                      <w:color w:val="000000"/>
                    </w:rPr>
                    <w:t>2.0</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49C7790A" w:rsidR="00062688" w:rsidRDefault="00B43392" w:rsidP="00062688">
                  <w:pPr>
                    <w:spacing w:after="0" w:line="240" w:lineRule="auto"/>
                    <w:ind w:right="284"/>
                    <w:jc w:val="right"/>
                  </w:pPr>
                  <w:r>
                    <w:t>26</w:t>
                  </w:r>
                </w:p>
              </w:tc>
              <w:tc>
                <w:tcPr>
                  <w:tcW w:w="992" w:type="dxa"/>
                  <w:vAlign w:val="center"/>
                </w:tcPr>
                <w:p w14:paraId="0580BA2A" w14:textId="30F46DC8" w:rsidR="00062688" w:rsidRDefault="00787877" w:rsidP="00062688">
                  <w:pPr>
                    <w:spacing w:after="0" w:line="240" w:lineRule="auto"/>
                    <w:ind w:right="284"/>
                    <w:jc w:val="right"/>
                  </w:pPr>
                  <w:r>
                    <w:rPr>
                      <w:rFonts w:eastAsia="Arial"/>
                      <w:color w:val="000000"/>
                    </w:rPr>
                    <w:t>1</w:t>
                  </w:r>
                  <w:r w:rsidR="00B43392">
                    <w:rPr>
                      <w:rFonts w:eastAsia="Arial"/>
                      <w:color w:val="000000"/>
                    </w:rPr>
                    <w:t>3.8</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07A6DED8" w:rsidR="00062688" w:rsidRDefault="00787877" w:rsidP="00062688">
                  <w:pPr>
                    <w:spacing w:after="0" w:line="240" w:lineRule="auto"/>
                    <w:ind w:right="284"/>
                    <w:jc w:val="right"/>
                  </w:pPr>
                  <w:r>
                    <w:rPr>
                      <w:rFonts w:eastAsia="Arial"/>
                      <w:color w:val="000000"/>
                    </w:rPr>
                    <w:t>2</w:t>
                  </w:r>
                  <w:r w:rsidR="00B43392">
                    <w:rPr>
                      <w:rFonts w:eastAsia="Arial"/>
                      <w:color w:val="000000"/>
                    </w:rPr>
                    <w:t>2</w:t>
                  </w:r>
                </w:p>
              </w:tc>
              <w:tc>
                <w:tcPr>
                  <w:tcW w:w="992" w:type="dxa"/>
                  <w:vAlign w:val="center"/>
                </w:tcPr>
                <w:p w14:paraId="41BB1B08" w14:textId="10B95B94" w:rsidR="00062688" w:rsidRDefault="00787877" w:rsidP="00062688">
                  <w:pPr>
                    <w:spacing w:after="0" w:line="240" w:lineRule="auto"/>
                    <w:ind w:right="284"/>
                    <w:jc w:val="right"/>
                  </w:pPr>
                  <w:r>
                    <w:rPr>
                      <w:rFonts w:eastAsia="Arial"/>
                      <w:color w:val="000000"/>
                    </w:rPr>
                    <w:t>1</w:t>
                  </w:r>
                  <w:r w:rsidR="00B43392">
                    <w:rPr>
                      <w:rFonts w:eastAsia="Arial"/>
                      <w:color w:val="000000"/>
                    </w:rPr>
                    <w:t>1.6</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2334C89B" w:rsidR="00062688" w:rsidRDefault="00B43392" w:rsidP="00062688">
                  <w:pPr>
                    <w:spacing w:after="0" w:line="240" w:lineRule="auto"/>
                    <w:ind w:right="284"/>
                    <w:jc w:val="right"/>
                  </w:pPr>
                  <w:r>
                    <w:rPr>
                      <w:rFonts w:eastAsia="Arial"/>
                      <w:color w:val="000000"/>
                    </w:rPr>
                    <w:t>107</w:t>
                  </w:r>
                </w:p>
              </w:tc>
              <w:tc>
                <w:tcPr>
                  <w:tcW w:w="992" w:type="dxa"/>
                  <w:vAlign w:val="center"/>
                </w:tcPr>
                <w:p w14:paraId="278D3E5F" w14:textId="161EF351" w:rsidR="00062688" w:rsidRDefault="00B43392" w:rsidP="00062688">
                  <w:pPr>
                    <w:spacing w:after="0" w:line="240" w:lineRule="auto"/>
                    <w:ind w:right="284"/>
                    <w:jc w:val="right"/>
                  </w:pPr>
                  <w:r>
                    <w:rPr>
                      <w:rFonts w:eastAsia="Arial"/>
                      <w:color w:val="000000"/>
                    </w:rPr>
                    <w:t>56.6</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3076FE3C" w:rsidR="00062688" w:rsidRDefault="00B02DDB" w:rsidP="00062688">
                  <w:pPr>
                    <w:spacing w:after="0" w:line="240" w:lineRule="auto"/>
                    <w:ind w:right="284"/>
                    <w:jc w:val="right"/>
                  </w:pPr>
                  <w:r>
                    <w:rPr>
                      <w:rFonts w:eastAsia="Arial"/>
                      <w:b/>
                      <w:color w:val="000000"/>
                    </w:rPr>
                    <w:t>3</w:t>
                  </w:r>
                  <w:r w:rsidR="00B43392">
                    <w:rPr>
                      <w:rFonts w:eastAsia="Arial"/>
                      <w:b/>
                      <w:color w:val="000000"/>
                    </w:rPr>
                    <w:t>4</w:t>
                  </w:r>
                </w:p>
              </w:tc>
              <w:tc>
                <w:tcPr>
                  <w:tcW w:w="992" w:type="dxa"/>
                  <w:vAlign w:val="center"/>
                </w:tcPr>
                <w:p w14:paraId="51453F12" w14:textId="1529A821" w:rsidR="00062688" w:rsidRDefault="00B02DDB" w:rsidP="00062688">
                  <w:pPr>
                    <w:spacing w:after="0" w:line="240" w:lineRule="auto"/>
                    <w:ind w:right="284"/>
                    <w:jc w:val="right"/>
                  </w:pPr>
                  <w:r>
                    <w:rPr>
                      <w:rFonts w:eastAsia="Arial"/>
                      <w:b/>
                      <w:color w:val="000000"/>
                    </w:rPr>
                    <w:t>18.</w:t>
                  </w:r>
                  <w:r w:rsidR="00B43392">
                    <w:rPr>
                      <w:rFonts w:eastAsia="Arial"/>
                      <w:b/>
                      <w:color w:val="000000"/>
                    </w:rPr>
                    <w:t>0</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6B4A6825" w:rsidR="00062688" w:rsidRDefault="00B02DDB" w:rsidP="00062688">
                  <w:pPr>
                    <w:spacing w:after="0" w:line="240" w:lineRule="auto"/>
                    <w:ind w:right="284"/>
                    <w:jc w:val="right"/>
                  </w:pPr>
                  <w:r>
                    <w:rPr>
                      <w:rFonts w:eastAsia="Arial"/>
                      <w:color w:val="000000"/>
                    </w:rPr>
                    <w:t>2</w:t>
                  </w:r>
                  <w:r w:rsidR="00787877">
                    <w:rPr>
                      <w:rFonts w:eastAsia="Arial"/>
                      <w:color w:val="000000"/>
                    </w:rPr>
                    <w:t>3</w:t>
                  </w:r>
                </w:p>
              </w:tc>
              <w:tc>
                <w:tcPr>
                  <w:tcW w:w="992" w:type="dxa"/>
                  <w:vAlign w:val="center"/>
                </w:tcPr>
                <w:p w14:paraId="40405F2D" w14:textId="4712DC61" w:rsidR="00062688" w:rsidRDefault="00B02DDB" w:rsidP="00062688">
                  <w:pPr>
                    <w:spacing w:after="0" w:line="240" w:lineRule="auto"/>
                    <w:ind w:right="284"/>
                    <w:jc w:val="right"/>
                  </w:pPr>
                  <w:r>
                    <w:rPr>
                      <w:rFonts w:eastAsia="Arial"/>
                      <w:color w:val="000000"/>
                    </w:rPr>
                    <w:t>1</w:t>
                  </w:r>
                  <w:r w:rsidR="00B43392">
                    <w:rPr>
                      <w:rFonts w:eastAsia="Arial"/>
                      <w:color w:val="000000"/>
                    </w:rPr>
                    <w:t>2.2</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20A74FE2" w:rsidR="00062688" w:rsidRDefault="00B43392" w:rsidP="00062688">
                  <w:pPr>
                    <w:spacing w:after="0" w:line="240" w:lineRule="auto"/>
                    <w:ind w:right="284"/>
                    <w:jc w:val="right"/>
                  </w:pPr>
                  <w:r>
                    <w:rPr>
                      <w:rFonts w:eastAsia="Arial"/>
                      <w:color w:val="000000"/>
                    </w:rPr>
                    <w:t>7</w:t>
                  </w:r>
                </w:p>
              </w:tc>
              <w:tc>
                <w:tcPr>
                  <w:tcW w:w="992" w:type="dxa"/>
                  <w:vAlign w:val="center"/>
                </w:tcPr>
                <w:p w14:paraId="06228554" w14:textId="63935D2B" w:rsidR="00062688" w:rsidRDefault="00B43392" w:rsidP="00B02DDB">
                  <w:pPr>
                    <w:spacing w:after="0" w:line="240" w:lineRule="auto"/>
                    <w:ind w:right="284"/>
                    <w:jc w:val="right"/>
                  </w:pPr>
                  <w:r>
                    <w:rPr>
                      <w:rFonts w:eastAsia="Arial"/>
                      <w:color w:val="000000"/>
                    </w:rPr>
                    <w:t>3.7</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010C935E" w:rsidR="00062688" w:rsidRDefault="00B43392" w:rsidP="00062688">
                  <w:pPr>
                    <w:spacing w:after="0" w:line="240" w:lineRule="auto"/>
                    <w:ind w:right="284"/>
                    <w:jc w:val="right"/>
                  </w:pPr>
                  <w:r>
                    <w:rPr>
                      <w:rFonts w:eastAsia="Arial"/>
                      <w:color w:val="000000"/>
                    </w:rPr>
                    <w:t>1</w:t>
                  </w:r>
                </w:p>
              </w:tc>
              <w:tc>
                <w:tcPr>
                  <w:tcW w:w="992" w:type="dxa"/>
                  <w:vAlign w:val="center"/>
                </w:tcPr>
                <w:p w14:paraId="06D99A45" w14:textId="2C495CE9" w:rsidR="00062688" w:rsidRDefault="00787877" w:rsidP="00062688">
                  <w:pPr>
                    <w:spacing w:after="0" w:line="240" w:lineRule="auto"/>
                    <w:ind w:right="284"/>
                    <w:jc w:val="right"/>
                  </w:pPr>
                  <w:r>
                    <w:rPr>
                      <w:rFonts w:eastAsia="Arial"/>
                      <w:color w:val="000000"/>
                    </w:rPr>
                    <w:t>0</w:t>
                  </w:r>
                  <w:r w:rsidR="00B02DDB">
                    <w:rPr>
                      <w:rFonts w:eastAsia="Arial"/>
                      <w:color w:val="000000"/>
                    </w:rPr>
                    <w:t>.</w:t>
                  </w:r>
                  <w:r w:rsidR="00B43392">
                    <w:rPr>
                      <w:rFonts w:eastAsia="Arial"/>
                      <w:color w:val="000000"/>
                    </w:rPr>
                    <w:t>5</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5831F33F" w:rsidR="00062688" w:rsidRDefault="00787877" w:rsidP="00062688">
                  <w:pPr>
                    <w:spacing w:after="0" w:line="240" w:lineRule="auto"/>
                    <w:ind w:right="284"/>
                    <w:jc w:val="right"/>
                  </w:pPr>
                  <w:r>
                    <w:rPr>
                      <w:rFonts w:eastAsia="Arial"/>
                      <w:color w:val="000000"/>
                    </w:rPr>
                    <w:t>1</w:t>
                  </w:r>
                </w:p>
              </w:tc>
              <w:tc>
                <w:tcPr>
                  <w:tcW w:w="992" w:type="dxa"/>
                  <w:vAlign w:val="center"/>
                </w:tcPr>
                <w:p w14:paraId="6B19F151" w14:textId="23144DDF" w:rsidR="00062688" w:rsidRDefault="00787877" w:rsidP="00062688">
                  <w:pPr>
                    <w:spacing w:after="0" w:line="240" w:lineRule="auto"/>
                    <w:ind w:right="284"/>
                    <w:jc w:val="right"/>
                  </w:pPr>
                  <w:r>
                    <w:rPr>
                      <w:rFonts w:eastAsia="Arial"/>
                      <w:color w:val="000000"/>
                    </w:rPr>
                    <w:t>0.</w:t>
                  </w:r>
                  <w:r w:rsidR="00B43392">
                    <w:rPr>
                      <w:rFonts w:eastAsia="Arial"/>
                      <w:color w:val="000000"/>
                    </w:rPr>
                    <w:t>5</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381BE4C7" w:rsidR="00062688" w:rsidRDefault="00B43392" w:rsidP="00062688">
                  <w:pPr>
                    <w:spacing w:after="0" w:line="240" w:lineRule="auto"/>
                    <w:ind w:right="284"/>
                    <w:jc w:val="right"/>
                  </w:pPr>
                  <w:r>
                    <w:rPr>
                      <w:rFonts w:eastAsia="Arial"/>
                      <w:color w:val="000000"/>
                    </w:rPr>
                    <w:t>2</w:t>
                  </w:r>
                </w:p>
              </w:tc>
              <w:tc>
                <w:tcPr>
                  <w:tcW w:w="992" w:type="dxa"/>
                  <w:vAlign w:val="center"/>
                </w:tcPr>
                <w:p w14:paraId="4B2D3002" w14:textId="2C4A8258" w:rsidR="00062688" w:rsidRDefault="00B43392" w:rsidP="00062688">
                  <w:pPr>
                    <w:spacing w:after="0" w:line="240" w:lineRule="auto"/>
                    <w:ind w:right="284"/>
                    <w:jc w:val="right"/>
                  </w:pPr>
                  <w:r>
                    <w:rPr>
                      <w:rFonts w:eastAsia="Arial"/>
                      <w:color w:val="000000"/>
                    </w:rPr>
                    <w:t>1.1</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09BD357A" w:rsidR="00062688" w:rsidRDefault="00B02DDB" w:rsidP="00062688">
                  <w:pPr>
                    <w:spacing w:after="0" w:line="240" w:lineRule="auto"/>
                    <w:ind w:right="284"/>
                    <w:jc w:val="right"/>
                  </w:pPr>
                  <w:r>
                    <w:rPr>
                      <w:rFonts w:eastAsia="Arial"/>
                      <w:b/>
                      <w:color w:val="000000"/>
                    </w:rPr>
                    <w:t>1</w:t>
                  </w:r>
                  <w:r w:rsidR="00B43392">
                    <w:rPr>
                      <w:rFonts w:eastAsia="Arial"/>
                      <w:b/>
                      <w:color w:val="000000"/>
                    </w:rPr>
                    <w:t>89</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7257ED82" w:rsidR="00062688" w:rsidRDefault="00787877" w:rsidP="00062688">
                  <w:pPr>
                    <w:spacing w:after="0" w:line="240" w:lineRule="auto"/>
                    <w:ind w:right="284"/>
                    <w:jc w:val="right"/>
                  </w:pPr>
                  <w:r>
                    <w:rPr>
                      <w:rFonts w:eastAsia="Arial"/>
                      <w:b/>
                      <w:color w:val="000000"/>
                    </w:rPr>
                    <w:t>2</w:t>
                  </w:r>
                  <w:r w:rsidR="00B43392">
                    <w:rPr>
                      <w:rFonts w:eastAsia="Arial"/>
                      <w:b/>
                      <w:color w:val="000000"/>
                    </w:rPr>
                    <w:t>2</w:t>
                  </w:r>
                </w:p>
              </w:tc>
              <w:tc>
                <w:tcPr>
                  <w:tcW w:w="992" w:type="dxa"/>
                  <w:vAlign w:val="center"/>
                </w:tcPr>
                <w:p w14:paraId="5EC9FB22" w14:textId="2AE336E4" w:rsidR="00062688" w:rsidRDefault="00B43392" w:rsidP="00D63C1B">
                  <w:pPr>
                    <w:spacing w:after="0" w:line="240" w:lineRule="auto"/>
                    <w:ind w:right="284"/>
                    <w:jc w:val="right"/>
                  </w:pPr>
                  <w:r>
                    <w:rPr>
                      <w:rFonts w:eastAsia="Arial"/>
                      <w:b/>
                      <w:color w:val="000000"/>
                    </w:rPr>
                    <w:t>39.3</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496DD178" w:rsidR="00062688" w:rsidRPr="005C5307" w:rsidRDefault="00B02DDB" w:rsidP="00062688">
                  <w:pPr>
                    <w:spacing w:after="0" w:line="240" w:lineRule="auto"/>
                    <w:ind w:right="284"/>
                    <w:jc w:val="right"/>
                    <w:rPr>
                      <w:b/>
                    </w:rPr>
                  </w:pPr>
                  <w:r>
                    <w:rPr>
                      <w:b/>
                    </w:rPr>
                    <w:t>3</w:t>
                  </w:r>
                  <w:r w:rsidR="00B43392">
                    <w:rPr>
                      <w:b/>
                    </w:rPr>
                    <w:t>4</w:t>
                  </w:r>
                </w:p>
              </w:tc>
              <w:tc>
                <w:tcPr>
                  <w:tcW w:w="992" w:type="dxa"/>
                  <w:vAlign w:val="center"/>
                </w:tcPr>
                <w:p w14:paraId="6CCECA1C" w14:textId="4F9A985F" w:rsidR="00062688" w:rsidRDefault="00B43392" w:rsidP="00D63C1B">
                  <w:pPr>
                    <w:spacing w:after="0" w:line="240" w:lineRule="auto"/>
                    <w:ind w:right="284"/>
                    <w:jc w:val="right"/>
                  </w:pPr>
                  <w:r>
                    <w:rPr>
                      <w:rFonts w:eastAsia="Arial"/>
                      <w:b/>
                      <w:color w:val="000000"/>
                    </w:rPr>
                    <w:t>60.7</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0659832A" w:rsidR="00062688" w:rsidRDefault="00B02DDB" w:rsidP="00062688">
                  <w:pPr>
                    <w:spacing w:after="0" w:line="240" w:lineRule="auto"/>
                    <w:ind w:right="284"/>
                    <w:jc w:val="right"/>
                  </w:pPr>
                  <w:r>
                    <w:rPr>
                      <w:rFonts w:eastAsia="Arial"/>
                      <w:color w:val="000000"/>
                    </w:rPr>
                    <w:t>2</w:t>
                  </w:r>
                  <w:r w:rsidR="00787877">
                    <w:rPr>
                      <w:rFonts w:eastAsia="Arial"/>
                      <w:color w:val="000000"/>
                    </w:rPr>
                    <w:t>3</w:t>
                  </w:r>
                </w:p>
              </w:tc>
              <w:tc>
                <w:tcPr>
                  <w:tcW w:w="992" w:type="dxa"/>
                  <w:vAlign w:val="center"/>
                </w:tcPr>
                <w:p w14:paraId="73EA5D80" w14:textId="5C3B5560" w:rsidR="00062688" w:rsidRDefault="00B43392" w:rsidP="00D63C1B">
                  <w:pPr>
                    <w:spacing w:after="0" w:line="240" w:lineRule="auto"/>
                    <w:ind w:right="284"/>
                    <w:jc w:val="right"/>
                  </w:pPr>
                  <w:r>
                    <w:rPr>
                      <w:rFonts w:eastAsia="Arial"/>
                      <w:color w:val="000000"/>
                    </w:rPr>
                    <w:t>41.1</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1148BF09" w:rsidR="00062688" w:rsidRDefault="00B43392" w:rsidP="00062688">
                  <w:pPr>
                    <w:spacing w:after="0" w:line="240" w:lineRule="auto"/>
                    <w:ind w:right="284"/>
                    <w:jc w:val="right"/>
                  </w:pPr>
                  <w:r>
                    <w:rPr>
                      <w:rFonts w:eastAsia="Arial"/>
                      <w:color w:val="000000"/>
                    </w:rPr>
                    <w:t>7</w:t>
                  </w:r>
                </w:p>
              </w:tc>
              <w:tc>
                <w:tcPr>
                  <w:tcW w:w="992" w:type="dxa"/>
                  <w:vAlign w:val="center"/>
                </w:tcPr>
                <w:p w14:paraId="070C3E6A" w14:textId="0C3F5C98" w:rsidR="00062688" w:rsidRDefault="00B43392" w:rsidP="00062688">
                  <w:pPr>
                    <w:spacing w:after="0" w:line="240" w:lineRule="auto"/>
                    <w:ind w:right="284"/>
                    <w:jc w:val="right"/>
                  </w:pPr>
                  <w:r>
                    <w:rPr>
                      <w:rFonts w:eastAsia="Arial"/>
                      <w:color w:val="000000"/>
                    </w:rPr>
                    <w:t>12.5</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4C5AED80" w:rsidR="00062688" w:rsidRDefault="00B43392" w:rsidP="00062688">
                  <w:pPr>
                    <w:spacing w:after="0" w:line="240" w:lineRule="auto"/>
                    <w:ind w:right="284"/>
                    <w:jc w:val="right"/>
                  </w:pPr>
                  <w:r>
                    <w:rPr>
                      <w:rFonts w:eastAsia="Arial"/>
                      <w:color w:val="000000"/>
                    </w:rPr>
                    <w:t>1</w:t>
                  </w:r>
                </w:p>
              </w:tc>
              <w:tc>
                <w:tcPr>
                  <w:tcW w:w="992" w:type="dxa"/>
                  <w:vAlign w:val="center"/>
                </w:tcPr>
                <w:p w14:paraId="6AA5FD62" w14:textId="7C7A641B" w:rsidR="00062688" w:rsidRDefault="00B43392" w:rsidP="00D63C1B">
                  <w:pPr>
                    <w:spacing w:after="0" w:line="240" w:lineRule="auto"/>
                    <w:ind w:right="284"/>
                    <w:jc w:val="right"/>
                  </w:pPr>
                  <w:r>
                    <w:rPr>
                      <w:rFonts w:eastAsia="Arial"/>
                      <w:color w:val="000000"/>
                    </w:rPr>
                    <w:t>1.8</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1CED29A2" w:rsidR="00062688" w:rsidRDefault="00787877" w:rsidP="00062688">
                  <w:pPr>
                    <w:spacing w:after="0" w:line="240" w:lineRule="auto"/>
                    <w:ind w:right="284"/>
                    <w:jc w:val="right"/>
                  </w:pPr>
                  <w:r>
                    <w:rPr>
                      <w:rFonts w:eastAsia="Arial"/>
                      <w:color w:val="000000"/>
                    </w:rPr>
                    <w:t>1</w:t>
                  </w:r>
                </w:p>
              </w:tc>
              <w:tc>
                <w:tcPr>
                  <w:tcW w:w="992" w:type="dxa"/>
                  <w:vAlign w:val="center"/>
                </w:tcPr>
                <w:p w14:paraId="678476EC" w14:textId="2A6676AF" w:rsidR="00062688" w:rsidRDefault="00787877" w:rsidP="00062688">
                  <w:pPr>
                    <w:spacing w:after="0" w:line="240" w:lineRule="auto"/>
                    <w:ind w:right="284"/>
                    <w:jc w:val="right"/>
                  </w:pPr>
                  <w:r>
                    <w:rPr>
                      <w:rFonts w:eastAsia="Arial"/>
                      <w:color w:val="000000"/>
                    </w:rPr>
                    <w:t>1.</w:t>
                  </w:r>
                  <w:r w:rsidR="00B43392">
                    <w:rPr>
                      <w:rFonts w:eastAsia="Arial"/>
                      <w:color w:val="000000"/>
                    </w:rPr>
                    <w:t>8</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1D4FC388" w:rsidR="00062688" w:rsidRDefault="00B43392" w:rsidP="00062688">
                  <w:pPr>
                    <w:spacing w:after="0" w:line="240" w:lineRule="auto"/>
                    <w:ind w:right="284"/>
                    <w:jc w:val="right"/>
                  </w:pPr>
                  <w:r>
                    <w:rPr>
                      <w:rFonts w:eastAsia="Arial"/>
                      <w:color w:val="000000"/>
                    </w:rPr>
                    <w:t>2</w:t>
                  </w:r>
                </w:p>
              </w:tc>
              <w:tc>
                <w:tcPr>
                  <w:tcW w:w="992" w:type="dxa"/>
                  <w:vAlign w:val="center"/>
                </w:tcPr>
                <w:p w14:paraId="65F370E8" w14:textId="43271B29" w:rsidR="00062688" w:rsidRDefault="00B43392" w:rsidP="00062688">
                  <w:pPr>
                    <w:spacing w:after="0" w:line="240" w:lineRule="auto"/>
                    <w:ind w:right="284"/>
                    <w:jc w:val="right"/>
                  </w:pPr>
                  <w:r>
                    <w:rPr>
                      <w:rFonts w:eastAsia="Arial"/>
                      <w:color w:val="000000"/>
                    </w:rPr>
                    <w:t>3.6</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2760CD81" w:rsidR="00062688" w:rsidRPr="00235C12" w:rsidRDefault="00B43392" w:rsidP="00062688">
                  <w:pPr>
                    <w:spacing w:after="0" w:line="240" w:lineRule="auto"/>
                    <w:ind w:right="284"/>
                    <w:jc w:val="right"/>
                    <w:rPr>
                      <w:b/>
                    </w:rPr>
                  </w:pPr>
                  <w:r>
                    <w:rPr>
                      <w:b/>
                    </w:rPr>
                    <w:t>56</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07B7FDAA"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B43392">
              <w:rPr>
                <w:rFonts w:cs="Arial"/>
                <w:color w:val="000000"/>
                <w:szCs w:val="20"/>
                <w:lang w:val="en-AU" w:eastAsia="en-AU"/>
              </w:rPr>
              <w:t>741</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2D39F9C2"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001A22">
              <w:rPr>
                <w:rFonts w:cs="Arial"/>
                <w:color w:val="000000"/>
                <w:szCs w:val="20"/>
                <w:lang w:val="en-AU" w:eastAsia="en-AU"/>
              </w:rPr>
              <w:t>7</w:t>
            </w:r>
            <w:r w:rsidR="00B43392">
              <w:rPr>
                <w:rFonts w:cs="Arial"/>
                <w:color w:val="000000"/>
                <w:szCs w:val="20"/>
                <w:lang w:val="en-AU" w:eastAsia="en-AU"/>
              </w:rPr>
              <w:t>56</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2984D199"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B43392">
              <w:rPr>
                <w:rFonts w:cs="Arial"/>
                <w:color w:val="000000"/>
                <w:szCs w:val="20"/>
                <w:lang w:val="en-AU" w:eastAsia="en-AU"/>
              </w:rPr>
              <w:t>248</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457784F8"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B43392">
              <w:rPr>
                <w:rFonts w:cs="Arial"/>
                <w:color w:val="000000"/>
                <w:szCs w:val="20"/>
                <w:lang w:val="en-AU" w:eastAsia="en-AU"/>
              </w:rPr>
              <w:t>683</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27414A7A"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57</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4EE09B40"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0F5526A6"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r w:rsidR="00B43392">
              <w:rPr>
                <w:rFonts w:cs="Arial"/>
                <w:color w:val="000000"/>
                <w:szCs w:val="20"/>
                <w:lang w:val="en-AU" w:eastAsia="en-AU"/>
              </w:rPr>
              <w:t>09</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1160AB5F"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23</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77777777"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14:paraId="27E5DA3C" w14:textId="77777777" w:rsidR="00857D01" w:rsidRDefault="00857D01" w:rsidP="00857D01">
      <w:pPr>
        <w:spacing w:after="0"/>
        <w:ind w:right="0"/>
        <w:rPr>
          <w:rFonts w:cs="Arial"/>
        </w:rPr>
      </w:pPr>
    </w:p>
    <w:p w14:paraId="7749DB49" w14:textId="77777777" w:rsidR="00857D01" w:rsidRDefault="00857D01" w:rsidP="00594F50">
      <w:pPr>
        <w:pStyle w:val="Heading3"/>
      </w:pPr>
      <w:r w:rsidRPr="001D312A">
        <w:t>Disclaimer</w:t>
      </w:r>
    </w:p>
    <w:p w14:paraId="676E6904" w14:textId="77777777" w:rsidR="00DF75D5" w:rsidRPr="00594F50" w:rsidRDefault="00DF75D5" w:rsidP="00594F50">
      <w:pPr>
        <w:rPr>
          <w:sz w:val="18"/>
          <w:szCs w:val="18"/>
        </w:rPr>
      </w:pPr>
      <w:r w:rsidRPr="00594F50">
        <w:rPr>
          <w:sz w:val="18"/>
          <w:szCs w:val="18"/>
        </w:rPr>
        <w:t>This report should be read in conjunction with the Fair Work Commission information note for Quarterly reports</w:t>
      </w:r>
      <w:r w:rsidR="0033358F" w:rsidRPr="00594F50">
        <w:rPr>
          <w:sz w:val="18"/>
          <w:szCs w:val="18"/>
        </w:rPr>
        <w:t>.</w:t>
      </w:r>
    </w:p>
    <w:p w14:paraId="02921543" w14:textId="77777777" w:rsidR="00857D01" w:rsidRDefault="00857D01" w:rsidP="00594F50">
      <w:r w:rsidRPr="00594F50">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w:t>
      </w:r>
      <w:r w:rsidRPr="00BD1677">
        <w:t xml:space="preserve"> year, is the official statistica</w:t>
      </w:r>
      <w:r>
        <w:t>l record of tribunal activities for the financial year.</w:t>
      </w:r>
    </w:p>
    <w:p w14:paraId="5A2F1AEE" w14:textId="77777777" w:rsidR="00857D01" w:rsidRDefault="00857D01" w:rsidP="00594F50">
      <w:pPr>
        <w:pStyle w:val="Heading3"/>
      </w:pPr>
      <w:r>
        <w:t>Further information</w:t>
      </w:r>
    </w:p>
    <w:p w14:paraId="5C28F5A0" w14:textId="37EDB4D1" w:rsidR="001A43C6" w:rsidRPr="00594F50" w:rsidRDefault="001A43C6" w:rsidP="00594F50">
      <w:pPr>
        <w:rPr>
          <w:sz w:val="18"/>
          <w:szCs w:val="18"/>
        </w:rPr>
      </w:pPr>
      <w:r w:rsidRPr="00594F50">
        <w:rPr>
          <w:sz w:val="18"/>
          <w:szCs w:val="18"/>
        </w:rPr>
        <w:t xml:space="preserve">If you have an inquiry about this report please contact Noel </w:t>
      </w:r>
      <w:proofErr w:type="spellStart"/>
      <w:r w:rsidRPr="00594F50">
        <w:rPr>
          <w:sz w:val="18"/>
          <w:szCs w:val="18"/>
        </w:rPr>
        <w:t>Hanssens</w:t>
      </w:r>
      <w:proofErr w:type="spellEnd"/>
      <w:r w:rsidRPr="00594F50">
        <w:rPr>
          <w:sz w:val="18"/>
          <w:szCs w:val="18"/>
        </w:rPr>
        <w:t xml:space="preserve">, Director, Tribunal Data and Reporting by phone 03 8656 4807 or by email </w:t>
      </w:r>
      <w:hyperlink r:id="rId11" w:history="1">
        <w:r w:rsidRPr="00594F50">
          <w:rPr>
            <w:rStyle w:val="Hyperlink"/>
            <w:rFonts w:ascii="Arial" w:hAnsi="Arial" w:cs="Arial"/>
            <w:sz w:val="18"/>
            <w:szCs w:val="18"/>
          </w:rPr>
          <w:t>noel.hanssens@fwc.gov.au</w:t>
        </w:r>
      </w:hyperlink>
      <w:r w:rsidR="00594F50">
        <w:rPr>
          <w:sz w:val="18"/>
          <w:szCs w:val="18"/>
        </w:rPr>
        <w:t>.</w:t>
      </w:r>
    </w:p>
    <w:p w14:paraId="2A63DACF" w14:textId="77777777"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45F" w14:textId="77777777" w:rsidR="00A93077" w:rsidRDefault="00A93077">
      <w:r>
        <w:separator/>
      </w:r>
    </w:p>
  </w:endnote>
  <w:endnote w:type="continuationSeparator" w:id="0">
    <w:p w14:paraId="0C1F8EB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B296" w14:textId="77777777" w:rsidR="00594F50" w:rsidRDefault="0059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F50" w14:textId="77777777" w:rsidR="00A93077" w:rsidRDefault="00A93077">
      <w:r>
        <w:separator/>
      </w:r>
    </w:p>
  </w:footnote>
  <w:footnote w:type="continuationSeparator" w:id="0">
    <w:p w14:paraId="4556CC3D" w14:textId="77777777" w:rsidR="00A93077" w:rsidRDefault="00A93077">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594F50">
      <w:pPr>
        <w:tabs>
          <w:tab w:val="left" w:pos="7655"/>
        </w:tabs>
        <w:spacing w:after="0"/>
        <w:ind w:left="142" w:right="0" w:hanging="142"/>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9F4B96">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DD36" w14:textId="77777777" w:rsidR="00594F50" w:rsidRDefault="00594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94F50"/>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8787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9F4B96"/>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43392"/>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Headline"/>
    <w:next w:val="Normal"/>
    <w:qFormat/>
    <w:rsid w:val="00594F50"/>
    <w:pPr>
      <w:outlineLvl w:val="1"/>
    </w:pPr>
    <w:rPr>
      <w:rFonts w:cs="Arial"/>
      <w:color w:val="000000" w:themeColor="text1"/>
    </w:rPr>
  </w:style>
  <w:style w:type="paragraph" w:styleId="Heading3">
    <w:name w:val="heading 3"/>
    <w:basedOn w:val="Headline2"/>
    <w:next w:val="Normal"/>
    <w:qFormat/>
    <w:rsid w:val="00594F50"/>
    <w:pPr>
      <w:tabs>
        <w:tab w:val="left" w:pos="5636"/>
      </w:tabs>
      <w:ind w:right="-28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1c541ee4-6bb6-4651-b50f-6126f84c8d24"/>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DDFDE75-293D-46EF-8436-CAE8C7A1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487</Words>
  <Characters>2789</Characters>
  <Application>Microsoft Office Word</Application>
  <DocSecurity>0</DocSecurity>
  <Lines>185</Lines>
  <Paragraphs>172</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3104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unfair dismissals report Apr–Jun 2019</dc:title>
  <dc:creator>Fair Work Commission</dc:creator>
  <cp:lastModifiedBy>MCDONALD, Clare</cp:lastModifiedBy>
  <cp:revision>6</cp:revision>
  <cp:lastPrinted>2019-01-13T23:18:00Z</cp:lastPrinted>
  <dcterms:created xsi:type="dcterms:W3CDTF">2019-09-04T01:51:00Z</dcterms:created>
  <dcterms:modified xsi:type="dcterms:W3CDTF">2019-10-28T03:00:00Z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y fmtid="{D5CDD505-2E9C-101B-9397-08002B2CF9AE}" pid="3" name="MSIP_Label_b8a5034b-49f4-48cf-ae49-b0c5fd506769_Enabled">
    <vt:lpwstr>true</vt:lpwstr>
  </property>
  <property fmtid="{D5CDD505-2E9C-101B-9397-08002B2CF9AE}" pid="4" name="MSIP_Label_b8a5034b-49f4-48cf-ae49-b0c5fd506769_SetDate">
    <vt:lpwstr>2019-10-28T02:48:30Z</vt:lpwstr>
  </property>
  <property fmtid="{D5CDD505-2E9C-101B-9397-08002B2CF9AE}" pid="5" name="MSIP_Label_b8a5034b-49f4-48cf-ae49-b0c5fd506769_Method">
    <vt:lpwstr>Privileged</vt:lpwstr>
  </property>
  <property fmtid="{D5CDD505-2E9C-101B-9397-08002B2CF9AE}" pid="6" name="MSIP_Label_b8a5034b-49f4-48cf-ae49-b0c5fd506769_Name">
    <vt:lpwstr>No Content Marking</vt:lpwstr>
  </property>
  <property fmtid="{D5CDD505-2E9C-101B-9397-08002B2CF9AE}" pid="7" name="MSIP_Label_b8a5034b-49f4-48cf-ae49-b0c5fd506769_SiteId">
    <vt:lpwstr>7f039f5b-4e12-4790-af98-c9f21a9f2603</vt:lpwstr>
  </property>
  <property fmtid="{D5CDD505-2E9C-101B-9397-08002B2CF9AE}" pid="8" name="MSIP_Label_b8a5034b-49f4-48cf-ae49-b0c5fd506769_ActionId">
    <vt:lpwstr>fc9cac32-a1ad-4c4b-8089-0000ab528e03</vt:lpwstr>
  </property>
  <property fmtid="{D5CDD505-2E9C-101B-9397-08002B2CF9AE}" pid="9" name="MSIP_Label_b8a5034b-49f4-48cf-ae49-b0c5fd506769_ContentBits">
    <vt:lpwstr>0</vt:lpwstr>
  </property>
</Properties>
</file>