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bookmarkStart w:id="0" w:name="_GoBack"/>
      <w:bookmarkEnd w:id="0"/>
    </w:p>
    <w:p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E7273D">
        <w:rPr>
          <w:rFonts w:cs="Arial"/>
          <w:color w:val="000000" w:themeColor="text1"/>
        </w:rPr>
        <w:t>Apr</w:t>
      </w:r>
      <w:r w:rsidR="0055256F">
        <w:rPr>
          <w:rFonts w:cs="Arial"/>
          <w:color w:val="000000" w:themeColor="text1"/>
        </w:rPr>
        <w:t>–</w:t>
      </w:r>
      <w:r w:rsidR="00E7273D">
        <w:rPr>
          <w:rFonts w:cs="Arial"/>
          <w:color w:val="000000" w:themeColor="text1"/>
        </w:rPr>
        <w:t>Jun</w:t>
      </w:r>
      <w:r w:rsidR="00857D01" w:rsidRPr="008F0A3D">
        <w:rPr>
          <w:rFonts w:cs="Arial"/>
          <w:color w:val="000000" w:themeColor="text1"/>
        </w:rPr>
        <w:t xml:space="preserve"> 201</w:t>
      </w:r>
      <w:r w:rsidR="00062688">
        <w:rPr>
          <w:rFonts w:cs="Arial"/>
          <w:color w:val="000000" w:themeColor="text1"/>
        </w:rPr>
        <w:t>6</w:t>
      </w:r>
    </w:p>
    <w:p w:rsidR="00857D01" w:rsidRDefault="00E7273D" w:rsidP="00857D01">
      <w:pPr>
        <w:pStyle w:val="Headline2"/>
        <w:tabs>
          <w:tab w:val="left" w:pos="5636"/>
        </w:tabs>
        <w:ind w:right="-286"/>
      </w:pPr>
      <w:r>
        <w:t>4th</w:t>
      </w:r>
      <w:r w:rsidR="00C26B8D">
        <w:t xml:space="preserve"> q</w:t>
      </w:r>
      <w:r w:rsidR="007E076F">
        <w:t>uarter 201</w:t>
      </w:r>
      <w:r w:rsidR="00EA7B38">
        <w:t>5</w:t>
      </w:r>
      <w:r w:rsidR="007E076F">
        <w:t>–1</w:t>
      </w:r>
      <w:r w:rsidR="00EA7B38">
        <w:t>6</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E7273D">
        <w:rPr>
          <w:rFonts w:cs="Arial"/>
        </w:rPr>
        <w:t>April 2016</w:t>
      </w:r>
      <w:r w:rsidR="00E7273D" w:rsidRPr="00AA0EA8">
        <w:rPr>
          <w:rFonts w:cs="Arial"/>
        </w:rPr>
        <w:t xml:space="preserve"> to </w:t>
      </w:r>
      <w:r w:rsidR="00E7273D">
        <w:rPr>
          <w:rFonts w:cs="Arial"/>
        </w:rPr>
        <w:t>30</w:t>
      </w:r>
      <w:r w:rsidR="00E7273D" w:rsidRPr="00AA0EA8">
        <w:rPr>
          <w:rFonts w:cs="Arial"/>
        </w:rPr>
        <w:t xml:space="preserve"> </w:t>
      </w:r>
      <w:r w:rsidR="00E7273D">
        <w:rPr>
          <w:rFonts w:cs="Arial"/>
        </w:rPr>
        <w:t xml:space="preserve">June </w:t>
      </w:r>
      <w:r w:rsidR="007E076F" w:rsidRPr="00BD7ABF">
        <w:rPr>
          <w:rFonts w:cs="Arial"/>
        </w:rPr>
        <w:t>201</w:t>
      </w:r>
      <w:r w:rsidR="00062688">
        <w:rPr>
          <w:rFonts w:cs="Arial"/>
        </w:rPr>
        <w:t>6</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Lodgments</w:t>
            </w:r>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E7273D">
              <w:rPr>
                <w:rFonts w:cs="Arial"/>
                <w:color w:val="000000"/>
                <w:szCs w:val="20"/>
                <w:lang w:val="en-AU" w:eastAsia="en-AU"/>
              </w:rPr>
              <w:t>679</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581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2725</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706</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798</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453</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lastRenderedPageBreak/>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E7273D" w:rsidP="00062688">
                  <w:pPr>
                    <w:spacing w:after="0" w:line="240" w:lineRule="auto"/>
                    <w:ind w:right="284"/>
                    <w:jc w:val="right"/>
                  </w:pPr>
                  <w:r>
                    <w:rPr>
                      <w:rFonts w:eastAsia="Arial"/>
                      <w:b/>
                      <w:color w:val="000000"/>
                    </w:rPr>
                    <w:t>397</w:t>
                  </w:r>
                </w:p>
              </w:tc>
              <w:tc>
                <w:tcPr>
                  <w:tcW w:w="992" w:type="dxa"/>
                  <w:vAlign w:val="center"/>
                </w:tcPr>
                <w:p w:rsidR="00062688" w:rsidRDefault="00DC43D7" w:rsidP="00E7273D">
                  <w:pPr>
                    <w:spacing w:after="0" w:line="240" w:lineRule="auto"/>
                    <w:ind w:right="284"/>
                    <w:jc w:val="right"/>
                  </w:pPr>
                  <w:r>
                    <w:rPr>
                      <w:rFonts w:eastAsia="Arial"/>
                      <w:b/>
                      <w:color w:val="000000"/>
                    </w:rPr>
                    <w:t>8</w:t>
                  </w:r>
                  <w:r w:rsidR="00E7273D">
                    <w:rPr>
                      <w:rFonts w:eastAsia="Arial"/>
                      <w:b/>
                      <w:color w:val="000000"/>
                    </w:rPr>
                    <w:t>7.6</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E7273D" w:rsidP="00062688">
                  <w:pPr>
                    <w:spacing w:after="0" w:line="240" w:lineRule="auto"/>
                    <w:ind w:right="284"/>
                    <w:jc w:val="right"/>
                  </w:pPr>
                  <w:r>
                    <w:rPr>
                      <w:rFonts w:eastAsia="Arial"/>
                      <w:color w:val="000000"/>
                    </w:rPr>
                    <w:t>233</w:t>
                  </w:r>
                </w:p>
              </w:tc>
              <w:tc>
                <w:tcPr>
                  <w:tcW w:w="992" w:type="dxa"/>
                  <w:vAlign w:val="center"/>
                </w:tcPr>
                <w:p w:rsidR="00062688" w:rsidRDefault="00E7273D" w:rsidP="00062688">
                  <w:pPr>
                    <w:spacing w:after="0" w:line="240" w:lineRule="auto"/>
                    <w:ind w:right="284"/>
                    <w:jc w:val="right"/>
                  </w:pPr>
                  <w:r>
                    <w:rPr>
                      <w:rFonts w:eastAsia="Arial"/>
                      <w:color w:val="000000"/>
                    </w:rPr>
                    <w:t>51.4</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E7273D" w:rsidP="00062688">
                  <w:pPr>
                    <w:spacing w:after="0" w:line="240" w:lineRule="auto"/>
                    <w:ind w:right="284"/>
                    <w:jc w:val="right"/>
                  </w:pPr>
                  <w:r>
                    <w:rPr>
                      <w:rFonts w:eastAsia="Arial"/>
                      <w:color w:val="000000"/>
                    </w:rPr>
                    <w:t>42</w:t>
                  </w:r>
                </w:p>
              </w:tc>
              <w:tc>
                <w:tcPr>
                  <w:tcW w:w="992" w:type="dxa"/>
                  <w:vAlign w:val="center"/>
                </w:tcPr>
                <w:p w:rsidR="00062688" w:rsidRDefault="00E7273D" w:rsidP="00062688">
                  <w:pPr>
                    <w:spacing w:after="0" w:line="240" w:lineRule="auto"/>
                    <w:ind w:right="284"/>
                    <w:jc w:val="right"/>
                  </w:pPr>
                  <w:r>
                    <w:rPr>
                      <w:rFonts w:eastAsia="Arial"/>
                      <w:color w:val="000000"/>
                    </w:rPr>
                    <w:t>9.3</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E7273D" w:rsidP="00062688">
                  <w:pPr>
                    <w:spacing w:after="0" w:line="240" w:lineRule="auto"/>
                    <w:ind w:right="284"/>
                    <w:jc w:val="right"/>
                  </w:pPr>
                  <w:r>
                    <w:rPr>
                      <w:rFonts w:eastAsia="Arial"/>
                      <w:color w:val="000000"/>
                    </w:rPr>
                    <w:t>122</w:t>
                  </w:r>
                </w:p>
              </w:tc>
              <w:tc>
                <w:tcPr>
                  <w:tcW w:w="992" w:type="dxa"/>
                  <w:vAlign w:val="center"/>
                </w:tcPr>
                <w:p w:rsidR="00062688" w:rsidRDefault="00E7273D" w:rsidP="00062688">
                  <w:pPr>
                    <w:spacing w:after="0" w:line="240" w:lineRule="auto"/>
                    <w:ind w:right="284"/>
                    <w:jc w:val="right"/>
                  </w:pPr>
                  <w:r>
                    <w:rPr>
                      <w:rFonts w:eastAsia="Arial"/>
                      <w:color w:val="000000"/>
                    </w:rPr>
                    <w:t>26.9</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E7273D" w:rsidP="00062688">
                  <w:pPr>
                    <w:spacing w:after="0" w:line="240" w:lineRule="auto"/>
                    <w:ind w:right="284"/>
                    <w:jc w:val="right"/>
                  </w:pPr>
                  <w:r>
                    <w:rPr>
                      <w:rFonts w:eastAsia="Arial"/>
                      <w:b/>
                      <w:color w:val="000000"/>
                    </w:rPr>
                    <w:t>56</w:t>
                  </w:r>
                </w:p>
              </w:tc>
              <w:tc>
                <w:tcPr>
                  <w:tcW w:w="992" w:type="dxa"/>
                  <w:vAlign w:val="center"/>
                </w:tcPr>
                <w:p w:rsidR="00062688" w:rsidRDefault="00E7273D" w:rsidP="00062688">
                  <w:pPr>
                    <w:spacing w:after="0" w:line="240" w:lineRule="auto"/>
                    <w:ind w:right="284"/>
                    <w:jc w:val="right"/>
                  </w:pPr>
                  <w:r>
                    <w:rPr>
                      <w:rFonts w:eastAsia="Arial"/>
                      <w:b/>
                      <w:color w:val="000000"/>
                    </w:rPr>
                    <w:t>12.4</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E7273D" w:rsidP="00062688">
                  <w:pPr>
                    <w:spacing w:after="0" w:line="240" w:lineRule="auto"/>
                    <w:ind w:right="284"/>
                    <w:jc w:val="right"/>
                  </w:pPr>
                  <w:r>
                    <w:rPr>
                      <w:rFonts w:eastAsia="Arial"/>
                      <w:color w:val="000000"/>
                    </w:rPr>
                    <w:t>40</w:t>
                  </w:r>
                </w:p>
              </w:tc>
              <w:tc>
                <w:tcPr>
                  <w:tcW w:w="992" w:type="dxa"/>
                  <w:vAlign w:val="center"/>
                </w:tcPr>
                <w:p w:rsidR="00062688" w:rsidRDefault="00E7273D" w:rsidP="00062688">
                  <w:pPr>
                    <w:spacing w:after="0" w:line="240" w:lineRule="auto"/>
                    <w:ind w:right="284"/>
                    <w:jc w:val="right"/>
                  </w:pPr>
                  <w:r>
                    <w:rPr>
                      <w:rFonts w:eastAsia="Arial"/>
                      <w:color w:val="000000"/>
                    </w:rPr>
                    <w:t>8.8</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062688" w:rsidP="00062688">
                  <w:pPr>
                    <w:spacing w:after="0" w:line="240" w:lineRule="auto"/>
                    <w:ind w:right="284"/>
                    <w:jc w:val="right"/>
                  </w:pPr>
                  <w:r>
                    <w:rPr>
                      <w:rFonts w:eastAsia="Arial"/>
                      <w:color w:val="000000"/>
                    </w:rPr>
                    <w:t>1</w:t>
                  </w:r>
                </w:p>
              </w:tc>
              <w:tc>
                <w:tcPr>
                  <w:tcW w:w="992" w:type="dxa"/>
                  <w:vAlign w:val="center"/>
                </w:tcPr>
                <w:p w:rsidR="00062688" w:rsidRDefault="00E7273D" w:rsidP="00062688">
                  <w:pPr>
                    <w:spacing w:after="0" w:line="240" w:lineRule="auto"/>
                    <w:ind w:right="284"/>
                    <w:jc w:val="right"/>
                  </w:pPr>
                  <w:r>
                    <w:rPr>
                      <w:rFonts w:eastAsia="Arial"/>
                      <w:color w:val="000000"/>
                    </w:rPr>
                    <w:t>0.2</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062688" w:rsidP="00062688">
                  <w:pPr>
                    <w:spacing w:after="0" w:line="240" w:lineRule="auto"/>
                    <w:ind w:right="284"/>
                    <w:jc w:val="right"/>
                  </w:pPr>
                  <w:r>
                    <w:rPr>
                      <w:rFonts w:eastAsia="Arial"/>
                      <w:color w:val="000000"/>
                    </w:rPr>
                    <w:t>4</w:t>
                  </w:r>
                </w:p>
              </w:tc>
              <w:tc>
                <w:tcPr>
                  <w:tcW w:w="992" w:type="dxa"/>
                  <w:vAlign w:val="center"/>
                </w:tcPr>
                <w:p w:rsidR="00062688" w:rsidRDefault="00E7273D" w:rsidP="00062688">
                  <w:pPr>
                    <w:spacing w:after="0" w:line="240" w:lineRule="auto"/>
                    <w:ind w:right="284"/>
                    <w:jc w:val="right"/>
                  </w:pPr>
                  <w:r>
                    <w:rPr>
                      <w:rFonts w:eastAsia="Arial"/>
                      <w:color w:val="000000"/>
                    </w:rPr>
                    <w:t>0.9</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E7273D" w:rsidP="00062688">
                  <w:pPr>
                    <w:spacing w:after="0" w:line="240" w:lineRule="auto"/>
                    <w:ind w:right="284"/>
                    <w:jc w:val="right"/>
                  </w:pPr>
                  <w:r>
                    <w:rPr>
                      <w:rFonts w:eastAsia="Arial"/>
                      <w:color w:val="000000"/>
                    </w:rPr>
                    <w:t>6</w:t>
                  </w:r>
                </w:p>
              </w:tc>
              <w:tc>
                <w:tcPr>
                  <w:tcW w:w="992" w:type="dxa"/>
                  <w:vAlign w:val="center"/>
                </w:tcPr>
                <w:p w:rsidR="00062688" w:rsidRDefault="00E7273D" w:rsidP="00062688">
                  <w:pPr>
                    <w:spacing w:after="0" w:line="240" w:lineRule="auto"/>
                    <w:ind w:right="284"/>
                    <w:jc w:val="right"/>
                  </w:pPr>
                  <w:r>
                    <w:rPr>
                      <w:rFonts w:eastAsia="Arial"/>
                      <w:color w:val="000000"/>
                    </w:rPr>
                    <w:t>1.3</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E7273D" w:rsidP="00062688">
                  <w:pPr>
                    <w:spacing w:after="0" w:line="240" w:lineRule="auto"/>
                    <w:ind w:right="284"/>
                    <w:jc w:val="right"/>
                  </w:pPr>
                  <w:r>
                    <w:rPr>
                      <w:rFonts w:eastAsia="Arial"/>
                      <w:color w:val="000000"/>
                    </w:rPr>
                    <w:t>5</w:t>
                  </w:r>
                </w:p>
              </w:tc>
              <w:tc>
                <w:tcPr>
                  <w:tcW w:w="992" w:type="dxa"/>
                  <w:vAlign w:val="center"/>
                </w:tcPr>
                <w:p w:rsidR="00062688" w:rsidRDefault="00E7273D" w:rsidP="00062688">
                  <w:pPr>
                    <w:spacing w:after="0" w:line="240" w:lineRule="auto"/>
                    <w:ind w:right="284"/>
                    <w:jc w:val="right"/>
                  </w:pPr>
                  <w:r>
                    <w:rPr>
                      <w:rFonts w:eastAsia="Arial"/>
                      <w:color w:val="000000"/>
                    </w:rPr>
                    <w:t>1.1</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E7273D" w:rsidP="00062688">
                  <w:pPr>
                    <w:spacing w:after="0" w:line="240" w:lineRule="auto"/>
                    <w:ind w:right="284"/>
                    <w:jc w:val="right"/>
                  </w:pPr>
                  <w:r>
                    <w:rPr>
                      <w:rFonts w:eastAsia="Arial"/>
                      <w:b/>
                      <w:color w:val="000000"/>
                    </w:rPr>
                    <w:t>453</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E7273D" w:rsidP="00062688">
                  <w:pPr>
                    <w:spacing w:after="0" w:line="240" w:lineRule="auto"/>
                    <w:ind w:right="284"/>
                    <w:jc w:val="right"/>
                  </w:pPr>
                  <w:r>
                    <w:rPr>
                      <w:rFonts w:eastAsia="Arial"/>
                      <w:b/>
                      <w:color w:val="000000"/>
                    </w:rPr>
                    <w:t>42</w:t>
                  </w:r>
                </w:p>
              </w:tc>
              <w:tc>
                <w:tcPr>
                  <w:tcW w:w="992" w:type="dxa"/>
                  <w:vAlign w:val="center"/>
                </w:tcPr>
                <w:p w:rsidR="00062688" w:rsidRDefault="00E7273D" w:rsidP="00062688">
                  <w:pPr>
                    <w:spacing w:after="0" w:line="240" w:lineRule="auto"/>
                    <w:ind w:right="284"/>
                    <w:jc w:val="right"/>
                  </w:pPr>
                  <w:r>
                    <w:rPr>
                      <w:rFonts w:eastAsia="Arial"/>
                      <w:b/>
                      <w:color w:val="000000"/>
                    </w:rPr>
                    <w:t>42.9</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Default="00E7273D" w:rsidP="00062688">
                  <w:pPr>
                    <w:spacing w:after="0" w:line="240" w:lineRule="auto"/>
                    <w:ind w:right="284"/>
                    <w:jc w:val="right"/>
                  </w:pPr>
                  <w:r>
                    <w:rPr>
                      <w:rFonts w:eastAsia="Arial"/>
                      <w:b/>
                      <w:color w:val="000000"/>
                    </w:rPr>
                    <w:t>56</w:t>
                  </w:r>
                </w:p>
              </w:tc>
              <w:tc>
                <w:tcPr>
                  <w:tcW w:w="992" w:type="dxa"/>
                  <w:vAlign w:val="center"/>
                </w:tcPr>
                <w:p w:rsidR="00062688" w:rsidRDefault="00E7273D" w:rsidP="00062688">
                  <w:pPr>
                    <w:spacing w:after="0" w:line="240" w:lineRule="auto"/>
                    <w:ind w:right="284"/>
                    <w:jc w:val="right"/>
                  </w:pPr>
                  <w:r>
                    <w:rPr>
                      <w:rFonts w:eastAsia="Arial"/>
                      <w:b/>
                      <w:color w:val="000000"/>
                    </w:rPr>
                    <w:t>57.1</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E7273D" w:rsidP="00062688">
                  <w:pPr>
                    <w:spacing w:after="0" w:line="240" w:lineRule="auto"/>
                    <w:ind w:right="284"/>
                    <w:jc w:val="right"/>
                  </w:pPr>
                  <w:r>
                    <w:rPr>
                      <w:rFonts w:eastAsia="Arial"/>
                      <w:color w:val="000000"/>
                    </w:rPr>
                    <w:t>40</w:t>
                  </w:r>
                </w:p>
              </w:tc>
              <w:tc>
                <w:tcPr>
                  <w:tcW w:w="992" w:type="dxa"/>
                  <w:vAlign w:val="center"/>
                </w:tcPr>
                <w:p w:rsidR="00062688" w:rsidRDefault="00E7273D" w:rsidP="00062688">
                  <w:pPr>
                    <w:spacing w:after="0" w:line="240" w:lineRule="auto"/>
                    <w:ind w:right="284"/>
                    <w:jc w:val="right"/>
                  </w:pPr>
                  <w:r>
                    <w:rPr>
                      <w:rFonts w:eastAsia="Arial"/>
                      <w:color w:val="000000"/>
                    </w:rPr>
                    <w:t>40.8</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062688" w:rsidP="00062688">
                  <w:pPr>
                    <w:spacing w:after="0" w:line="240" w:lineRule="auto"/>
                    <w:ind w:right="284"/>
                    <w:jc w:val="right"/>
                  </w:pPr>
                  <w:r>
                    <w:rPr>
                      <w:rFonts w:eastAsia="Arial"/>
                      <w:color w:val="000000"/>
                    </w:rPr>
                    <w:t>1</w:t>
                  </w:r>
                </w:p>
              </w:tc>
              <w:tc>
                <w:tcPr>
                  <w:tcW w:w="992" w:type="dxa"/>
                  <w:vAlign w:val="center"/>
                </w:tcPr>
                <w:p w:rsidR="00062688" w:rsidRDefault="00E7273D" w:rsidP="00062688">
                  <w:pPr>
                    <w:spacing w:after="0" w:line="240" w:lineRule="auto"/>
                    <w:ind w:right="284"/>
                    <w:jc w:val="right"/>
                  </w:pPr>
                  <w:r>
                    <w:rPr>
                      <w:rFonts w:eastAsia="Arial"/>
                      <w:color w:val="000000"/>
                    </w:rPr>
                    <w:t>1.0</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062688" w:rsidP="00062688">
                  <w:pPr>
                    <w:spacing w:after="0" w:line="240" w:lineRule="auto"/>
                    <w:ind w:right="284"/>
                    <w:jc w:val="right"/>
                  </w:pPr>
                  <w:r>
                    <w:rPr>
                      <w:rFonts w:eastAsia="Arial"/>
                      <w:color w:val="000000"/>
                    </w:rPr>
                    <w:t>4</w:t>
                  </w:r>
                </w:p>
              </w:tc>
              <w:tc>
                <w:tcPr>
                  <w:tcW w:w="992" w:type="dxa"/>
                  <w:vAlign w:val="center"/>
                </w:tcPr>
                <w:p w:rsidR="00062688" w:rsidRDefault="00E7273D" w:rsidP="00062688">
                  <w:pPr>
                    <w:spacing w:after="0" w:line="240" w:lineRule="auto"/>
                    <w:ind w:right="284"/>
                    <w:jc w:val="right"/>
                  </w:pPr>
                  <w:r>
                    <w:rPr>
                      <w:rFonts w:eastAsia="Arial"/>
                      <w:color w:val="000000"/>
                    </w:rPr>
                    <w:t>4.1</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E7273D" w:rsidP="00062688">
                  <w:pPr>
                    <w:spacing w:after="0" w:line="240" w:lineRule="auto"/>
                    <w:ind w:right="284"/>
                    <w:jc w:val="right"/>
                  </w:pPr>
                  <w:r>
                    <w:rPr>
                      <w:rFonts w:eastAsia="Arial"/>
                      <w:color w:val="000000"/>
                    </w:rPr>
                    <w:t>6</w:t>
                  </w:r>
                </w:p>
              </w:tc>
              <w:tc>
                <w:tcPr>
                  <w:tcW w:w="992" w:type="dxa"/>
                  <w:vAlign w:val="center"/>
                </w:tcPr>
                <w:p w:rsidR="00062688" w:rsidRDefault="00E7273D" w:rsidP="00062688">
                  <w:pPr>
                    <w:spacing w:after="0" w:line="240" w:lineRule="auto"/>
                    <w:ind w:right="284"/>
                    <w:jc w:val="right"/>
                  </w:pPr>
                  <w:r>
                    <w:rPr>
                      <w:rFonts w:eastAsia="Arial"/>
                      <w:color w:val="000000"/>
                    </w:rPr>
                    <w:t>6.1</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E7273D" w:rsidP="00062688">
                  <w:pPr>
                    <w:spacing w:after="0" w:line="240" w:lineRule="auto"/>
                    <w:ind w:right="284"/>
                    <w:jc w:val="right"/>
                  </w:pPr>
                  <w:r>
                    <w:rPr>
                      <w:rFonts w:eastAsia="Arial"/>
                      <w:color w:val="000000"/>
                    </w:rPr>
                    <w:t>5</w:t>
                  </w:r>
                </w:p>
              </w:tc>
              <w:tc>
                <w:tcPr>
                  <w:tcW w:w="992" w:type="dxa"/>
                  <w:vAlign w:val="center"/>
                </w:tcPr>
                <w:p w:rsidR="00062688" w:rsidRDefault="00E7273D" w:rsidP="00062688">
                  <w:pPr>
                    <w:spacing w:after="0" w:line="240" w:lineRule="auto"/>
                    <w:ind w:right="284"/>
                    <w:jc w:val="right"/>
                  </w:pPr>
                  <w:r>
                    <w:rPr>
                      <w:rFonts w:eastAsia="Arial"/>
                      <w:color w:val="000000"/>
                    </w:rPr>
                    <w:t>5.1</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Default="00E7273D" w:rsidP="00062688">
                  <w:pPr>
                    <w:spacing w:after="0" w:line="240" w:lineRule="auto"/>
                    <w:ind w:right="284"/>
                    <w:jc w:val="right"/>
                  </w:pPr>
                  <w:r>
                    <w:rPr>
                      <w:rFonts w:eastAsia="Arial"/>
                      <w:b/>
                      <w:color w:val="000000"/>
                    </w:rPr>
                    <w:t>98</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3431</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3306</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4128</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3362</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66</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811180"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840</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19</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w:t>
            </w:r>
          </w:p>
        </w:tc>
      </w:tr>
    </w:tbl>
    <w:p w:rsidR="00857D01" w:rsidRDefault="00857D01" w:rsidP="00857D01">
      <w:pPr>
        <w:spacing w:after="0"/>
        <w:ind w:right="0"/>
        <w:rPr>
          <w:rFonts w:cs="Arial"/>
        </w:rPr>
      </w:pPr>
    </w:p>
    <w:p w:rsidR="00857D01" w:rsidRDefault="00857D01" w:rsidP="00857D01">
      <w:pPr>
        <w:spacing w:after="0"/>
        <w:ind w:right="0"/>
        <w:rPr>
          <w:rFonts w:cs="Arial"/>
        </w:rPr>
      </w:pPr>
    </w:p>
    <w:p w:rsidR="00857D01" w:rsidRDefault="00857D01" w:rsidP="00857D01">
      <w:pPr>
        <w:spacing w:after="0"/>
        <w:ind w:right="0"/>
        <w:rPr>
          <w:rFonts w:cs="Arial"/>
          <w:b/>
          <w:sz w:val="18"/>
          <w:szCs w:val="18"/>
        </w:rPr>
      </w:pPr>
    </w:p>
    <w:p w:rsidR="00857D01" w:rsidRDefault="00857D01" w:rsidP="00857D01">
      <w:pPr>
        <w:pStyle w:val="Headline3"/>
        <w:ind w:right="-2"/>
      </w:pPr>
      <w:r w:rsidRPr="001D312A">
        <w:t>Disclaimer</w:t>
      </w:r>
    </w:p>
    <w:p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rsidR="00DF75D5" w:rsidRDefault="00DF75D5" w:rsidP="00857D01">
      <w:pPr>
        <w:spacing w:after="0"/>
        <w:ind w:right="-2"/>
        <w:rPr>
          <w:rFonts w:cs="Arial"/>
          <w:sz w:val="18"/>
          <w:szCs w:val="18"/>
        </w:rPr>
      </w:pPr>
    </w:p>
    <w:p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rsidR="00857D01" w:rsidRDefault="00857D01" w:rsidP="00857D01">
      <w:pPr>
        <w:ind w:right="-2"/>
        <w:rPr>
          <w:rFonts w:cs="Arial"/>
        </w:rPr>
      </w:pPr>
    </w:p>
    <w:p w:rsidR="00857D01" w:rsidRDefault="00857D01" w:rsidP="00857D01">
      <w:pPr>
        <w:pStyle w:val="Headline3"/>
        <w:ind w:right="-2"/>
      </w:pPr>
      <w:r>
        <w:t>Further information</w:t>
      </w:r>
    </w:p>
    <w:p w:rsidR="00701831" w:rsidRDefault="00701831" w:rsidP="0070183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7273D">
        <w:rPr>
          <w:rFonts w:cs="Arial"/>
          <w:sz w:val="18"/>
          <w:szCs w:val="18"/>
        </w:rPr>
        <w:t>Elisha Warren, Manager, Media and Communications. Phone 03 8656 4848</w:t>
      </w:r>
      <w:r>
        <w:rPr>
          <w:rFonts w:cs="Arial"/>
          <w:sz w:val="18"/>
          <w:szCs w:val="18"/>
        </w:rPr>
        <w:t xml:space="preserve"> </w:t>
      </w:r>
      <w:r w:rsidRPr="009167D6">
        <w:rPr>
          <w:rFonts w:cs="Arial"/>
          <w:sz w:val="18"/>
          <w:szCs w:val="18"/>
        </w:rPr>
        <w:t>or by email</w:t>
      </w:r>
      <w:r>
        <w:rPr>
          <w:rFonts w:cs="Arial"/>
          <w:sz w:val="18"/>
          <w:szCs w:val="18"/>
        </w:rPr>
        <w:t xml:space="preserve"> </w:t>
      </w:r>
      <w:hyperlink r:id="rId12" w:history="1">
        <w:r w:rsidRPr="004E1E7C">
          <w:rPr>
            <w:rStyle w:val="Hyperlink"/>
          </w:rPr>
          <w:t>communications@fwc.gov.au</w:t>
        </w:r>
      </w:hyperlink>
      <w:r>
        <w:t xml:space="preserve"> </w:t>
      </w:r>
    </w:p>
    <w:p w:rsidR="00701831" w:rsidRPr="00701831" w:rsidRDefault="00701831" w:rsidP="00701831"/>
    <w:sectPr w:rsidR="00701831" w:rsidRPr="00701831" w:rsidSect="0055256F">
      <w:headerReference w:type="even" r:id="rId13"/>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6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D3" w:rsidRDefault="00275ED3">
      <w:r>
        <w:separator/>
      </w:r>
    </w:p>
  </w:endnote>
  <w:endnote w:type="continuationSeparator" w:id="0">
    <w:p w:rsidR="00275ED3" w:rsidRDefault="0027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732204">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732204">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55256F">
    <w:pPr>
      <w:pStyle w:val="Footer"/>
      <w:pBdr>
        <w:top w:val="single" w:sz="6" w:space="0"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732204">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732204">
      <w:rPr>
        <w:noProof/>
        <w:sz w:val="18"/>
        <w:szCs w:val="18"/>
      </w:rPr>
      <w:t>1</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D3" w:rsidRDefault="00275ED3">
      <w:r>
        <w:separator/>
      </w:r>
    </w:p>
  </w:footnote>
  <w:footnote w:type="continuationSeparator" w:id="0">
    <w:p w:rsidR="00275ED3" w:rsidRDefault="00275ED3">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r w:rsidR="0055256F">
        <w:rPr>
          <w:rFonts w:cs="Arial"/>
          <w:color w:val="000000"/>
          <w:sz w:val="16"/>
          <w:szCs w:val="16"/>
          <w:lang w:eastAsia="en-AU"/>
        </w:rPr>
        <w:br/>
      </w:r>
    </w:p>
  </w:footnote>
  <w:footnote w:id="4">
    <w:p w:rsidR="00A93077" w:rsidRPr="000B423F" w:rsidRDefault="00A93077" w:rsidP="0055256F">
      <w:pPr>
        <w:tabs>
          <w:tab w:val="left" w:pos="7655"/>
        </w:tabs>
        <w:spacing w:after="0"/>
        <w:ind w:right="0"/>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r w:rsidR="0055256F">
        <w:rPr>
          <w:rFonts w:cs="Arial"/>
          <w:color w:val="000000"/>
          <w:sz w:val="16"/>
          <w:szCs w:val="16"/>
          <w:lang w:eastAsia="en-AU"/>
        </w:rPr>
        <w:br/>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r w:rsidR="0055256F">
        <w:rPr>
          <w:sz w:val="16"/>
          <w:szCs w:val="16"/>
          <w:lang w:val="en-AU"/>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275ED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6191384B" wp14:editId="1B297EF9">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2"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21F8D540" wp14:editId="6219B3F7">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80DDB"/>
    <w:rsid w:val="00184B41"/>
    <w:rsid w:val="001974B5"/>
    <w:rsid w:val="001A062B"/>
    <w:rsid w:val="001A50A7"/>
    <w:rsid w:val="001C773E"/>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66C5"/>
    <w:rsid w:val="00243C8D"/>
    <w:rsid w:val="00246783"/>
    <w:rsid w:val="00247AD0"/>
    <w:rsid w:val="00256132"/>
    <w:rsid w:val="00261F5C"/>
    <w:rsid w:val="0026344D"/>
    <w:rsid w:val="0027332F"/>
    <w:rsid w:val="00275ED3"/>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56F"/>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90DFE"/>
    <w:rsid w:val="006925CC"/>
    <w:rsid w:val="006A280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2204"/>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71B9E"/>
    <w:rsid w:val="008764E5"/>
    <w:rsid w:val="008766C9"/>
    <w:rsid w:val="00877EBB"/>
    <w:rsid w:val="00877F9A"/>
    <w:rsid w:val="00881A72"/>
    <w:rsid w:val="00887B2B"/>
    <w:rsid w:val="00890F79"/>
    <w:rsid w:val="008A68F8"/>
    <w:rsid w:val="008B1438"/>
    <w:rsid w:val="008B34D6"/>
    <w:rsid w:val="008B60A8"/>
    <w:rsid w:val="008D23A0"/>
    <w:rsid w:val="008D32A3"/>
    <w:rsid w:val="008D428B"/>
    <w:rsid w:val="008D46D2"/>
    <w:rsid w:val="008E1150"/>
    <w:rsid w:val="008E2102"/>
    <w:rsid w:val="008E4548"/>
    <w:rsid w:val="008F0A2E"/>
    <w:rsid w:val="008F0A3D"/>
    <w:rsid w:val="008F26A5"/>
    <w:rsid w:val="008F3594"/>
    <w:rsid w:val="00915749"/>
    <w:rsid w:val="009164E6"/>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D068E"/>
    <w:rsid w:val="009D08F1"/>
    <w:rsid w:val="009D333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2F0D"/>
    <w:rsid w:val="00B41277"/>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26B8D"/>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ications@fw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CB8CEA82-9881-4F4D-B598-6C6B6D21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Unfair dismissals quarterly report Apr–Jun 2016</vt:lpstr>
    </vt:vector>
  </TitlesOfParts>
  <Company>Fair Work Australia</Company>
  <LinksUpToDate>false</LinksUpToDate>
  <CharactersWithSpaces>3267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dismissals quarterly report Apr–Jun 2016</dc:title>
  <dc:creator>Fair Work Commission</dc:creator>
  <cp:lastModifiedBy>PINE, Louise</cp:lastModifiedBy>
  <cp:revision>9</cp:revision>
  <cp:lastPrinted>2016-10-06T01:26:00Z</cp:lastPrinted>
  <dcterms:created xsi:type="dcterms:W3CDTF">2016-10-06T01:22:00Z</dcterms:created>
  <dcterms:modified xsi:type="dcterms:W3CDTF">2016-10-28T04:05:00Z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