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65499770" w:rsidR="00EE1AB6" w:rsidRPr="00A94BF9" w:rsidRDefault="00EB6401" w:rsidP="00F85D91">
      <w:pPr>
        <w:pStyle w:val="Heading1"/>
        <w:rPr>
          <w:sz w:val="42"/>
          <w:szCs w:val="42"/>
        </w:rPr>
      </w:pPr>
      <w:r w:rsidRPr="00A94BF9">
        <w:rPr>
          <w:b w:val="0"/>
          <w:caps/>
          <w:noProof/>
          <w:color w:val="4F81BD" w:themeColor="accent1"/>
          <w:sz w:val="42"/>
          <w:szCs w:val="42"/>
        </w:rPr>
        <mc:AlternateContent>
          <mc:Choice Requires="wps">
            <w:drawing>
              <wp:anchor distT="0" distB="0" distL="114300" distR="114300" simplePos="0" relativeHeight="251659264"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7C0BE" id="Straight Connector 4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A94BF9" w:rsidRPr="00A94BF9">
        <w:rPr>
          <w:sz w:val="42"/>
          <w:szCs w:val="42"/>
        </w:rPr>
        <w:t xml:space="preserve">Report to the Fair Work Ombudsman </w:t>
      </w:r>
      <w:r w:rsidR="00DC1B9C">
        <w:rPr>
          <w:sz w:val="42"/>
          <w:szCs w:val="42"/>
        </w:rPr>
        <w:t>Oct</w:t>
      </w:r>
      <w:r w:rsidR="00BF1AD9">
        <w:rPr>
          <w:sz w:val="42"/>
          <w:szCs w:val="42"/>
        </w:rPr>
        <w:t>-</w:t>
      </w:r>
      <w:r w:rsidR="00DC1B9C">
        <w:rPr>
          <w:sz w:val="42"/>
          <w:szCs w:val="42"/>
        </w:rPr>
        <w:t>Dec</w:t>
      </w:r>
      <w:r w:rsidR="00A94BF9" w:rsidRPr="00A94BF9">
        <w:rPr>
          <w:sz w:val="42"/>
          <w:szCs w:val="42"/>
        </w:rPr>
        <w:t xml:space="preserve"> </w:t>
      </w:r>
      <w:r w:rsidR="00F34387" w:rsidRPr="00A94BF9">
        <w:rPr>
          <w:sz w:val="42"/>
          <w:szCs w:val="42"/>
        </w:rPr>
        <w:t>20</w:t>
      </w:r>
      <w:r w:rsidR="005A6365" w:rsidRPr="00A94BF9">
        <w:rPr>
          <w:sz w:val="42"/>
          <w:szCs w:val="42"/>
        </w:rPr>
        <w:t>2</w:t>
      </w:r>
      <w:r w:rsidR="00AD679F">
        <w:rPr>
          <w:sz w:val="42"/>
          <w:szCs w:val="42"/>
        </w:rPr>
        <w:t>5</w:t>
      </w:r>
    </w:p>
    <w:p w14:paraId="7841D543" w14:textId="09D82E74" w:rsidR="006543C5" w:rsidRDefault="00DC1B9C" w:rsidP="006543C5">
      <w:pPr>
        <w:pStyle w:val="Headline3"/>
      </w:pPr>
      <w:r>
        <w:t>2nd</w:t>
      </w:r>
      <w:r w:rsidR="006543C5">
        <w:t xml:space="preserve"> quarter 2025-26</w:t>
      </w:r>
    </w:p>
    <w:p w14:paraId="2A4786FF" w14:textId="2D40981B" w:rsidR="00A94BF9" w:rsidRPr="00A94BF9" w:rsidRDefault="00A94BF9" w:rsidP="00A94BF9">
      <w:pPr>
        <w:autoSpaceDE w:val="0"/>
        <w:autoSpaceDN w:val="0"/>
        <w:adjustRightInd w:val="0"/>
        <w:spacing w:before="100"/>
        <w:ind w:right="-2"/>
        <w:rPr>
          <w:rFonts w:cs="Arial"/>
          <w:szCs w:val="22"/>
        </w:rPr>
      </w:pPr>
      <w:r w:rsidRPr="00A94BF9">
        <w:rPr>
          <w:rFonts w:cs="Arial"/>
          <w:szCs w:val="22"/>
        </w:rPr>
        <w:t xml:space="preserve">The President of the Fair Work Commission is required under s.654 of the </w:t>
      </w:r>
      <w:hyperlink r:id="rId11" w:history="1">
        <w:r w:rsidRPr="00A94BF9">
          <w:rPr>
            <w:rStyle w:val="Links"/>
          </w:rPr>
          <w:t>Fair Work Act 2009</w:t>
        </w:r>
      </w:hyperlink>
      <w:r w:rsidRPr="00A94BF9">
        <w:rPr>
          <w:rFonts w:cs="Arial"/>
          <w:szCs w:val="22"/>
        </w:rPr>
        <w:t xml:space="preserve"> to provide certain information to the Fair Work Ombudsman</w:t>
      </w:r>
      <w:r w:rsidR="00D7269F">
        <w:rPr>
          <w:rFonts w:cs="Arial"/>
          <w:szCs w:val="22"/>
        </w:rPr>
        <w:t>.</w:t>
      </w:r>
    </w:p>
    <w:p w14:paraId="1512BCFB" w14:textId="77777777" w:rsidR="00A94BF9" w:rsidRPr="00A94BF9" w:rsidRDefault="00A94BF9" w:rsidP="00A94BF9">
      <w:pPr>
        <w:ind w:right="-2"/>
        <w:rPr>
          <w:rFonts w:cs="Arial"/>
          <w:szCs w:val="22"/>
        </w:rPr>
      </w:pPr>
      <w:r w:rsidRPr="00A94BF9">
        <w:rPr>
          <w:rFonts w:cs="Arial"/>
          <w:szCs w:val="22"/>
        </w:rPr>
        <w:t xml:space="preserve">This quarterly report is provided to the Fair Work Ombudsman in accordance with requirements detailed in Schedule 5.2 of the </w:t>
      </w:r>
      <w:hyperlink r:id="rId12" w:history="1">
        <w:r w:rsidRPr="00A94BF9">
          <w:rPr>
            <w:rStyle w:val="Links"/>
          </w:rPr>
          <w:t>Fair Work Regulations 2009</w:t>
        </w:r>
      </w:hyperlink>
      <w:r w:rsidRPr="00A94BF9">
        <w:rPr>
          <w:rFonts w:cs="Arial"/>
          <w:szCs w:val="22"/>
        </w:rPr>
        <w:t xml:space="preserve">. </w:t>
      </w:r>
    </w:p>
    <w:p w14:paraId="0AE8A295" w14:textId="3D669A29" w:rsidR="00A94BF9" w:rsidRPr="00A94BF9" w:rsidRDefault="00A94BF9" w:rsidP="00A94BF9">
      <w:pPr>
        <w:ind w:right="-2"/>
        <w:rPr>
          <w:rFonts w:cs="Arial"/>
          <w:szCs w:val="22"/>
        </w:rPr>
      </w:pPr>
      <w:r w:rsidRPr="00A94BF9">
        <w:rPr>
          <w:rFonts w:cs="Arial"/>
          <w:szCs w:val="22"/>
        </w:rPr>
        <w:t xml:space="preserve">It covers the period </w:t>
      </w:r>
      <w:r w:rsidR="00904784" w:rsidRPr="00AA0EA8">
        <w:rPr>
          <w:rFonts w:cs="Arial"/>
        </w:rPr>
        <w:t>1</w:t>
      </w:r>
      <w:r w:rsidR="00904784">
        <w:rPr>
          <w:rFonts w:cs="Arial"/>
        </w:rPr>
        <w:t xml:space="preserve"> </w:t>
      </w:r>
      <w:r w:rsidR="00DC1B9C">
        <w:rPr>
          <w:rFonts w:cs="Arial"/>
        </w:rPr>
        <w:t>October</w:t>
      </w:r>
      <w:r w:rsidR="00904784">
        <w:rPr>
          <w:rFonts w:cs="Arial"/>
        </w:rPr>
        <w:t xml:space="preserve"> 2025</w:t>
      </w:r>
      <w:r w:rsidR="00904784" w:rsidRPr="00AA0EA8">
        <w:rPr>
          <w:rFonts w:cs="Arial"/>
        </w:rPr>
        <w:t xml:space="preserve"> to </w:t>
      </w:r>
      <w:r w:rsidR="00904784">
        <w:rPr>
          <w:rFonts w:cs="Arial"/>
        </w:rPr>
        <w:t>3</w:t>
      </w:r>
      <w:r w:rsidR="00DC1B9C">
        <w:rPr>
          <w:rFonts w:cs="Arial"/>
        </w:rPr>
        <w:t>1</w:t>
      </w:r>
      <w:r w:rsidR="00904784" w:rsidRPr="00AA0EA8">
        <w:rPr>
          <w:rFonts w:cs="Arial"/>
        </w:rPr>
        <w:t xml:space="preserve"> </w:t>
      </w:r>
      <w:r w:rsidR="00DC1B9C">
        <w:rPr>
          <w:rFonts w:cs="Arial"/>
        </w:rPr>
        <w:t>Decem</w:t>
      </w:r>
      <w:r w:rsidR="00904784">
        <w:rPr>
          <w:rFonts w:cs="Arial"/>
        </w:rPr>
        <w:t>ber 2025</w:t>
      </w:r>
      <w:r w:rsidR="00FE7173">
        <w:rPr>
          <w:rFonts w:cs="Arial"/>
          <w:szCs w:val="22"/>
        </w:rPr>
        <w:t>.</w:t>
      </w:r>
    </w:p>
    <w:p w14:paraId="05C8345A" w14:textId="6C48C2B1" w:rsidR="001D1A10" w:rsidRDefault="00A94BF9" w:rsidP="00A94BF9">
      <w:pPr>
        <w:ind w:right="-2"/>
        <w:rPr>
          <w:rFonts w:cs="Arial"/>
          <w:szCs w:val="22"/>
        </w:rPr>
      </w:pPr>
      <w:r w:rsidRPr="00A94BF9">
        <w:rPr>
          <w:rFonts w:cs="Arial"/>
          <w:szCs w:val="22"/>
        </w:rPr>
        <w:t xml:space="preserve">Applications lodged and results recorded relate to the reporting period. Results are not confined to applications lodged in this period. </w:t>
      </w:r>
    </w:p>
    <w:tbl>
      <w:tblPr>
        <w:tblW w:w="9498"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560"/>
        <w:gridCol w:w="6345"/>
        <w:gridCol w:w="1593"/>
      </w:tblGrid>
      <w:tr w:rsidR="00A94BF9" w:rsidRPr="007E4B3B" w14:paraId="417D63D1" w14:textId="77777777" w:rsidTr="007C0441">
        <w:trPr>
          <w:trHeight w:val="630"/>
          <w:tblHeader/>
        </w:trPr>
        <w:tc>
          <w:tcPr>
            <w:tcW w:w="1560" w:type="dxa"/>
            <w:tcBorders>
              <w:top w:val="nil"/>
              <w:bottom w:val="single" w:sz="4" w:space="0" w:color="auto"/>
            </w:tcBorders>
            <w:noWrap/>
            <w:hideMark/>
          </w:tcPr>
          <w:p w14:paraId="5038CC81" w14:textId="77777777" w:rsidR="00A94BF9" w:rsidRPr="00A94BF9" w:rsidRDefault="00A94BF9" w:rsidP="007C0441">
            <w:pPr>
              <w:tabs>
                <w:tab w:val="clear" w:pos="567"/>
                <w:tab w:val="clear" w:pos="1134"/>
              </w:tabs>
              <w:spacing w:after="0" w:line="240" w:lineRule="auto"/>
              <w:ind w:right="-50"/>
              <w:rPr>
                <w:rFonts w:cs="Arial"/>
                <w:b/>
                <w:bCs/>
                <w:szCs w:val="22"/>
                <w:lang w:val="en-AU" w:eastAsia="en-AU"/>
              </w:rPr>
            </w:pPr>
            <w:r w:rsidRPr="00A94BF9">
              <w:rPr>
                <w:rFonts w:cs="Arial"/>
                <w:b/>
                <w:bCs/>
                <w:szCs w:val="22"/>
                <w:lang w:val="en-AU" w:eastAsia="en-AU"/>
              </w:rPr>
              <w:t>Item</w:t>
            </w:r>
          </w:p>
        </w:tc>
        <w:tc>
          <w:tcPr>
            <w:tcW w:w="6345" w:type="dxa"/>
            <w:tcBorders>
              <w:top w:val="nil"/>
              <w:bottom w:val="single" w:sz="4" w:space="0" w:color="auto"/>
            </w:tcBorders>
            <w:hideMark/>
          </w:tcPr>
          <w:p w14:paraId="2E0A51D2" w14:textId="77777777" w:rsidR="00A94BF9" w:rsidRPr="00A94BF9" w:rsidRDefault="00A94BF9" w:rsidP="007C0441">
            <w:pPr>
              <w:tabs>
                <w:tab w:val="clear" w:pos="567"/>
                <w:tab w:val="clear" w:pos="1134"/>
              </w:tabs>
              <w:spacing w:after="0" w:line="240" w:lineRule="auto"/>
              <w:ind w:right="-50"/>
              <w:rPr>
                <w:rFonts w:cs="Arial"/>
                <w:b/>
                <w:bCs/>
                <w:szCs w:val="22"/>
                <w:lang w:val="en-AU" w:eastAsia="en-AU"/>
              </w:rPr>
            </w:pPr>
            <w:r w:rsidRPr="00A94BF9">
              <w:rPr>
                <w:rFonts w:cs="Arial"/>
                <w:b/>
                <w:bCs/>
                <w:szCs w:val="22"/>
                <w:lang w:val="en-AU" w:eastAsia="en-AU"/>
              </w:rPr>
              <w:t>Information required</w:t>
            </w:r>
          </w:p>
        </w:tc>
        <w:tc>
          <w:tcPr>
            <w:tcW w:w="1593" w:type="dxa"/>
            <w:tcBorders>
              <w:top w:val="nil"/>
              <w:bottom w:val="single" w:sz="4" w:space="0" w:color="auto"/>
            </w:tcBorders>
            <w:noWrap/>
            <w:hideMark/>
          </w:tcPr>
          <w:p w14:paraId="5CF1C0C6" w14:textId="77777777" w:rsidR="00A94BF9" w:rsidRPr="00A94BF9" w:rsidRDefault="00A94BF9" w:rsidP="007C0441">
            <w:pPr>
              <w:tabs>
                <w:tab w:val="clear" w:pos="567"/>
                <w:tab w:val="clear" w:pos="1134"/>
              </w:tabs>
              <w:spacing w:after="0" w:line="240" w:lineRule="auto"/>
              <w:ind w:left="38" w:right="314" w:hanging="5"/>
              <w:jc w:val="right"/>
              <w:rPr>
                <w:rFonts w:cs="Arial"/>
                <w:b/>
                <w:bCs/>
                <w:szCs w:val="22"/>
                <w:lang w:val="en-AU" w:eastAsia="en-AU"/>
              </w:rPr>
            </w:pPr>
            <w:r w:rsidRPr="00A94BF9">
              <w:rPr>
                <w:rFonts w:cs="Arial"/>
                <w:b/>
                <w:bCs/>
                <w:szCs w:val="22"/>
                <w:lang w:val="en-AU" w:eastAsia="en-AU"/>
              </w:rPr>
              <w:t>Number</w:t>
            </w:r>
          </w:p>
        </w:tc>
      </w:tr>
      <w:tr w:rsidR="00A94BF9" w:rsidRPr="007E4B3B" w14:paraId="73BDF97F" w14:textId="77777777" w:rsidTr="007C0441">
        <w:trPr>
          <w:trHeight w:val="799"/>
        </w:trPr>
        <w:tc>
          <w:tcPr>
            <w:tcW w:w="1560" w:type="dxa"/>
            <w:tcBorders>
              <w:top w:val="nil"/>
            </w:tcBorders>
            <w:noWrap/>
            <w:vAlign w:val="center"/>
            <w:hideMark/>
          </w:tcPr>
          <w:p w14:paraId="026B1462" w14:textId="77777777" w:rsidR="00A94BF9" w:rsidRPr="00A94BF9" w:rsidRDefault="00A94BF9" w:rsidP="007C0441">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1</w:t>
            </w:r>
          </w:p>
        </w:tc>
        <w:tc>
          <w:tcPr>
            <w:tcW w:w="6345" w:type="dxa"/>
            <w:tcBorders>
              <w:top w:val="nil"/>
            </w:tcBorders>
            <w:vAlign w:val="center"/>
            <w:hideMark/>
          </w:tcPr>
          <w:p w14:paraId="60F9A3B4" w14:textId="77777777" w:rsidR="00A94BF9" w:rsidRPr="00A94BF9" w:rsidRDefault="00A94BF9" w:rsidP="007C0441">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General protections—compliance</w:t>
            </w:r>
          </w:p>
        </w:tc>
        <w:tc>
          <w:tcPr>
            <w:tcW w:w="1593" w:type="dxa"/>
            <w:tcBorders>
              <w:top w:val="nil"/>
            </w:tcBorders>
            <w:noWrap/>
            <w:vAlign w:val="center"/>
            <w:hideMark/>
          </w:tcPr>
          <w:p w14:paraId="640A21C2" w14:textId="77777777" w:rsidR="00A94BF9" w:rsidRPr="00A94BF9" w:rsidRDefault="00A94BF9" w:rsidP="007C0441">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6621EC4F" w14:textId="77777777" w:rsidTr="007C0441">
        <w:trPr>
          <w:trHeight w:val="799"/>
        </w:trPr>
        <w:tc>
          <w:tcPr>
            <w:tcW w:w="1560" w:type="dxa"/>
            <w:noWrap/>
            <w:vAlign w:val="center"/>
            <w:hideMark/>
          </w:tcPr>
          <w:p w14:paraId="5A197E2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1.1</w:t>
            </w:r>
          </w:p>
        </w:tc>
        <w:tc>
          <w:tcPr>
            <w:tcW w:w="6345" w:type="dxa"/>
            <w:vAlign w:val="center"/>
            <w:hideMark/>
          </w:tcPr>
          <w:p w14:paraId="1F09E302" w14:textId="319923F9"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for FW</w:t>
            </w:r>
            <w:r>
              <w:rPr>
                <w:rFonts w:cs="Arial"/>
                <w:szCs w:val="22"/>
                <w:lang w:val="en-AU" w:eastAsia="en-AU"/>
              </w:rPr>
              <w:t>C</w:t>
            </w:r>
            <w:r w:rsidRPr="00A94BF9">
              <w:rPr>
                <w:rFonts w:cs="Arial"/>
                <w:szCs w:val="22"/>
                <w:lang w:val="en-AU" w:eastAsia="en-AU"/>
              </w:rPr>
              <w:t xml:space="preserve"> to deal with disputes made under s.365</w:t>
            </w:r>
          </w:p>
        </w:tc>
        <w:tc>
          <w:tcPr>
            <w:tcW w:w="1593" w:type="dxa"/>
            <w:noWrap/>
            <w:vAlign w:val="center"/>
            <w:hideMark/>
          </w:tcPr>
          <w:p w14:paraId="59567DB8" w14:textId="419745C9" w:rsidR="00D35D36" w:rsidRPr="00A94BF9" w:rsidRDefault="00FD43F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color w:val="000000"/>
                <w:szCs w:val="20"/>
                <w:lang w:val="en-AU" w:eastAsia="en-AU"/>
              </w:rPr>
              <w:t>2351</w:t>
            </w:r>
          </w:p>
        </w:tc>
      </w:tr>
      <w:tr w:rsidR="00D35D36" w:rsidRPr="007E4B3B" w14:paraId="660B3D27" w14:textId="77777777" w:rsidTr="007C0441">
        <w:trPr>
          <w:trHeight w:val="799"/>
        </w:trPr>
        <w:tc>
          <w:tcPr>
            <w:tcW w:w="1560" w:type="dxa"/>
            <w:tcBorders>
              <w:bottom w:val="single" w:sz="4" w:space="0" w:color="D9D9D9" w:themeColor="background1" w:themeShade="D9"/>
            </w:tcBorders>
            <w:noWrap/>
            <w:vAlign w:val="center"/>
            <w:hideMark/>
          </w:tcPr>
          <w:p w14:paraId="3E738531"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1.2</w:t>
            </w:r>
          </w:p>
        </w:tc>
        <w:tc>
          <w:tcPr>
            <w:tcW w:w="6345" w:type="dxa"/>
            <w:tcBorders>
              <w:bottom w:val="single" w:sz="4" w:space="0" w:color="D9D9D9" w:themeColor="background1" w:themeShade="D9"/>
            </w:tcBorders>
            <w:vAlign w:val="center"/>
            <w:hideMark/>
          </w:tcPr>
          <w:p w14:paraId="70C97141" w14:textId="086AD746"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for FW</w:t>
            </w:r>
            <w:r>
              <w:rPr>
                <w:rFonts w:cs="Arial"/>
                <w:szCs w:val="22"/>
                <w:lang w:val="en-AU" w:eastAsia="en-AU"/>
              </w:rPr>
              <w:t>C</w:t>
            </w:r>
            <w:r w:rsidRPr="00A94BF9">
              <w:rPr>
                <w:rFonts w:cs="Arial"/>
                <w:szCs w:val="22"/>
                <w:lang w:val="en-AU" w:eastAsia="en-AU"/>
              </w:rPr>
              <w:t xml:space="preserve"> to deal with disputes made under s.372</w:t>
            </w:r>
          </w:p>
        </w:tc>
        <w:tc>
          <w:tcPr>
            <w:tcW w:w="1593" w:type="dxa"/>
            <w:tcBorders>
              <w:bottom w:val="single" w:sz="4" w:space="0" w:color="D9D9D9" w:themeColor="background1" w:themeShade="D9"/>
            </w:tcBorders>
            <w:noWrap/>
            <w:vAlign w:val="center"/>
            <w:hideMark/>
          </w:tcPr>
          <w:p w14:paraId="7B0ABD40" w14:textId="39285A56" w:rsidR="00D35D36" w:rsidRPr="00A94BF9" w:rsidRDefault="00A25E55"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916FCB">
              <w:rPr>
                <w:rFonts w:cs="Arial"/>
                <w:color w:val="000000"/>
                <w:szCs w:val="20"/>
                <w:lang w:val="en-AU" w:eastAsia="en-AU"/>
              </w:rPr>
              <w:t>559</w:t>
            </w:r>
          </w:p>
        </w:tc>
      </w:tr>
      <w:tr w:rsidR="00D35D36" w:rsidRPr="007E4B3B" w14:paraId="7E99E55D" w14:textId="77777777" w:rsidTr="007C0441">
        <w:trPr>
          <w:trHeight w:val="799"/>
        </w:trPr>
        <w:tc>
          <w:tcPr>
            <w:tcW w:w="1560" w:type="dxa"/>
            <w:tcBorders>
              <w:top w:val="single" w:sz="4" w:space="0" w:color="auto"/>
            </w:tcBorders>
            <w:noWrap/>
            <w:vAlign w:val="center"/>
            <w:hideMark/>
          </w:tcPr>
          <w:p w14:paraId="5835F994"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2</w:t>
            </w:r>
          </w:p>
        </w:tc>
        <w:tc>
          <w:tcPr>
            <w:tcW w:w="6345" w:type="dxa"/>
            <w:tcBorders>
              <w:top w:val="single" w:sz="4" w:space="0" w:color="auto"/>
            </w:tcBorders>
            <w:vAlign w:val="center"/>
            <w:hideMark/>
          </w:tcPr>
          <w:p w14:paraId="29B478A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Unfair dismissal</w:t>
            </w:r>
          </w:p>
        </w:tc>
        <w:tc>
          <w:tcPr>
            <w:tcW w:w="1593" w:type="dxa"/>
            <w:tcBorders>
              <w:top w:val="single" w:sz="4" w:space="0" w:color="auto"/>
            </w:tcBorders>
            <w:noWrap/>
            <w:vAlign w:val="center"/>
            <w:hideMark/>
          </w:tcPr>
          <w:p w14:paraId="0B84BED7"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1735A4F6" w14:textId="77777777" w:rsidTr="007C0441">
        <w:trPr>
          <w:trHeight w:val="799"/>
        </w:trPr>
        <w:tc>
          <w:tcPr>
            <w:tcW w:w="1560" w:type="dxa"/>
            <w:noWrap/>
            <w:vAlign w:val="center"/>
            <w:hideMark/>
          </w:tcPr>
          <w:p w14:paraId="710127E1"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2.1</w:t>
            </w:r>
          </w:p>
        </w:tc>
        <w:tc>
          <w:tcPr>
            <w:tcW w:w="6345" w:type="dxa"/>
            <w:vAlign w:val="center"/>
            <w:hideMark/>
          </w:tcPr>
          <w:p w14:paraId="5463CFC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 xml:space="preserve">Applications for orders granting a remedy made under s.394 </w:t>
            </w:r>
          </w:p>
        </w:tc>
        <w:tc>
          <w:tcPr>
            <w:tcW w:w="1593" w:type="dxa"/>
            <w:noWrap/>
            <w:vAlign w:val="center"/>
            <w:hideMark/>
          </w:tcPr>
          <w:p w14:paraId="14262A68" w14:textId="5A4776DC" w:rsidR="00D35D36" w:rsidRPr="00A94BF9" w:rsidRDefault="0066743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bCs/>
                <w:color w:val="000000"/>
                <w:szCs w:val="20"/>
                <w:lang w:val="en-AU" w:eastAsia="en-AU"/>
              </w:rPr>
              <w:t>484</w:t>
            </w:r>
            <w:r w:rsidR="00ED5122">
              <w:rPr>
                <w:rFonts w:cs="Arial"/>
                <w:bCs/>
                <w:color w:val="000000"/>
                <w:szCs w:val="20"/>
                <w:lang w:val="en-AU" w:eastAsia="en-AU"/>
              </w:rPr>
              <w:t>1</w:t>
            </w:r>
          </w:p>
        </w:tc>
      </w:tr>
      <w:tr w:rsidR="00D35D36" w:rsidRPr="007E4B3B" w14:paraId="38D32ACD" w14:textId="77777777" w:rsidTr="007C0441">
        <w:trPr>
          <w:trHeight w:val="799"/>
        </w:trPr>
        <w:tc>
          <w:tcPr>
            <w:tcW w:w="1560" w:type="dxa"/>
            <w:noWrap/>
            <w:vAlign w:val="center"/>
            <w:hideMark/>
          </w:tcPr>
          <w:p w14:paraId="0006284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iCs/>
                <w:szCs w:val="22"/>
                <w:lang w:val="en-AU" w:eastAsia="en-AU"/>
              </w:rPr>
            </w:pPr>
            <w:r w:rsidRPr="00A94BF9">
              <w:rPr>
                <w:rFonts w:cs="Arial"/>
                <w:iCs/>
                <w:szCs w:val="22"/>
                <w:lang w:val="en-AU" w:eastAsia="en-AU"/>
              </w:rPr>
              <w:t>2.2</w:t>
            </w:r>
          </w:p>
        </w:tc>
        <w:tc>
          <w:tcPr>
            <w:tcW w:w="6345" w:type="dxa"/>
            <w:vAlign w:val="center"/>
            <w:hideMark/>
          </w:tcPr>
          <w:p w14:paraId="07447E3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iCs/>
                <w:szCs w:val="22"/>
                <w:lang w:val="en-AU" w:eastAsia="en-AU"/>
              </w:rPr>
            </w:pPr>
            <w:r w:rsidRPr="00A94BF9">
              <w:rPr>
                <w:rFonts w:cs="Arial"/>
                <w:b/>
                <w:iCs/>
                <w:szCs w:val="22"/>
                <w:lang w:val="en-AU" w:eastAsia="en-AU"/>
              </w:rPr>
              <w:t xml:space="preserve">Applications for an order granting a remedy under s.394: </w:t>
            </w:r>
          </w:p>
        </w:tc>
        <w:tc>
          <w:tcPr>
            <w:tcW w:w="1593" w:type="dxa"/>
            <w:noWrap/>
            <w:vAlign w:val="center"/>
            <w:hideMark/>
          </w:tcPr>
          <w:p w14:paraId="69A9F970"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i/>
                <w:iCs/>
                <w:szCs w:val="22"/>
                <w:lang w:val="en-AU" w:eastAsia="en-AU"/>
              </w:rPr>
            </w:pPr>
          </w:p>
        </w:tc>
      </w:tr>
      <w:tr w:rsidR="00D35D36" w:rsidRPr="007E4B3B" w14:paraId="17CF2C8A" w14:textId="77777777" w:rsidTr="007C0441">
        <w:trPr>
          <w:trHeight w:val="799"/>
        </w:trPr>
        <w:tc>
          <w:tcPr>
            <w:tcW w:w="1560" w:type="dxa"/>
            <w:noWrap/>
            <w:vAlign w:val="center"/>
            <w:hideMark/>
          </w:tcPr>
          <w:p w14:paraId="181DDE6E"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w:t>
            </w:r>
          </w:p>
        </w:tc>
        <w:tc>
          <w:tcPr>
            <w:tcW w:w="6345" w:type="dxa"/>
            <w:vAlign w:val="center"/>
            <w:hideMark/>
          </w:tcPr>
          <w:p w14:paraId="4CEAE146"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in relation to which the dismissal was found to be unfair</w:t>
            </w:r>
          </w:p>
        </w:tc>
        <w:tc>
          <w:tcPr>
            <w:tcW w:w="1593" w:type="dxa"/>
            <w:noWrap/>
            <w:vAlign w:val="center"/>
            <w:hideMark/>
          </w:tcPr>
          <w:p w14:paraId="69D126EC" w14:textId="076814A2" w:rsidR="00D35D36" w:rsidRPr="00A94BF9" w:rsidRDefault="00CF069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6743F">
              <w:rPr>
                <w:rFonts w:cs="Arial"/>
                <w:color w:val="000000"/>
                <w:szCs w:val="20"/>
                <w:lang w:val="en-AU" w:eastAsia="en-AU"/>
              </w:rPr>
              <w:t>33</w:t>
            </w:r>
          </w:p>
        </w:tc>
      </w:tr>
      <w:tr w:rsidR="00D35D36" w:rsidRPr="007E4B3B" w14:paraId="162B8F98" w14:textId="77777777" w:rsidTr="007C0441">
        <w:trPr>
          <w:trHeight w:val="799"/>
        </w:trPr>
        <w:tc>
          <w:tcPr>
            <w:tcW w:w="1560" w:type="dxa"/>
            <w:noWrap/>
            <w:vAlign w:val="center"/>
            <w:hideMark/>
          </w:tcPr>
          <w:p w14:paraId="01EC66D4"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w:t>
            </w:r>
            <w:proofErr w:type="spellStart"/>
            <w:r w:rsidRPr="00A94BF9">
              <w:rPr>
                <w:rFonts w:cs="Arial"/>
                <w:szCs w:val="22"/>
                <w:lang w:val="en-AU" w:eastAsia="en-AU"/>
              </w:rPr>
              <w:t>i</w:t>
            </w:r>
            <w:proofErr w:type="spellEnd"/>
            <w:r w:rsidRPr="00A94BF9">
              <w:rPr>
                <w:rFonts w:cs="Arial"/>
                <w:szCs w:val="22"/>
                <w:lang w:val="en-AU" w:eastAsia="en-AU"/>
              </w:rPr>
              <w:t>)</w:t>
            </w:r>
          </w:p>
        </w:tc>
        <w:tc>
          <w:tcPr>
            <w:tcW w:w="6345" w:type="dxa"/>
            <w:vAlign w:val="center"/>
            <w:hideMark/>
          </w:tcPr>
          <w:p w14:paraId="65318B6F"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Reinstatement orders made under s.391</w:t>
            </w:r>
          </w:p>
        </w:tc>
        <w:tc>
          <w:tcPr>
            <w:tcW w:w="1593" w:type="dxa"/>
            <w:noWrap/>
            <w:vAlign w:val="center"/>
            <w:hideMark/>
          </w:tcPr>
          <w:p w14:paraId="38BF18EA" w14:textId="33BC7E06" w:rsidR="00D35D36" w:rsidRPr="00A94BF9" w:rsidRDefault="00014E1D"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6</w:t>
            </w:r>
          </w:p>
        </w:tc>
      </w:tr>
      <w:tr w:rsidR="00D35D36" w:rsidRPr="007E4B3B" w14:paraId="40A15B1A" w14:textId="77777777" w:rsidTr="007C0441">
        <w:trPr>
          <w:trHeight w:val="799"/>
        </w:trPr>
        <w:tc>
          <w:tcPr>
            <w:tcW w:w="1560" w:type="dxa"/>
            <w:noWrap/>
            <w:vAlign w:val="center"/>
            <w:hideMark/>
          </w:tcPr>
          <w:p w14:paraId="203071BE"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2.2(a)(ii)</w:t>
            </w:r>
          </w:p>
        </w:tc>
        <w:tc>
          <w:tcPr>
            <w:tcW w:w="6345" w:type="dxa"/>
            <w:vAlign w:val="center"/>
            <w:hideMark/>
          </w:tcPr>
          <w:p w14:paraId="7D88505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Orders made under s.392 for the payment of compensation to a person</w:t>
            </w:r>
          </w:p>
        </w:tc>
        <w:tc>
          <w:tcPr>
            <w:tcW w:w="1593" w:type="dxa"/>
            <w:noWrap/>
            <w:vAlign w:val="center"/>
            <w:hideMark/>
          </w:tcPr>
          <w:p w14:paraId="717F6DBA" w14:textId="7D865885" w:rsidR="00D35D36" w:rsidRPr="00A94BF9" w:rsidRDefault="00BB0F12"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6743F">
              <w:rPr>
                <w:rFonts w:cs="Arial"/>
                <w:color w:val="000000"/>
                <w:szCs w:val="20"/>
                <w:lang w:val="en-AU" w:eastAsia="en-AU"/>
              </w:rPr>
              <w:t>24</w:t>
            </w:r>
          </w:p>
        </w:tc>
      </w:tr>
      <w:tr w:rsidR="00D35D36" w:rsidRPr="007E4B3B" w14:paraId="29FEBC6E" w14:textId="77777777" w:rsidTr="007C0441">
        <w:trPr>
          <w:trHeight w:val="799"/>
        </w:trPr>
        <w:tc>
          <w:tcPr>
            <w:tcW w:w="1560" w:type="dxa"/>
            <w:noWrap/>
            <w:vAlign w:val="center"/>
            <w:hideMark/>
          </w:tcPr>
          <w:p w14:paraId="0930C8E5"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lastRenderedPageBreak/>
              <w:t>2.2(b)</w:t>
            </w:r>
          </w:p>
        </w:tc>
        <w:tc>
          <w:tcPr>
            <w:tcW w:w="6345" w:type="dxa"/>
            <w:vAlign w:val="center"/>
            <w:hideMark/>
          </w:tcPr>
          <w:p w14:paraId="2F97A181" w14:textId="30A063DC"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that related to a small business employer</w:t>
            </w:r>
            <w:r>
              <w:rPr>
                <w:rFonts w:cs="Arial"/>
                <w:szCs w:val="22"/>
                <w:lang w:val="en-AU" w:eastAsia="en-AU"/>
              </w:rPr>
              <w:t xml:space="preserve"> </w:t>
            </w:r>
            <w:r w:rsidRPr="00A94BF9">
              <w:rPr>
                <w:rStyle w:val="FootnoteReference"/>
                <w:rFonts w:cs="Arial"/>
                <w:szCs w:val="22"/>
                <w:lang w:val="en-AU" w:eastAsia="en-AU"/>
              </w:rPr>
              <w:footnoteReference w:id="1"/>
            </w:r>
          </w:p>
        </w:tc>
        <w:tc>
          <w:tcPr>
            <w:tcW w:w="1593" w:type="dxa"/>
            <w:noWrap/>
            <w:vAlign w:val="center"/>
            <w:hideMark/>
          </w:tcPr>
          <w:p w14:paraId="671BA10F" w14:textId="00E9FFEC" w:rsidR="00D35D36" w:rsidRPr="00A94BF9" w:rsidRDefault="006836E1"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5</w:t>
            </w:r>
            <w:r w:rsidR="00014E1D">
              <w:rPr>
                <w:rFonts w:cs="Arial"/>
                <w:szCs w:val="22"/>
                <w:lang w:val="en-AU" w:eastAsia="en-AU"/>
              </w:rPr>
              <w:t>56</w:t>
            </w:r>
          </w:p>
        </w:tc>
      </w:tr>
      <w:tr w:rsidR="00D35D36" w:rsidRPr="007E4B3B" w14:paraId="63B0FDEE" w14:textId="77777777" w:rsidTr="007C0441">
        <w:trPr>
          <w:trHeight w:val="799"/>
        </w:trPr>
        <w:tc>
          <w:tcPr>
            <w:tcW w:w="1560" w:type="dxa"/>
            <w:noWrap/>
            <w:vAlign w:val="center"/>
            <w:hideMark/>
          </w:tcPr>
          <w:p w14:paraId="2C8F84B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2.2(c)</w:t>
            </w:r>
          </w:p>
        </w:tc>
        <w:tc>
          <w:tcPr>
            <w:tcW w:w="6345" w:type="dxa"/>
            <w:vAlign w:val="center"/>
            <w:hideMark/>
          </w:tcPr>
          <w:p w14:paraId="18E3B95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dismissed because dismissal was found to be fair</w:t>
            </w:r>
          </w:p>
        </w:tc>
        <w:tc>
          <w:tcPr>
            <w:tcW w:w="1593" w:type="dxa"/>
            <w:noWrap/>
            <w:vAlign w:val="center"/>
            <w:hideMark/>
          </w:tcPr>
          <w:p w14:paraId="73497240" w14:textId="322749F7" w:rsidR="00D35D36" w:rsidRPr="00A94BF9" w:rsidRDefault="00014E1D"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17</w:t>
            </w:r>
          </w:p>
        </w:tc>
      </w:tr>
      <w:tr w:rsidR="00BB0F12" w:rsidRPr="007E4B3B" w14:paraId="4A5F7149" w14:textId="77777777" w:rsidTr="007C0441">
        <w:trPr>
          <w:trHeight w:val="799"/>
        </w:trPr>
        <w:tc>
          <w:tcPr>
            <w:tcW w:w="1560" w:type="dxa"/>
            <w:noWrap/>
            <w:vAlign w:val="center"/>
          </w:tcPr>
          <w:p w14:paraId="3A4C7817" w14:textId="48792E1B" w:rsidR="00BB0F12" w:rsidRPr="00A94BF9" w:rsidRDefault="00BB0F12" w:rsidP="00BB0F12">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Additional data</w:t>
            </w:r>
          </w:p>
        </w:tc>
        <w:tc>
          <w:tcPr>
            <w:tcW w:w="6345" w:type="dxa"/>
            <w:vAlign w:val="center"/>
          </w:tcPr>
          <w:p w14:paraId="22A7DC8E" w14:textId="40861832" w:rsidR="00BB0F12" w:rsidRPr="00BB0F12" w:rsidRDefault="00BB0F12" w:rsidP="00BB0F12">
            <w:pPr>
              <w:tabs>
                <w:tab w:val="clear" w:pos="567"/>
                <w:tab w:val="clear" w:pos="1134"/>
              </w:tabs>
              <w:autoSpaceDE w:val="0"/>
              <w:autoSpaceDN w:val="0"/>
              <w:adjustRightInd w:val="0"/>
              <w:spacing w:after="0" w:line="240" w:lineRule="auto"/>
              <w:ind w:right="0"/>
              <w:rPr>
                <w:rFonts w:cs="Arial"/>
                <w:i/>
                <w:iCs/>
                <w:szCs w:val="22"/>
                <w:lang w:val="en-AU" w:eastAsia="en-AU"/>
              </w:rPr>
            </w:pPr>
            <w:r w:rsidRPr="00BB0F12">
              <w:rPr>
                <w:rFonts w:cs="Arial"/>
                <w:i/>
                <w:iCs/>
                <w:szCs w:val="22"/>
                <w:lang w:val="en-AU" w:eastAsia="en-AU"/>
              </w:rPr>
              <w:t xml:space="preserve">Application dismissed under ss. 399A and 587 </w:t>
            </w:r>
            <w:r w:rsidRPr="00BB0F12">
              <w:rPr>
                <w:rStyle w:val="FootnoteReference"/>
                <w:rFonts w:cs="Arial"/>
                <w:i/>
                <w:iCs/>
                <w:szCs w:val="22"/>
                <w:lang w:val="en-AU" w:eastAsia="en-AU"/>
              </w:rPr>
              <w:footnoteReference w:id="2"/>
            </w:r>
          </w:p>
        </w:tc>
        <w:tc>
          <w:tcPr>
            <w:tcW w:w="1593" w:type="dxa"/>
            <w:noWrap/>
            <w:vAlign w:val="center"/>
          </w:tcPr>
          <w:p w14:paraId="1CC4F108" w14:textId="1F08C5C3" w:rsidR="00BB0F12" w:rsidRDefault="000039FD" w:rsidP="00BB0F12">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6743F">
              <w:rPr>
                <w:rFonts w:cs="Arial"/>
                <w:color w:val="000000"/>
                <w:szCs w:val="20"/>
                <w:lang w:val="en-AU" w:eastAsia="en-AU"/>
              </w:rPr>
              <w:t>160</w:t>
            </w:r>
          </w:p>
        </w:tc>
      </w:tr>
      <w:tr w:rsidR="00D35D36" w:rsidRPr="007E4B3B" w14:paraId="4C64A00F" w14:textId="77777777" w:rsidTr="007C0441">
        <w:trPr>
          <w:trHeight w:val="799"/>
        </w:trPr>
        <w:tc>
          <w:tcPr>
            <w:tcW w:w="1560" w:type="dxa"/>
            <w:noWrap/>
            <w:vAlign w:val="center"/>
          </w:tcPr>
          <w:p w14:paraId="180A76E5"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2.2(ca)</w:t>
            </w:r>
          </w:p>
        </w:tc>
        <w:tc>
          <w:tcPr>
            <w:tcW w:w="6345" w:type="dxa"/>
            <w:vAlign w:val="center"/>
          </w:tcPr>
          <w:p w14:paraId="647FE417"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The number of applications dismissed in a quarter under s.399A of the Act</w:t>
            </w:r>
          </w:p>
        </w:tc>
        <w:tc>
          <w:tcPr>
            <w:tcW w:w="1593" w:type="dxa"/>
            <w:noWrap/>
            <w:vAlign w:val="center"/>
          </w:tcPr>
          <w:p w14:paraId="195E2957" w14:textId="2C97B232" w:rsidR="00D35D36" w:rsidRPr="00A94BF9" w:rsidRDefault="00014E1D"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17</w:t>
            </w:r>
          </w:p>
        </w:tc>
      </w:tr>
      <w:tr w:rsidR="00D35D36" w:rsidRPr="007E4B3B" w14:paraId="0DDC5DE2" w14:textId="77777777" w:rsidTr="007C0441">
        <w:trPr>
          <w:trHeight w:val="799"/>
        </w:trPr>
        <w:tc>
          <w:tcPr>
            <w:tcW w:w="1560" w:type="dxa"/>
            <w:noWrap/>
            <w:vAlign w:val="center"/>
            <w:hideMark/>
          </w:tcPr>
          <w:p w14:paraId="4B5D34C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2.2(d)</w:t>
            </w:r>
          </w:p>
        </w:tc>
        <w:tc>
          <w:tcPr>
            <w:tcW w:w="6345" w:type="dxa"/>
            <w:vAlign w:val="center"/>
            <w:hideMark/>
          </w:tcPr>
          <w:p w14:paraId="51BF2550"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Claims dismissed because the dismissal was consistent with the Small Business Fair Dismissal Code</w:t>
            </w:r>
          </w:p>
        </w:tc>
        <w:tc>
          <w:tcPr>
            <w:tcW w:w="1593" w:type="dxa"/>
            <w:noWrap/>
            <w:vAlign w:val="center"/>
            <w:hideMark/>
          </w:tcPr>
          <w:p w14:paraId="2D075889" w14:textId="1E6BFC1A" w:rsidR="00D35D36" w:rsidRPr="00A94BF9" w:rsidRDefault="00F9510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6</w:t>
            </w:r>
          </w:p>
        </w:tc>
      </w:tr>
      <w:tr w:rsidR="00D35D36" w:rsidRPr="007E4B3B" w14:paraId="34972F17" w14:textId="77777777" w:rsidTr="007C0441">
        <w:trPr>
          <w:trHeight w:val="799"/>
        </w:trPr>
        <w:tc>
          <w:tcPr>
            <w:tcW w:w="1560" w:type="dxa"/>
            <w:noWrap/>
            <w:vAlign w:val="center"/>
            <w:hideMark/>
          </w:tcPr>
          <w:p w14:paraId="5A0A5FF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2.2(e)</w:t>
            </w:r>
          </w:p>
        </w:tc>
        <w:tc>
          <w:tcPr>
            <w:tcW w:w="6345" w:type="dxa"/>
            <w:vAlign w:val="center"/>
            <w:hideMark/>
          </w:tcPr>
          <w:p w14:paraId="5B10A820"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Claims dismissed because the dismissal was a case of genuine redundancy</w:t>
            </w:r>
          </w:p>
        </w:tc>
        <w:tc>
          <w:tcPr>
            <w:tcW w:w="1593" w:type="dxa"/>
            <w:noWrap/>
            <w:vAlign w:val="center"/>
            <w:hideMark/>
          </w:tcPr>
          <w:p w14:paraId="290EB735" w14:textId="0DFC4177" w:rsidR="00D35D36" w:rsidRPr="00A94BF9" w:rsidRDefault="00F9510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10</w:t>
            </w:r>
          </w:p>
        </w:tc>
      </w:tr>
      <w:tr w:rsidR="00D35D36" w:rsidRPr="007E4B3B" w14:paraId="0925EA03" w14:textId="77777777" w:rsidTr="007C0441">
        <w:trPr>
          <w:trHeight w:val="799"/>
        </w:trPr>
        <w:tc>
          <w:tcPr>
            <w:tcW w:w="1560" w:type="dxa"/>
            <w:noWrap/>
            <w:vAlign w:val="center"/>
            <w:hideMark/>
          </w:tcPr>
          <w:p w14:paraId="26F66018"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2.2(f)</w:t>
            </w:r>
          </w:p>
        </w:tc>
        <w:tc>
          <w:tcPr>
            <w:tcW w:w="6345" w:type="dxa"/>
            <w:vAlign w:val="center"/>
            <w:hideMark/>
          </w:tcPr>
          <w:p w14:paraId="54D15148" w14:textId="3A8EE876"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Cases dismissed for want of jurisdiction</w:t>
            </w:r>
            <w:r>
              <w:rPr>
                <w:rFonts w:cs="Arial"/>
                <w:szCs w:val="22"/>
                <w:lang w:val="en-AU" w:eastAsia="en-AU"/>
              </w:rPr>
              <w:t xml:space="preserve"> </w:t>
            </w:r>
            <w:r w:rsidRPr="00A94BF9">
              <w:rPr>
                <w:rStyle w:val="FootnoteReference"/>
                <w:rFonts w:cs="Arial"/>
                <w:szCs w:val="22"/>
                <w:lang w:val="en-AU" w:eastAsia="en-AU"/>
              </w:rPr>
              <w:footnoteReference w:id="3"/>
            </w:r>
          </w:p>
        </w:tc>
        <w:tc>
          <w:tcPr>
            <w:tcW w:w="1593" w:type="dxa"/>
            <w:noWrap/>
            <w:vAlign w:val="center"/>
            <w:hideMark/>
          </w:tcPr>
          <w:p w14:paraId="7D282BD1" w14:textId="493F0633"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w:t>
            </w:r>
            <w:r w:rsidR="00F9510F">
              <w:rPr>
                <w:rFonts w:cs="Arial"/>
                <w:szCs w:val="22"/>
                <w:lang w:val="en-AU" w:eastAsia="en-AU"/>
              </w:rPr>
              <w:t>35</w:t>
            </w:r>
          </w:p>
        </w:tc>
      </w:tr>
      <w:tr w:rsidR="00D35D36" w:rsidRPr="007E4B3B" w14:paraId="33428596" w14:textId="77777777" w:rsidTr="007C0441">
        <w:trPr>
          <w:trHeight w:val="799"/>
        </w:trPr>
        <w:tc>
          <w:tcPr>
            <w:tcW w:w="1560" w:type="dxa"/>
            <w:noWrap/>
            <w:vAlign w:val="center"/>
            <w:hideMark/>
          </w:tcPr>
          <w:p w14:paraId="0E8F3CF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2.2(g)</w:t>
            </w:r>
          </w:p>
        </w:tc>
        <w:tc>
          <w:tcPr>
            <w:tcW w:w="6345" w:type="dxa"/>
            <w:vAlign w:val="center"/>
            <w:hideMark/>
          </w:tcPr>
          <w:p w14:paraId="2821F12C" w14:textId="1778B97B"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Cases settled without a decision being made</w:t>
            </w:r>
            <w:r>
              <w:rPr>
                <w:rFonts w:cs="Arial"/>
                <w:szCs w:val="22"/>
                <w:lang w:val="en-AU" w:eastAsia="en-AU"/>
              </w:rPr>
              <w:t xml:space="preserve"> </w:t>
            </w:r>
            <w:r w:rsidRPr="00A94BF9">
              <w:rPr>
                <w:rStyle w:val="FootnoteReference"/>
                <w:rFonts w:cs="Arial"/>
                <w:szCs w:val="22"/>
                <w:lang w:val="en-AU" w:eastAsia="en-AU"/>
              </w:rPr>
              <w:footnoteReference w:id="4"/>
            </w:r>
          </w:p>
        </w:tc>
        <w:tc>
          <w:tcPr>
            <w:tcW w:w="1593" w:type="dxa"/>
            <w:noWrap/>
            <w:vAlign w:val="center"/>
            <w:hideMark/>
          </w:tcPr>
          <w:p w14:paraId="392DF5FC" w14:textId="6A422D55" w:rsidR="00D35D36" w:rsidRPr="00A94BF9" w:rsidRDefault="0094319C"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6743F">
              <w:rPr>
                <w:rFonts w:cs="Arial"/>
                <w:color w:val="000000"/>
                <w:szCs w:val="20"/>
                <w:lang w:val="en-AU" w:eastAsia="en-AU"/>
              </w:rPr>
              <w:t>4030</w:t>
            </w:r>
          </w:p>
        </w:tc>
      </w:tr>
      <w:tr w:rsidR="00D35D36" w:rsidRPr="007E4B3B" w14:paraId="7B5AFB62" w14:textId="77777777" w:rsidTr="007C0441">
        <w:trPr>
          <w:trHeight w:val="799"/>
        </w:trPr>
        <w:tc>
          <w:tcPr>
            <w:tcW w:w="1560" w:type="dxa"/>
            <w:noWrap/>
            <w:vAlign w:val="center"/>
            <w:hideMark/>
          </w:tcPr>
          <w:p w14:paraId="1A0B987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2.2(h)</w:t>
            </w:r>
          </w:p>
        </w:tc>
        <w:tc>
          <w:tcPr>
            <w:tcW w:w="6345" w:type="dxa"/>
            <w:vAlign w:val="center"/>
            <w:hideMark/>
          </w:tcPr>
          <w:p w14:paraId="49E415CB" w14:textId="0D706985"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The time from the date of the application to the date of judgment</w:t>
            </w:r>
            <w:r>
              <w:rPr>
                <w:rFonts w:cs="Arial"/>
                <w:szCs w:val="22"/>
                <w:lang w:val="en-AU" w:eastAsia="en-AU"/>
              </w:rPr>
              <w:t xml:space="preserve"> </w:t>
            </w:r>
            <w:r w:rsidRPr="00A94BF9">
              <w:rPr>
                <w:rStyle w:val="FootnoteReference"/>
                <w:rFonts w:cs="Arial"/>
                <w:szCs w:val="22"/>
                <w:lang w:val="en-AU" w:eastAsia="en-AU"/>
              </w:rPr>
              <w:footnoteReference w:id="5"/>
            </w:r>
          </w:p>
        </w:tc>
        <w:tc>
          <w:tcPr>
            <w:tcW w:w="1593" w:type="dxa"/>
            <w:noWrap/>
            <w:vAlign w:val="center"/>
            <w:hideMark/>
          </w:tcPr>
          <w:p w14:paraId="4E24F86B" w14:textId="521EA136" w:rsidR="00D35D36" w:rsidRPr="00A94BF9" w:rsidRDefault="00AD679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11</w:t>
            </w:r>
            <w:r w:rsidR="00F9510F">
              <w:rPr>
                <w:rFonts w:cs="Arial"/>
                <w:szCs w:val="22"/>
                <w:lang w:val="en-AU" w:eastAsia="en-AU"/>
              </w:rPr>
              <w:t>0.5</w:t>
            </w:r>
          </w:p>
        </w:tc>
      </w:tr>
      <w:tr w:rsidR="00D35D36" w:rsidRPr="007E4B3B" w14:paraId="5C2B135D" w14:textId="77777777" w:rsidTr="007C0441">
        <w:trPr>
          <w:trHeight w:val="799"/>
        </w:trPr>
        <w:tc>
          <w:tcPr>
            <w:tcW w:w="1560" w:type="dxa"/>
            <w:noWrap/>
            <w:vAlign w:val="center"/>
            <w:hideMark/>
          </w:tcPr>
          <w:p w14:paraId="6C6AC89F"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w:t>
            </w:r>
            <w:proofErr w:type="spellStart"/>
            <w:r w:rsidRPr="00A94BF9">
              <w:rPr>
                <w:rFonts w:cs="Arial"/>
                <w:szCs w:val="22"/>
                <w:lang w:val="en-AU" w:eastAsia="en-AU"/>
              </w:rPr>
              <w:t>i</w:t>
            </w:r>
            <w:proofErr w:type="spellEnd"/>
            <w:r w:rsidRPr="00A94BF9">
              <w:rPr>
                <w:rFonts w:cs="Arial"/>
                <w:szCs w:val="22"/>
                <w:lang w:val="en-AU" w:eastAsia="en-AU"/>
              </w:rPr>
              <w:t>) &amp; (j)</w:t>
            </w:r>
          </w:p>
        </w:tc>
        <w:tc>
          <w:tcPr>
            <w:tcW w:w="6345" w:type="dxa"/>
            <w:vAlign w:val="center"/>
            <w:hideMark/>
          </w:tcPr>
          <w:p w14:paraId="579F7CDD" w14:textId="2C8CD1E2"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Number of cases settled by the conduct of 1 or more conferences / the number of cases settled by hearing</w:t>
            </w:r>
            <w:r>
              <w:rPr>
                <w:rFonts w:cs="Arial"/>
                <w:szCs w:val="22"/>
                <w:lang w:val="en-AU" w:eastAsia="en-AU"/>
              </w:rPr>
              <w:t xml:space="preserve"> </w:t>
            </w:r>
            <w:r w:rsidRPr="00A94BF9">
              <w:rPr>
                <w:rStyle w:val="FootnoteReference"/>
                <w:rFonts w:cs="Arial"/>
                <w:szCs w:val="22"/>
                <w:lang w:val="en-AU" w:eastAsia="en-AU"/>
              </w:rPr>
              <w:footnoteReference w:id="6"/>
            </w:r>
          </w:p>
        </w:tc>
        <w:tc>
          <w:tcPr>
            <w:tcW w:w="1593" w:type="dxa"/>
            <w:noWrap/>
            <w:vAlign w:val="center"/>
            <w:hideMark/>
          </w:tcPr>
          <w:p w14:paraId="1C8602EE" w14:textId="1E4ABADA" w:rsidR="00D35D36" w:rsidRPr="00AA3D59" w:rsidRDefault="00AE2486" w:rsidP="00D35D36">
            <w:pPr>
              <w:tabs>
                <w:tab w:val="clear" w:pos="567"/>
                <w:tab w:val="clear" w:pos="1134"/>
              </w:tabs>
              <w:autoSpaceDE w:val="0"/>
              <w:autoSpaceDN w:val="0"/>
              <w:adjustRightInd w:val="0"/>
              <w:spacing w:after="0" w:line="240" w:lineRule="auto"/>
              <w:ind w:left="38" w:right="314" w:hanging="5"/>
              <w:jc w:val="right"/>
              <w:rPr>
                <w:rFonts w:cs="Arial"/>
                <w:b/>
                <w:bCs/>
                <w:szCs w:val="22"/>
                <w:lang w:val="en-AU" w:eastAsia="en-AU"/>
              </w:rPr>
            </w:pPr>
            <w:r w:rsidRPr="0066743F">
              <w:rPr>
                <w:rFonts w:cs="Arial"/>
                <w:color w:val="000000" w:themeColor="text1"/>
                <w:szCs w:val="20"/>
                <w:lang w:val="en-AU" w:eastAsia="en-AU"/>
              </w:rPr>
              <w:t>190</w:t>
            </w:r>
          </w:p>
        </w:tc>
      </w:tr>
      <w:tr w:rsidR="00D35D36" w:rsidRPr="007E4B3B" w14:paraId="5C3D3119" w14:textId="77777777" w:rsidTr="007C0441">
        <w:trPr>
          <w:trHeight w:val="799"/>
        </w:trPr>
        <w:tc>
          <w:tcPr>
            <w:tcW w:w="1560" w:type="dxa"/>
            <w:tcBorders>
              <w:top w:val="single" w:sz="4" w:space="0" w:color="auto"/>
            </w:tcBorders>
            <w:noWrap/>
            <w:vAlign w:val="center"/>
            <w:hideMark/>
          </w:tcPr>
          <w:p w14:paraId="4B976D0C"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3</w:t>
            </w:r>
          </w:p>
        </w:tc>
        <w:tc>
          <w:tcPr>
            <w:tcW w:w="6345" w:type="dxa"/>
            <w:tcBorders>
              <w:top w:val="single" w:sz="4" w:space="0" w:color="auto"/>
            </w:tcBorders>
            <w:vAlign w:val="center"/>
            <w:hideMark/>
          </w:tcPr>
          <w:p w14:paraId="0B3F550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Industrial action</w:t>
            </w:r>
          </w:p>
        </w:tc>
        <w:tc>
          <w:tcPr>
            <w:tcW w:w="1593" w:type="dxa"/>
            <w:tcBorders>
              <w:top w:val="single" w:sz="4" w:space="0" w:color="auto"/>
            </w:tcBorders>
            <w:noWrap/>
            <w:vAlign w:val="center"/>
            <w:hideMark/>
          </w:tcPr>
          <w:p w14:paraId="17ACD391"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0A6F112D" w14:textId="77777777" w:rsidTr="007C0441">
        <w:trPr>
          <w:trHeight w:val="799"/>
        </w:trPr>
        <w:tc>
          <w:tcPr>
            <w:tcW w:w="1560" w:type="dxa"/>
            <w:noWrap/>
            <w:vAlign w:val="center"/>
            <w:hideMark/>
          </w:tcPr>
          <w:p w14:paraId="32917A9A"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3.1</w:t>
            </w:r>
          </w:p>
        </w:tc>
        <w:tc>
          <w:tcPr>
            <w:tcW w:w="6345" w:type="dxa"/>
            <w:vAlign w:val="center"/>
            <w:hideMark/>
          </w:tcPr>
          <w:p w14:paraId="12193CB7"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to vary protected ballot orders made under s.447</w:t>
            </w:r>
          </w:p>
        </w:tc>
        <w:tc>
          <w:tcPr>
            <w:tcW w:w="1593" w:type="dxa"/>
            <w:noWrap/>
            <w:vAlign w:val="center"/>
            <w:hideMark/>
          </w:tcPr>
          <w:p w14:paraId="6D3AF8FE" w14:textId="773FE337" w:rsidR="00D35D36" w:rsidRPr="00A94BF9" w:rsidRDefault="0042153C"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2</w:t>
            </w:r>
          </w:p>
        </w:tc>
      </w:tr>
      <w:tr w:rsidR="00D35D36" w:rsidRPr="007E4B3B" w14:paraId="0D37CC8C" w14:textId="77777777" w:rsidTr="007C0441">
        <w:trPr>
          <w:trHeight w:val="799"/>
        </w:trPr>
        <w:tc>
          <w:tcPr>
            <w:tcW w:w="1560" w:type="dxa"/>
            <w:noWrap/>
            <w:vAlign w:val="center"/>
            <w:hideMark/>
          </w:tcPr>
          <w:p w14:paraId="61F2AA36"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lastRenderedPageBreak/>
              <w:t>3.2</w:t>
            </w:r>
          </w:p>
        </w:tc>
        <w:tc>
          <w:tcPr>
            <w:tcW w:w="6345" w:type="dxa"/>
            <w:vAlign w:val="center"/>
            <w:hideMark/>
          </w:tcPr>
          <w:p w14:paraId="3578C2A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to revoke protected ballot orders made under s.448</w:t>
            </w:r>
          </w:p>
        </w:tc>
        <w:tc>
          <w:tcPr>
            <w:tcW w:w="1593" w:type="dxa"/>
            <w:noWrap/>
            <w:vAlign w:val="center"/>
            <w:hideMark/>
          </w:tcPr>
          <w:p w14:paraId="74D0E6EB" w14:textId="32FBE514" w:rsidR="00D35D36" w:rsidRPr="00A94BF9" w:rsidRDefault="00B669ED"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7</w:t>
            </w:r>
          </w:p>
        </w:tc>
      </w:tr>
      <w:tr w:rsidR="00D35D36" w:rsidRPr="007E4B3B" w14:paraId="07A8FE08" w14:textId="77777777" w:rsidTr="007C0441">
        <w:trPr>
          <w:trHeight w:val="799"/>
        </w:trPr>
        <w:tc>
          <w:tcPr>
            <w:tcW w:w="1560" w:type="dxa"/>
            <w:noWrap/>
            <w:vAlign w:val="center"/>
            <w:hideMark/>
          </w:tcPr>
          <w:p w14:paraId="30AEBE0C"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3.3</w:t>
            </w:r>
          </w:p>
        </w:tc>
        <w:tc>
          <w:tcPr>
            <w:tcW w:w="6345" w:type="dxa"/>
            <w:vAlign w:val="center"/>
            <w:hideMark/>
          </w:tcPr>
          <w:p w14:paraId="3ABDAC20"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Applications to extend periods in which industrial action is authorised made under s.459</w:t>
            </w:r>
          </w:p>
        </w:tc>
        <w:tc>
          <w:tcPr>
            <w:tcW w:w="1593" w:type="dxa"/>
            <w:noWrap/>
            <w:vAlign w:val="center"/>
            <w:hideMark/>
          </w:tcPr>
          <w:p w14:paraId="19811255" w14:textId="21F2413D" w:rsidR="00D35D36" w:rsidRDefault="003B3B38"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r w:rsidR="00B669ED">
              <w:rPr>
                <w:rFonts w:cs="Arial"/>
                <w:color w:val="000000"/>
                <w:szCs w:val="20"/>
                <w:lang w:val="en-AU" w:eastAsia="en-AU"/>
              </w:rPr>
              <w:t>6</w:t>
            </w:r>
          </w:p>
        </w:tc>
      </w:tr>
      <w:tr w:rsidR="00D35D36" w:rsidRPr="007E4B3B" w14:paraId="23B248D1" w14:textId="77777777" w:rsidTr="007C0441">
        <w:trPr>
          <w:trHeight w:val="799"/>
        </w:trPr>
        <w:tc>
          <w:tcPr>
            <w:tcW w:w="1560" w:type="dxa"/>
            <w:noWrap/>
            <w:vAlign w:val="center"/>
            <w:hideMark/>
          </w:tcPr>
          <w:p w14:paraId="79262064"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3.4</w:t>
            </w:r>
          </w:p>
        </w:tc>
        <w:tc>
          <w:tcPr>
            <w:tcW w:w="6345" w:type="dxa"/>
            <w:vAlign w:val="center"/>
            <w:hideMark/>
          </w:tcPr>
          <w:p w14:paraId="46B591F7"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Applications for orders varying the proportion by which an employee’s payments are reduced made under s.472</w:t>
            </w:r>
          </w:p>
        </w:tc>
        <w:tc>
          <w:tcPr>
            <w:tcW w:w="1593" w:type="dxa"/>
            <w:noWrap/>
            <w:vAlign w:val="center"/>
            <w:hideMark/>
          </w:tcPr>
          <w:p w14:paraId="3EAD9177" w14:textId="3055C135" w:rsidR="00D35D36" w:rsidRDefault="00B669ED"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0</w:t>
            </w:r>
          </w:p>
        </w:tc>
      </w:tr>
      <w:tr w:rsidR="00D35D36" w:rsidRPr="007E4B3B" w14:paraId="1BC48190" w14:textId="77777777" w:rsidTr="007C0441">
        <w:trPr>
          <w:trHeight w:val="799"/>
        </w:trPr>
        <w:tc>
          <w:tcPr>
            <w:tcW w:w="1560" w:type="dxa"/>
            <w:noWrap/>
            <w:vAlign w:val="center"/>
            <w:hideMark/>
          </w:tcPr>
          <w:p w14:paraId="09A03174"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3.5</w:t>
            </w:r>
          </w:p>
        </w:tc>
        <w:tc>
          <w:tcPr>
            <w:tcW w:w="6345" w:type="dxa"/>
            <w:vAlign w:val="center"/>
            <w:hideMark/>
          </w:tcPr>
          <w:p w14:paraId="6195D31B"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Orders made under s.447 to vary a protected ballot order</w:t>
            </w:r>
          </w:p>
        </w:tc>
        <w:tc>
          <w:tcPr>
            <w:tcW w:w="1593" w:type="dxa"/>
            <w:noWrap/>
            <w:vAlign w:val="center"/>
            <w:hideMark/>
          </w:tcPr>
          <w:p w14:paraId="4BD093D7" w14:textId="31AFDEC1" w:rsidR="00D35D36" w:rsidRDefault="00681500"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D35D36" w:rsidRPr="007E4B3B" w14:paraId="19E529B5" w14:textId="77777777" w:rsidTr="007C0441">
        <w:trPr>
          <w:trHeight w:val="799"/>
        </w:trPr>
        <w:tc>
          <w:tcPr>
            <w:tcW w:w="1560" w:type="dxa"/>
            <w:tcBorders>
              <w:bottom w:val="single" w:sz="4" w:space="0" w:color="D9D9D9" w:themeColor="background1" w:themeShade="D9"/>
            </w:tcBorders>
            <w:noWrap/>
            <w:vAlign w:val="center"/>
            <w:hideMark/>
          </w:tcPr>
          <w:p w14:paraId="5CAB3EB6"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3.6</w:t>
            </w:r>
          </w:p>
        </w:tc>
        <w:tc>
          <w:tcPr>
            <w:tcW w:w="6345" w:type="dxa"/>
            <w:tcBorders>
              <w:bottom w:val="single" w:sz="4" w:space="0" w:color="D9D9D9" w:themeColor="background1" w:themeShade="D9"/>
            </w:tcBorders>
            <w:vAlign w:val="center"/>
            <w:hideMark/>
          </w:tcPr>
          <w:p w14:paraId="3091BE4F"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Orders made under s.447^ to revoke a protected ballot order</w:t>
            </w:r>
          </w:p>
        </w:tc>
        <w:tc>
          <w:tcPr>
            <w:tcW w:w="1593" w:type="dxa"/>
            <w:tcBorders>
              <w:bottom w:val="single" w:sz="4" w:space="0" w:color="D9D9D9" w:themeColor="background1" w:themeShade="D9"/>
            </w:tcBorders>
            <w:noWrap/>
            <w:vAlign w:val="center"/>
            <w:hideMark/>
          </w:tcPr>
          <w:p w14:paraId="623EAFA5" w14:textId="44A87FAA" w:rsidR="00D35D36" w:rsidRDefault="000C1B43"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p>
        </w:tc>
      </w:tr>
      <w:tr w:rsidR="00D35D36" w:rsidRPr="007E4B3B" w14:paraId="76843F71" w14:textId="77777777" w:rsidTr="007C0441">
        <w:trPr>
          <w:trHeight w:val="799"/>
        </w:trPr>
        <w:tc>
          <w:tcPr>
            <w:tcW w:w="1560" w:type="dxa"/>
            <w:tcBorders>
              <w:bottom w:val="single" w:sz="4" w:space="0" w:color="D9D9D9" w:themeColor="background1" w:themeShade="D9"/>
            </w:tcBorders>
            <w:noWrap/>
            <w:vAlign w:val="center"/>
            <w:hideMark/>
          </w:tcPr>
          <w:p w14:paraId="077DB34A"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3.7</w:t>
            </w:r>
          </w:p>
        </w:tc>
        <w:tc>
          <w:tcPr>
            <w:tcW w:w="6345" w:type="dxa"/>
            <w:tcBorders>
              <w:bottom w:val="single" w:sz="4" w:space="0" w:color="D9D9D9" w:themeColor="background1" w:themeShade="D9"/>
            </w:tcBorders>
            <w:vAlign w:val="center"/>
            <w:hideMark/>
          </w:tcPr>
          <w:p w14:paraId="7C53C9A3"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Extensions made under s.459 to extend a period in which industrial action is authorised</w:t>
            </w:r>
          </w:p>
        </w:tc>
        <w:tc>
          <w:tcPr>
            <w:tcW w:w="1593" w:type="dxa"/>
            <w:tcBorders>
              <w:bottom w:val="single" w:sz="4" w:space="0" w:color="D9D9D9" w:themeColor="background1" w:themeShade="D9"/>
            </w:tcBorders>
            <w:noWrap/>
            <w:vAlign w:val="center"/>
            <w:hideMark/>
          </w:tcPr>
          <w:p w14:paraId="356B756A" w14:textId="0F2B3930" w:rsidR="00D35D36" w:rsidRDefault="00276DF2"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w:t>
            </w:r>
            <w:r w:rsidR="00770D85">
              <w:rPr>
                <w:rFonts w:cs="Arial"/>
                <w:color w:val="000000"/>
                <w:szCs w:val="20"/>
                <w:lang w:val="en-AU" w:eastAsia="en-AU"/>
              </w:rPr>
              <w:t>4</w:t>
            </w:r>
          </w:p>
        </w:tc>
      </w:tr>
      <w:tr w:rsidR="00D35D36" w:rsidRPr="007E4B3B" w14:paraId="5CBD9578" w14:textId="77777777" w:rsidTr="007C0441">
        <w:trPr>
          <w:trHeight w:val="799"/>
        </w:trPr>
        <w:tc>
          <w:tcPr>
            <w:tcW w:w="1560" w:type="dxa"/>
            <w:tcBorders>
              <w:bottom w:val="single" w:sz="4" w:space="0" w:color="auto"/>
            </w:tcBorders>
            <w:noWrap/>
            <w:vAlign w:val="center"/>
            <w:hideMark/>
          </w:tcPr>
          <w:p w14:paraId="4A82CD62"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3.8</w:t>
            </w:r>
          </w:p>
        </w:tc>
        <w:tc>
          <w:tcPr>
            <w:tcW w:w="6345" w:type="dxa"/>
            <w:tcBorders>
              <w:bottom w:val="single" w:sz="4" w:space="0" w:color="auto"/>
            </w:tcBorders>
            <w:vAlign w:val="center"/>
            <w:hideMark/>
          </w:tcPr>
          <w:p w14:paraId="170E01D8" w14:textId="68DE5873"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sidRPr="00BD29AB">
              <w:rPr>
                <w:rFonts w:cs="Arial"/>
                <w:color w:val="000000"/>
                <w:szCs w:val="20"/>
                <w:lang w:val="en-AU" w:eastAsia="en-AU"/>
              </w:rPr>
              <w:t>Number of orders made in a quarter under s459 relating to a dispute about the operation of Part 3-4, including Number of orders in relation to which FW</w:t>
            </w:r>
            <w:r>
              <w:rPr>
                <w:rFonts w:cs="Arial"/>
                <w:color w:val="000000"/>
                <w:szCs w:val="20"/>
                <w:lang w:val="en-AU" w:eastAsia="en-AU"/>
              </w:rPr>
              <w:t>C</w:t>
            </w:r>
            <w:r w:rsidRPr="00BD29AB">
              <w:rPr>
                <w:rFonts w:cs="Arial"/>
                <w:color w:val="000000"/>
                <w:szCs w:val="20"/>
                <w:lang w:val="en-AU" w:eastAsia="en-AU"/>
              </w:rPr>
              <w:t xml:space="preserve"> dealt with the dispute on it's own initiative</w:t>
            </w:r>
          </w:p>
        </w:tc>
        <w:tc>
          <w:tcPr>
            <w:tcW w:w="1593" w:type="dxa"/>
            <w:tcBorders>
              <w:bottom w:val="single" w:sz="4" w:space="0" w:color="auto"/>
            </w:tcBorders>
            <w:noWrap/>
            <w:vAlign w:val="center"/>
            <w:hideMark/>
          </w:tcPr>
          <w:p w14:paraId="0F697BC3" w14:textId="5809A606" w:rsidR="00D35D36" w:rsidRDefault="00D35D36"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NA</w:t>
            </w:r>
          </w:p>
        </w:tc>
      </w:tr>
    </w:tbl>
    <w:p w14:paraId="701C0E2F" w14:textId="18C21E84" w:rsidR="00A94BF9" w:rsidRPr="00A94BF9" w:rsidRDefault="00A94BF9" w:rsidP="00A94BF9">
      <w:pPr>
        <w:spacing w:before="120"/>
        <w:rPr>
          <w:b/>
          <w:sz w:val="24"/>
        </w:rPr>
      </w:pPr>
      <w:r>
        <w:rPr>
          <w:b/>
          <w:sz w:val="24"/>
        </w:rPr>
        <w:br/>
      </w:r>
      <w:r w:rsidRPr="00A94BF9">
        <w:rPr>
          <w:b/>
          <w:sz w:val="24"/>
        </w:rPr>
        <w:t>Notes</w:t>
      </w:r>
    </w:p>
    <w:p w14:paraId="7F5908FF" w14:textId="77777777" w:rsidR="00A94BF9" w:rsidRDefault="00A94BF9" w:rsidP="00A94BF9">
      <w:pPr>
        <w:rPr>
          <w:i/>
        </w:rPr>
      </w:pPr>
      <w:r>
        <w:t>S</w:t>
      </w:r>
      <w:r w:rsidRPr="009167D6">
        <w:t xml:space="preserve">ections referred to above reference the </w:t>
      </w:r>
      <w:r w:rsidRPr="009167D6">
        <w:rPr>
          <w:i/>
        </w:rPr>
        <w:t>Fair Work Act 2009.</w:t>
      </w:r>
    </w:p>
    <w:p w14:paraId="15BB1C72" w14:textId="77777777" w:rsidR="00A94BF9" w:rsidRPr="006F57A1" w:rsidRDefault="00A94BF9" w:rsidP="00A94BF9">
      <w:r w:rsidRPr="006F57A1">
        <w:t xml:space="preserve">^ </w:t>
      </w:r>
      <w:r>
        <w:t>Orders to revoke a protected ballot order made under s.448</w:t>
      </w:r>
    </w:p>
    <w:p w14:paraId="463EF3FE" w14:textId="77777777" w:rsidR="00A94BF9" w:rsidRPr="00BD29AB" w:rsidRDefault="00A94BF9" w:rsidP="00A94BF9">
      <w:r w:rsidRPr="00BD29AB">
        <w:t xml:space="preserve">NA </w:t>
      </w:r>
      <w:r>
        <w:t>–</w:t>
      </w:r>
      <w:r w:rsidRPr="00BD29AB">
        <w:t xml:space="preserve"> information</w:t>
      </w:r>
      <w:r>
        <w:t xml:space="preserve"> </w:t>
      </w:r>
      <w:r w:rsidRPr="00BD29AB">
        <w:t>not applicable.</w:t>
      </w:r>
    </w:p>
    <w:p w14:paraId="7823220C" w14:textId="77777777" w:rsidR="00A94BF9" w:rsidRPr="00A94BF9" w:rsidRDefault="00A94BF9" w:rsidP="00A94BF9">
      <w:pPr>
        <w:rPr>
          <w:b/>
          <w:sz w:val="24"/>
        </w:rPr>
      </w:pPr>
      <w:r w:rsidRPr="00A94BF9">
        <w:rPr>
          <w:b/>
          <w:sz w:val="24"/>
        </w:rPr>
        <w:t>Disclaimer</w:t>
      </w:r>
    </w:p>
    <w:p w14:paraId="76DE3133" w14:textId="77777777" w:rsidR="00A94BF9" w:rsidRDefault="00A94BF9" w:rsidP="00A94BF9">
      <w:r>
        <w:t>This report should be read in conjunction with the Fair Work Commission information note for Quarterly reports.</w:t>
      </w:r>
    </w:p>
    <w:p w14:paraId="451261B2" w14:textId="77777777" w:rsidR="00A94BF9" w:rsidRDefault="00A94BF9" w:rsidP="00A94BF9">
      <w:r w:rsidRPr="009167D6">
        <w:t xml:space="preserve">In compiling this quarterly report all efforts have been made to ensure statistical accuracy, however, minor revisions in figures may occur from time to time. The Fair Work </w:t>
      </w:r>
      <w:r>
        <w:t>Commission</w:t>
      </w:r>
      <w:r w:rsidRPr="009167D6">
        <w:t xml:space="preserve"> annual report, which is tabled in the Australian Parliament each year, is the official statistical record of tribunal activities for the financial year.</w:t>
      </w:r>
    </w:p>
    <w:p w14:paraId="6D3AC05B" w14:textId="77777777" w:rsidR="00A94BF9" w:rsidRPr="00A94BF9" w:rsidRDefault="00A94BF9" w:rsidP="00A94BF9">
      <w:pPr>
        <w:rPr>
          <w:b/>
          <w:sz w:val="24"/>
        </w:rPr>
      </w:pPr>
      <w:r w:rsidRPr="00A94BF9">
        <w:rPr>
          <w:b/>
          <w:sz w:val="24"/>
        </w:rPr>
        <w:t>Further information</w:t>
      </w:r>
    </w:p>
    <w:p w14:paraId="1019BC76" w14:textId="77777777" w:rsidR="00645DBF" w:rsidRPr="00606400" w:rsidRDefault="00645DBF" w:rsidP="00645DBF">
      <w:r w:rsidRPr="009167D6">
        <w:t xml:space="preserve">If you have an inquiry about this report please </w:t>
      </w:r>
      <w:r>
        <w:t>contact the</w:t>
      </w:r>
      <w:r w:rsidRPr="0063523F">
        <w:t xml:space="preserve"> </w:t>
      </w:r>
      <w:r>
        <w:t xml:space="preserve">Government Relations team, Legal Performance &amp; Engagement Branch by email at </w:t>
      </w:r>
      <w:hyperlink r:id="rId13" w:history="1">
        <w:r w:rsidRPr="001C4D66">
          <w:rPr>
            <w:rStyle w:val="Hyperlink"/>
          </w:rPr>
          <w:t>gov.relations@fwc.gov.au</w:t>
        </w:r>
      </w:hyperlink>
      <w:r>
        <w:t xml:space="preserve">. </w:t>
      </w:r>
    </w:p>
    <w:p w14:paraId="3E61FD22" w14:textId="6B78B08B" w:rsidR="00A94BF9" w:rsidRPr="00606400" w:rsidRDefault="00A94BF9" w:rsidP="00645DBF"/>
    <w:sectPr w:rsidR="00A94BF9" w:rsidRPr="00606400" w:rsidSect="00FB4B98">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FC9" w14:textId="77777777" w:rsidR="008311CE" w:rsidRDefault="008311CE" w:rsidP="001C637A">
      <w:r>
        <w:separator/>
      </w:r>
    </w:p>
  </w:endnote>
  <w:endnote w:type="continuationSeparator" w:id="0">
    <w:p w14:paraId="1B0642C2" w14:textId="77777777" w:rsidR="008311CE" w:rsidRDefault="008311CE" w:rsidP="001C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2</w:t>
    </w:r>
    <w:r>
      <w:fldChar w:fldCharType="end"/>
    </w:r>
    <w:r w:rsidRPr="002D2B5D">
      <w:t>/</w:t>
    </w:r>
    <w:r>
      <w:fldChar w:fldCharType="begin"/>
    </w:r>
    <w:r>
      <w:instrText xml:space="preserve"> NUMPAGES </w:instrText>
    </w:r>
    <w:r>
      <w:fldChar w:fldCharType="separate"/>
    </w:r>
    <w:r w:rsidR="00A94BF9">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1</w:t>
    </w:r>
    <w:r>
      <w:fldChar w:fldCharType="end"/>
    </w:r>
    <w:r w:rsidRPr="002D2B5D">
      <w:t>/</w:t>
    </w:r>
    <w:r>
      <w:fldChar w:fldCharType="begin"/>
    </w:r>
    <w:r>
      <w:instrText xml:space="preserve"> NUMPAGES </w:instrText>
    </w:r>
    <w:r>
      <w:fldChar w:fldCharType="separate"/>
    </w:r>
    <w:r w:rsidR="00A94BF9">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B15A" w14:textId="77777777" w:rsidR="008311CE" w:rsidRDefault="008311CE" w:rsidP="001C637A">
      <w:r>
        <w:separator/>
      </w:r>
    </w:p>
  </w:footnote>
  <w:footnote w:type="continuationSeparator" w:id="0">
    <w:p w14:paraId="4F51DE26" w14:textId="77777777" w:rsidR="008311CE" w:rsidRDefault="008311CE" w:rsidP="001C637A">
      <w:r>
        <w:continuationSeparator/>
      </w:r>
    </w:p>
  </w:footnote>
  <w:footnote w:id="1">
    <w:p w14:paraId="45FFEAC0" w14:textId="61DAE2E0" w:rsidR="00D35D36" w:rsidRPr="00D51914" w:rsidRDefault="00D35D36" w:rsidP="00A94BF9">
      <w:pPr>
        <w:tabs>
          <w:tab w:val="clear" w:pos="1134"/>
          <w:tab w:val="left" w:pos="142"/>
        </w:tabs>
        <w:spacing w:after="120" w:line="240" w:lineRule="auto"/>
        <w:ind w:left="142" w:right="1559" w:hanging="142"/>
        <w:jc w:val="both"/>
        <w:rPr>
          <w:rFonts w:cs="Arial"/>
          <w:sz w:val="16"/>
          <w:szCs w:val="16"/>
          <w:lang w:val="en-AU"/>
        </w:rPr>
      </w:pPr>
      <w:r w:rsidRPr="00D51914">
        <w:rPr>
          <w:rStyle w:val="FootnoteReference"/>
          <w:rFonts w:cs="Arial"/>
          <w:sz w:val="16"/>
          <w:szCs w:val="16"/>
        </w:rPr>
        <w:footnoteRef/>
      </w:r>
      <w:r>
        <w:rPr>
          <w:sz w:val="16"/>
          <w:szCs w:val="16"/>
        </w:rPr>
        <w:tab/>
      </w:r>
      <w:r w:rsidR="00FE1A8A" w:rsidRPr="0055193A">
        <w:rPr>
          <w:rFonts w:cs="Arial"/>
          <w:color w:val="000000"/>
          <w:sz w:val="16"/>
          <w:szCs w:val="16"/>
          <w:lang w:eastAsia="en-AU"/>
        </w:rPr>
        <w:t>Data reported in the period is based on information recorded into the case management system at the end point of the matter and therefore represents matters that were finalised in the period.</w:t>
      </w:r>
      <w:r w:rsidR="00FE1A8A" w:rsidRPr="0055193A">
        <w:rPr>
          <w:rFonts w:cs="Arial"/>
          <w:color w:val="000000"/>
          <w:sz w:val="16"/>
          <w:szCs w:val="16"/>
          <w:lang w:val="en-AU" w:eastAsia="en-AU"/>
        </w:rPr>
        <w:t xml:space="preserve"> Data is taken from information provided in application and response materials provided by parties.</w:t>
      </w:r>
    </w:p>
  </w:footnote>
  <w:footnote w:id="2">
    <w:p w14:paraId="735B07FC" w14:textId="77777777" w:rsidR="00BB0F12" w:rsidRPr="00FA6B35" w:rsidRDefault="00BB0F12" w:rsidP="00A94BF9">
      <w:pPr>
        <w:pStyle w:val="FootnoteText"/>
        <w:tabs>
          <w:tab w:val="center" w:pos="4535"/>
        </w:tabs>
        <w:spacing w:after="120"/>
        <w:ind w:left="142" w:hanging="142"/>
        <w:rPr>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Previously reported within items 2.2(c) and 2.2(f)</w:t>
      </w:r>
    </w:p>
  </w:footnote>
  <w:footnote w:id="3">
    <w:p w14:paraId="05DDAC9C" w14:textId="77777777" w:rsidR="00D35D36" w:rsidRPr="00D51914" w:rsidRDefault="00D35D36" w:rsidP="00A94BF9">
      <w:pPr>
        <w:pStyle w:val="FootnoteText"/>
        <w:spacing w:after="120"/>
        <w:ind w:left="142" w:hanging="142"/>
        <w:rPr>
          <w:rFonts w:cs="Arial"/>
          <w:sz w:val="16"/>
          <w:szCs w:val="16"/>
          <w:lang w:val="en-AU"/>
        </w:rPr>
      </w:pPr>
      <w:r w:rsidRPr="00D51914">
        <w:rPr>
          <w:rStyle w:val="FootnoteReference"/>
          <w:rFonts w:cs="Arial"/>
          <w:sz w:val="16"/>
          <w:szCs w:val="16"/>
        </w:rPr>
        <w:footnoteRef/>
      </w:r>
      <w:r>
        <w:rPr>
          <w:rFonts w:cs="Arial"/>
          <w:sz w:val="16"/>
          <w:szCs w:val="16"/>
        </w:rPr>
        <w:tab/>
      </w:r>
      <w:r w:rsidRPr="00AD5669">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4">
    <w:p w14:paraId="24339385"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except by substantive decision or for want of jurisdiction.</w:t>
      </w:r>
    </w:p>
  </w:footnote>
  <w:footnote w:id="5">
    <w:p w14:paraId="69AF2DA8"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lang w:val="en-AU"/>
        </w:rPr>
        <w:t>Judgment means all matters finalised by substantive decision or for want of jurisdiction, inclusive of applications finalised by dismissal under s399A and s587. The calculation is based on the average number of days from the date of application to the date of judgment.</w:t>
      </w:r>
    </w:p>
  </w:footnote>
  <w:footnote w:id="6">
    <w:p w14:paraId="007765CB"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by substantive decision or for want of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65408"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47276985">
    <w:abstractNumId w:val="2"/>
  </w:num>
  <w:num w:numId="2" w16cid:durableId="808011761">
    <w:abstractNumId w:val="4"/>
  </w:num>
  <w:num w:numId="3" w16cid:durableId="892812395">
    <w:abstractNumId w:val="3"/>
  </w:num>
  <w:num w:numId="4" w16cid:durableId="1692488107">
    <w:abstractNumId w:val="1"/>
  </w:num>
  <w:num w:numId="5" w16cid:durableId="12294640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39FD"/>
    <w:rsid w:val="0000519A"/>
    <w:rsid w:val="00006357"/>
    <w:rsid w:val="00006D83"/>
    <w:rsid w:val="0001247E"/>
    <w:rsid w:val="00014E1D"/>
    <w:rsid w:val="000162F6"/>
    <w:rsid w:val="000218C2"/>
    <w:rsid w:val="00024B91"/>
    <w:rsid w:val="00024D5D"/>
    <w:rsid w:val="0002522B"/>
    <w:rsid w:val="000259A8"/>
    <w:rsid w:val="000259E7"/>
    <w:rsid w:val="00027A58"/>
    <w:rsid w:val="0003298D"/>
    <w:rsid w:val="000330F2"/>
    <w:rsid w:val="00034B1A"/>
    <w:rsid w:val="0003765E"/>
    <w:rsid w:val="00037F66"/>
    <w:rsid w:val="0005053F"/>
    <w:rsid w:val="00052985"/>
    <w:rsid w:val="00055FBC"/>
    <w:rsid w:val="00060E01"/>
    <w:rsid w:val="00063879"/>
    <w:rsid w:val="0006585E"/>
    <w:rsid w:val="0006706D"/>
    <w:rsid w:val="000727FC"/>
    <w:rsid w:val="0007410C"/>
    <w:rsid w:val="00074F1C"/>
    <w:rsid w:val="00075B16"/>
    <w:rsid w:val="000842A7"/>
    <w:rsid w:val="00084678"/>
    <w:rsid w:val="00085EE4"/>
    <w:rsid w:val="000865AA"/>
    <w:rsid w:val="000918A6"/>
    <w:rsid w:val="000940F1"/>
    <w:rsid w:val="000A0BFE"/>
    <w:rsid w:val="000A0D9A"/>
    <w:rsid w:val="000A1D4B"/>
    <w:rsid w:val="000A3C27"/>
    <w:rsid w:val="000A5C4C"/>
    <w:rsid w:val="000A7D5A"/>
    <w:rsid w:val="000B0073"/>
    <w:rsid w:val="000B1AAF"/>
    <w:rsid w:val="000B3797"/>
    <w:rsid w:val="000B44AD"/>
    <w:rsid w:val="000B6D00"/>
    <w:rsid w:val="000B6F31"/>
    <w:rsid w:val="000B765F"/>
    <w:rsid w:val="000B78F3"/>
    <w:rsid w:val="000C1B43"/>
    <w:rsid w:val="000C1C50"/>
    <w:rsid w:val="000C4144"/>
    <w:rsid w:val="000C49B7"/>
    <w:rsid w:val="000C6D06"/>
    <w:rsid w:val="000C7281"/>
    <w:rsid w:val="000D06B0"/>
    <w:rsid w:val="000D14EE"/>
    <w:rsid w:val="000D1E78"/>
    <w:rsid w:val="000D2F34"/>
    <w:rsid w:val="000D3335"/>
    <w:rsid w:val="000D52C2"/>
    <w:rsid w:val="000D5564"/>
    <w:rsid w:val="000D55B8"/>
    <w:rsid w:val="000D6327"/>
    <w:rsid w:val="000D7140"/>
    <w:rsid w:val="000E063E"/>
    <w:rsid w:val="000E4C69"/>
    <w:rsid w:val="000E5D74"/>
    <w:rsid w:val="000E670C"/>
    <w:rsid w:val="000F0672"/>
    <w:rsid w:val="000F3CD2"/>
    <w:rsid w:val="001010B2"/>
    <w:rsid w:val="00105D82"/>
    <w:rsid w:val="00105F3D"/>
    <w:rsid w:val="00107839"/>
    <w:rsid w:val="00107DC2"/>
    <w:rsid w:val="001106C3"/>
    <w:rsid w:val="00111FA5"/>
    <w:rsid w:val="001126DA"/>
    <w:rsid w:val="001144D3"/>
    <w:rsid w:val="00116221"/>
    <w:rsid w:val="00116B49"/>
    <w:rsid w:val="0011739F"/>
    <w:rsid w:val="00120008"/>
    <w:rsid w:val="001236C4"/>
    <w:rsid w:val="001311EF"/>
    <w:rsid w:val="0013312D"/>
    <w:rsid w:val="001343C5"/>
    <w:rsid w:val="001368CB"/>
    <w:rsid w:val="00140D67"/>
    <w:rsid w:val="001423D5"/>
    <w:rsid w:val="0014315F"/>
    <w:rsid w:val="00145644"/>
    <w:rsid w:val="0014610D"/>
    <w:rsid w:val="00153165"/>
    <w:rsid w:val="00154E3E"/>
    <w:rsid w:val="00157A86"/>
    <w:rsid w:val="00160FC8"/>
    <w:rsid w:val="00165856"/>
    <w:rsid w:val="00170A52"/>
    <w:rsid w:val="00170B2C"/>
    <w:rsid w:val="00171870"/>
    <w:rsid w:val="00171ED8"/>
    <w:rsid w:val="001778EF"/>
    <w:rsid w:val="00184B41"/>
    <w:rsid w:val="00194628"/>
    <w:rsid w:val="00195CED"/>
    <w:rsid w:val="00196A25"/>
    <w:rsid w:val="001974B5"/>
    <w:rsid w:val="001A062B"/>
    <w:rsid w:val="001A3F88"/>
    <w:rsid w:val="001A50A7"/>
    <w:rsid w:val="001A6EA6"/>
    <w:rsid w:val="001A72B7"/>
    <w:rsid w:val="001B2DA8"/>
    <w:rsid w:val="001B6256"/>
    <w:rsid w:val="001C637A"/>
    <w:rsid w:val="001C683F"/>
    <w:rsid w:val="001C777E"/>
    <w:rsid w:val="001D02A9"/>
    <w:rsid w:val="001D1141"/>
    <w:rsid w:val="001D1A10"/>
    <w:rsid w:val="001D415A"/>
    <w:rsid w:val="001D6488"/>
    <w:rsid w:val="001E57F2"/>
    <w:rsid w:val="001E7263"/>
    <w:rsid w:val="001E79D9"/>
    <w:rsid w:val="001F278C"/>
    <w:rsid w:val="001F3865"/>
    <w:rsid w:val="001F6767"/>
    <w:rsid w:val="001F766D"/>
    <w:rsid w:val="0020004C"/>
    <w:rsid w:val="00200D92"/>
    <w:rsid w:val="00202384"/>
    <w:rsid w:val="00203776"/>
    <w:rsid w:val="0020404E"/>
    <w:rsid w:val="0020672C"/>
    <w:rsid w:val="002070B4"/>
    <w:rsid w:val="00210C11"/>
    <w:rsid w:val="00214213"/>
    <w:rsid w:val="00221E78"/>
    <w:rsid w:val="0022588E"/>
    <w:rsid w:val="00225B06"/>
    <w:rsid w:val="00225F8B"/>
    <w:rsid w:val="00227F0E"/>
    <w:rsid w:val="002313B8"/>
    <w:rsid w:val="00233010"/>
    <w:rsid w:val="0023350F"/>
    <w:rsid w:val="0024036A"/>
    <w:rsid w:val="00243045"/>
    <w:rsid w:val="00243628"/>
    <w:rsid w:val="00243C8D"/>
    <w:rsid w:val="00247312"/>
    <w:rsid w:val="0026344D"/>
    <w:rsid w:val="0026359D"/>
    <w:rsid w:val="00264F7E"/>
    <w:rsid w:val="002676CE"/>
    <w:rsid w:val="002707B9"/>
    <w:rsid w:val="00276856"/>
    <w:rsid w:val="00276DF2"/>
    <w:rsid w:val="00277767"/>
    <w:rsid w:val="00277BE6"/>
    <w:rsid w:val="0028256E"/>
    <w:rsid w:val="002865EC"/>
    <w:rsid w:val="00294CF5"/>
    <w:rsid w:val="002950B3"/>
    <w:rsid w:val="0029684D"/>
    <w:rsid w:val="002A02C4"/>
    <w:rsid w:val="002A2425"/>
    <w:rsid w:val="002A2853"/>
    <w:rsid w:val="002A3EC2"/>
    <w:rsid w:val="002B10DE"/>
    <w:rsid w:val="002B7272"/>
    <w:rsid w:val="002C0649"/>
    <w:rsid w:val="002C0794"/>
    <w:rsid w:val="002C0FE9"/>
    <w:rsid w:val="002C1257"/>
    <w:rsid w:val="002C1358"/>
    <w:rsid w:val="002C3BD8"/>
    <w:rsid w:val="002C4707"/>
    <w:rsid w:val="002C6B18"/>
    <w:rsid w:val="002C7C3D"/>
    <w:rsid w:val="002D05F3"/>
    <w:rsid w:val="002D155F"/>
    <w:rsid w:val="002D2B5D"/>
    <w:rsid w:val="002D5539"/>
    <w:rsid w:val="002D5F71"/>
    <w:rsid w:val="002D726B"/>
    <w:rsid w:val="002E0652"/>
    <w:rsid w:val="002E4D00"/>
    <w:rsid w:val="002E69E7"/>
    <w:rsid w:val="002F0347"/>
    <w:rsid w:val="002F0489"/>
    <w:rsid w:val="002F048C"/>
    <w:rsid w:val="002F2875"/>
    <w:rsid w:val="002F5B86"/>
    <w:rsid w:val="00302241"/>
    <w:rsid w:val="003100C9"/>
    <w:rsid w:val="00310BD3"/>
    <w:rsid w:val="00311828"/>
    <w:rsid w:val="00322C00"/>
    <w:rsid w:val="003257FD"/>
    <w:rsid w:val="00326C78"/>
    <w:rsid w:val="003273AD"/>
    <w:rsid w:val="00327545"/>
    <w:rsid w:val="0033502A"/>
    <w:rsid w:val="0033681F"/>
    <w:rsid w:val="0034037C"/>
    <w:rsid w:val="00342856"/>
    <w:rsid w:val="003441EB"/>
    <w:rsid w:val="003451A2"/>
    <w:rsid w:val="003458CC"/>
    <w:rsid w:val="003505E2"/>
    <w:rsid w:val="003514DE"/>
    <w:rsid w:val="003529F4"/>
    <w:rsid w:val="00352EF9"/>
    <w:rsid w:val="00360776"/>
    <w:rsid w:val="00362FBC"/>
    <w:rsid w:val="00363464"/>
    <w:rsid w:val="0036414D"/>
    <w:rsid w:val="00372ACA"/>
    <w:rsid w:val="00386E6E"/>
    <w:rsid w:val="003A29C3"/>
    <w:rsid w:val="003A30EE"/>
    <w:rsid w:val="003A4052"/>
    <w:rsid w:val="003B1B9D"/>
    <w:rsid w:val="003B2555"/>
    <w:rsid w:val="003B3B38"/>
    <w:rsid w:val="003B7429"/>
    <w:rsid w:val="003C2E0C"/>
    <w:rsid w:val="003C3B70"/>
    <w:rsid w:val="003D0BEF"/>
    <w:rsid w:val="003D1345"/>
    <w:rsid w:val="003D1652"/>
    <w:rsid w:val="003D25FA"/>
    <w:rsid w:val="003D2D64"/>
    <w:rsid w:val="003D6D3F"/>
    <w:rsid w:val="003D7CD4"/>
    <w:rsid w:val="003E2B9A"/>
    <w:rsid w:val="003E366B"/>
    <w:rsid w:val="003E4EAA"/>
    <w:rsid w:val="003F1516"/>
    <w:rsid w:val="003F2758"/>
    <w:rsid w:val="003F4A3B"/>
    <w:rsid w:val="004017EB"/>
    <w:rsid w:val="00403F25"/>
    <w:rsid w:val="0040656E"/>
    <w:rsid w:val="00406C66"/>
    <w:rsid w:val="004129FC"/>
    <w:rsid w:val="00412AF0"/>
    <w:rsid w:val="004158E8"/>
    <w:rsid w:val="004178DB"/>
    <w:rsid w:val="00420C8F"/>
    <w:rsid w:val="0042153C"/>
    <w:rsid w:val="0042194D"/>
    <w:rsid w:val="004235EF"/>
    <w:rsid w:val="00424FA7"/>
    <w:rsid w:val="00426076"/>
    <w:rsid w:val="004273D2"/>
    <w:rsid w:val="0043048D"/>
    <w:rsid w:val="00437316"/>
    <w:rsid w:val="00441AAE"/>
    <w:rsid w:val="004421A3"/>
    <w:rsid w:val="00443813"/>
    <w:rsid w:val="00444A5D"/>
    <w:rsid w:val="00450108"/>
    <w:rsid w:val="004501AA"/>
    <w:rsid w:val="0045154F"/>
    <w:rsid w:val="00451824"/>
    <w:rsid w:val="00454115"/>
    <w:rsid w:val="00456DE1"/>
    <w:rsid w:val="0046009F"/>
    <w:rsid w:val="00460282"/>
    <w:rsid w:val="00461188"/>
    <w:rsid w:val="00461E51"/>
    <w:rsid w:val="00463C81"/>
    <w:rsid w:val="00463E55"/>
    <w:rsid w:val="00470D98"/>
    <w:rsid w:val="004741B1"/>
    <w:rsid w:val="004767CE"/>
    <w:rsid w:val="00483025"/>
    <w:rsid w:val="0048453F"/>
    <w:rsid w:val="00487A70"/>
    <w:rsid w:val="00491674"/>
    <w:rsid w:val="00492730"/>
    <w:rsid w:val="004928E5"/>
    <w:rsid w:val="00493AED"/>
    <w:rsid w:val="00495DFF"/>
    <w:rsid w:val="004A409A"/>
    <w:rsid w:val="004A4FDD"/>
    <w:rsid w:val="004A6CF6"/>
    <w:rsid w:val="004A7354"/>
    <w:rsid w:val="004B0016"/>
    <w:rsid w:val="004B392F"/>
    <w:rsid w:val="004B6573"/>
    <w:rsid w:val="004B723B"/>
    <w:rsid w:val="004C12CA"/>
    <w:rsid w:val="004C1C93"/>
    <w:rsid w:val="004C2652"/>
    <w:rsid w:val="004C2ECD"/>
    <w:rsid w:val="004C3B62"/>
    <w:rsid w:val="004C57EC"/>
    <w:rsid w:val="004C65C6"/>
    <w:rsid w:val="004C699D"/>
    <w:rsid w:val="004D23A6"/>
    <w:rsid w:val="004D2F69"/>
    <w:rsid w:val="004D3D63"/>
    <w:rsid w:val="004D3DF1"/>
    <w:rsid w:val="004E30EE"/>
    <w:rsid w:val="004E480D"/>
    <w:rsid w:val="004E4F08"/>
    <w:rsid w:val="004F1C70"/>
    <w:rsid w:val="004F21DD"/>
    <w:rsid w:val="004F39EC"/>
    <w:rsid w:val="004F49DD"/>
    <w:rsid w:val="0050166D"/>
    <w:rsid w:val="0050299D"/>
    <w:rsid w:val="005032CE"/>
    <w:rsid w:val="00505093"/>
    <w:rsid w:val="00505E7D"/>
    <w:rsid w:val="00506674"/>
    <w:rsid w:val="00513CB9"/>
    <w:rsid w:val="0052093A"/>
    <w:rsid w:val="00522E17"/>
    <w:rsid w:val="00523021"/>
    <w:rsid w:val="00524E47"/>
    <w:rsid w:val="00526153"/>
    <w:rsid w:val="005261F2"/>
    <w:rsid w:val="0052680E"/>
    <w:rsid w:val="00526FAB"/>
    <w:rsid w:val="0053184C"/>
    <w:rsid w:val="005365CD"/>
    <w:rsid w:val="005409CD"/>
    <w:rsid w:val="0054623E"/>
    <w:rsid w:val="005528BA"/>
    <w:rsid w:val="00555EB1"/>
    <w:rsid w:val="00556D61"/>
    <w:rsid w:val="00560133"/>
    <w:rsid w:val="00560C4B"/>
    <w:rsid w:val="00562E8C"/>
    <w:rsid w:val="00563DF9"/>
    <w:rsid w:val="00565C01"/>
    <w:rsid w:val="00571BAD"/>
    <w:rsid w:val="00572A6D"/>
    <w:rsid w:val="00576A91"/>
    <w:rsid w:val="005777DF"/>
    <w:rsid w:val="005777ED"/>
    <w:rsid w:val="00581D48"/>
    <w:rsid w:val="0058482A"/>
    <w:rsid w:val="00590EDB"/>
    <w:rsid w:val="00597AE2"/>
    <w:rsid w:val="005A6365"/>
    <w:rsid w:val="005A712E"/>
    <w:rsid w:val="005B171E"/>
    <w:rsid w:val="005B378B"/>
    <w:rsid w:val="005B6EB2"/>
    <w:rsid w:val="005C0FE0"/>
    <w:rsid w:val="005C2C4B"/>
    <w:rsid w:val="005C2FDA"/>
    <w:rsid w:val="005C4C02"/>
    <w:rsid w:val="005C6228"/>
    <w:rsid w:val="005D6987"/>
    <w:rsid w:val="005D72CE"/>
    <w:rsid w:val="005E6BA2"/>
    <w:rsid w:val="005E7CB3"/>
    <w:rsid w:val="005F07F1"/>
    <w:rsid w:val="005F3927"/>
    <w:rsid w:val="005F73C0"/>
    <w:rsid w:val="00600D4D"/>
    <w:rsid w:val="00606400"/>
    <w:rsid w:val="00610D85"/>
    <w:rsid w:val="00613C58"/>
    <w:rsid w:val="006168D3"/>
    <w:rsid w:val="00616901"/>
    <w:rsid w:val="00623949"/>
    <w:rsid w:val="00624E4B"/>
    <w:rsid w:val="006278F8"/>
    <w:rsid w:val="0064234F"/>
    <w:rsid w:val="0064240A"/>
    <w:rsid w:val="006428D4"/>
    <w:rsid w:val="00645A05"/>
    <w:rsid w:val="00645DBF"/>
    <w:rsid w:val="006460C8"/>
    <w:rsid w:val="00646CA4"/>
    <w:rsid w:val="006543C5"/>
    <w:rsid w:val="006550EB"/>
    <w:rsid w:val="00655818"/>
    <w:rsid w:val="00656965"/>
    <w:rsid w:val="00656D2A"/>
    <w:rsid w:val="00657F5C"/>
    <w:rsid w:val="006648C0"/>
    <w:rsid w:val="00666B30"/>
    <w:rsid w:val="0066743F"/>
    <w:rsid w:val="00671A95"/>
    <w:rsid w:val="00671E05"/>
    <w:rsid w:val="00674A4F"/>
    <w:rsid w:val="006763FD"/>
    <w:rsid w:val="0067651B"/>
    <w:rsid w:val="00680904"/>
    <w:rsid w:val="00680CC4"/>
    <w:rsid w:val="00681500"/>
    <w:rsid w:val="00682013"/>
    <w:rsid w:val="006836E1"/>
    <w:rsid w:val="00685A6D"/>
    <w:rsid w:val="006908B4"/>
    <w:rsid w:val="00691880"/>
    <w:rsid w:val="006928D3"/>
    <w:rsid w:val="00695843"/>
    <w:rsid w:val="006A173B"/>
    <w:rsid w:val="006A4097"/>
    <w:rsid w:val="006A6BD9"/>
    <w:rsid w:val="006B08D0"/>
    <w:rsid w:val="006B26F1"/>
    <w:rsid w:val="006B2C3E"/>
    <w:rsid w:val="006B3070"/>
    <w:rsid w:val="006C2E12"/>
    <w:rsid w:val="006C4E67"/>
    <w:rsid w:val="006C5E01"/>
    <w:rsid w:val="006D20BF"/>
    <w:rsid w:val="006D20C5"/>
    <w:rsid w:val="006D2DB8"/>
    <w:rsid w:val="006D594C"/>
    <w:rsid w:val="006D6410"/>
    <w:rsid w:val="006E3D71"/>
    <w:rsid w:val="006E5C59"/>
    <w:rsid w:val="006E6C6C"/>
    <w:rsid w:val="006E7027"/>
    <w:rsid w:val="006F7CF6"/>
    <w:rsid w:val="007011F3"/>
    <w:rsid w:val="007066AA"/>
    <w:rsid w:val="00711CD1"/>
    <w:rsid w:val="00712243"/>
    <w:rsid w:val="00712DF0"/>
    <w:rsid w:val="00713BD2"/>
    <w:rsid w:val="00713C99"/>
    <w:rsid w:val="00715BBF"/>
    <w:rsid w:val="00715D71"/>
    <w:rsid w:val="00715DC0"/>
    <w:rsid w:val="0071668E"/>
    <w:rsid w:val="00722E6E"/>
    <w:rsid w:val="007307BC"/>
    <w:rsid w:val="00730A99"/>
    <w:rsid w:val="00731975"/>
    <w:rsid w:val="0073357F"/>
    <w:rsid w:val="00735D1E"/>
    <w:rsid w:val="00741B23"/>
    <w:rsid w:val="00754E4B"/>
    <w:rsid w:val="007552E1"/>
    <w:rsid w:val="00760C2B"/>
    <w:rsid w:val="00766AB0"/>
    <w:rsid w:val="00770B51"/>
    <w:rsid w:val="00770D85"/>
    <w:rsid w:val="0077142D"/>
    <w:rsid w:val="007739C1"/>
    <w:rsid w:val="00773FE6"/>
    <w:rsid w:val="007832C2"/>
    <w:rsid w:val="007836DD"/>
    <w:rsid w:val="00785542"/>
    <w:rsid w:val="0078713A"/>
    <w:rsid w:val="00795BFF"/>
    <w:rsid w:val="007A4839"/>
    <w:rsid w:val="007A627D"/>
    <w:rsid w:val="007B3BA6"/>
    <w:rsid w:val="007B4847"/>
    <w:rsid w:val="007B6D79"/>
    <w:rsid w:val="007C0A46"/>
    <w:rsid w:val="007C1300"/>
    <w:rsid w:val="007C1C99"/>
    <w:rsid w:val="007C38FD"/>
    <w:rsid w:val="007D750C"/>
    <w:rsid w:val="007E00FA"/>
    <w:rsid w:val="007E559F"/>
    <w:rsid w:val="007F7B67"/>
    <w:rsid w:val="00803D15"/>
    <w:rsid w:val="008054A5"/>
    <w:rsid w:val="00806B6B"/>
    <w:rsid w:val="00810A6E"/>
    <w:rsid w:val="0081327B"/>
    <w:rsid w:val="00821B9A"/>
    <w:rsid w:val="00823925"/>
    <w:rsid w:val="008307FA"/>
    <w:rsid w:val="008311CE"/>
    <w:rsid w:val="0083484B"/>
    <w:rsid w:val="00850F44"/>
    <w:rsid w:val="00853539"/>
    <w:rsid w:val="00854609"/>
    <w:rsid w:val="00857111"/>
    <w:rsid w:val="008576A2"/>
    <w:rsid w:val="00857AE9"/>
    <w:rsid w:val="00861A6D"/>
    <w:rsid w:val="00862187"/>
    <w:rsid w:val="0086281E"/>
    <w:rsid w:val="00862A73"/>
    <w:rsid w:val="00862DB2"/>
    <w:rsid w:val="0087163D"/>
    <w:rsid w:val="0087317B"/>
    <w:rsid w:val="00873995"/>
    <w:rsid w:val="00873D6C"/>
    <w:rsid w:val="008764E5"/>
    <w:rsid w:val="00876B75"/>
    <w:rsid w:val="00877EBB"/>
    <w:rsid w:val="00877F9A"/>
    <w:rsid w:val="00881A72"/>
    <w:rsid w:val="0088261E"/>
    <w:rsid w:val="00885585"/>
    <w:rsid w:val="0088678E"/>
    <w:rsid w:val="00887B2B"/>
    <w:rsid w:val="00890F79"/>
    <w:rsid w:val="0089133B"/>
    <w:rsid w:val="008930FA"/>
    <w:rsid w:val="00893B74"/>
    <w:rsid w:val="008952EA"/>
    <w:rsid w:val="008A4AB5"/>
    <w:rsid w:val="008A68F8"/>
    <w:rsid w:val="008A7A10"/>
    <w:rsid w:val="008B37F4"/>
    <w:rsid w:val="008B449F"/>
    <w:rsid w:val="008B5DC1"/>
    <w:rsid w:val="008B60A8"/>
    <w:rsid w:val="008C0959"/>
    <w:rsid w:val="008C20DF"/>
    <w:rsid w:val="008C339C"/>
    <w:rsid w:val="008C33EE"/>
    <w:rsid w:val="008C53AC"/>
    <w:rsid w:val="008C702F"/>
    <w:rsid w:val="008D22B5"/>
    <w:rsid w:val="008D23A0"/>
    <w:rsid w:val="008D46D2"/>
    <w:rsid w:val="008D6759"/>
    <w:rsid w:val="008E1D4C"/>
    <w:rsid w:val="008E4548"/>
    <w:rsid w:val="008E558C"/>
    <w:rsid w:val="008E62D8"/>
    <w:rsid w:val="008F7C21"/>
    <w:rsid w:val="00900B2B"/>
    <w:rsid w:val="00904784"/>
    <w:rsid w:val="00914D77"/>
    <w:rsid w:val="00921650"/>
    <w:rsid w:val="009235C0"/>
    <w:rsid w:val="009239DE"/>
    <w:rsid w:val="00927C6D"/>
    <w:rsid w:val="0093195E"/>
    <w:rsid w:val="00934FBD"/>
    <w:rsid w:val="00942937"/>
    <w:rsid w:val="0094319C"/>
    <w:rsid w:val="009432D9"/>
    <w:rsid w:val="00944331"/>
    <w:rsid w:val="00950E5F"/>
    <w:rsid w:val="00955F0D"/>
    <w:rsid w:val="009628E5"/>
    <w:rsid w:val="00963F07"/>
    <w:rsid w:val="00966371"/>
    <w:rsid w:val="009745FC"/>
    <w:rsid w:val="00976966"/>
    <w:rsid w:val="00976CBC"/>
    <w:rsid w:val="009829CE"/>
    <w:rsid w:val="009911D0"/>
    <w:rsid w:val="0099515D"/>
    <w:rsid w:val="009A7AB8"/>
    <w:rsid w:val="009A7CEF"/>
    <w:rsid w:val="009B12C4"/>
    <w:rsid w:val="009B2FF1"/>
    <w:rsid w:val="009B467E"/>
    <w:rsid w:val="009C0900"/>
    <w:rsid w:val="009C097A"/>
    <w:rsid w:val="009C0C98"/>
    <w:rsid w:val="009C1F49"/>
    <w:rsid w:val="009C3974"/>
    <w:rsid w:val="009D08F1"/>
    <w:rsid w:val="009D27E8"/>
    <w:rsid w:val="009D3BCA"/>
    <w:rsid w:val="009D799C"/>
    <w:rsid w:val="009F09E9"/>
    <w:rsid w:val="009F215D"/>
    <w:rsid w:val="009F741C"/>
    <w:rsid w:val="00A0069D"/>
    <w:rsid w:val="00A0119C"/>
    <w:rsid w:val="00A0238C"/>
    <w:rsid w:val="00A027B9"/>
    <w:rsid w:val="00A030FA"/>
    <w:rsid w:val="00A0773F"/>
    <w:rsid w:val="00A121EE"/>
    <w:rsid w:val="00A12E62"/>
    <w:rsid w:val="00A24337"/>
    <w:rsid w:val="00A25E55"/>
    <w:rsid w:val="00A30891"/>
    <w:rsid w:val="00A30D80"/>
    <w:rsid w:val="00A30F46"/>
    <w:rsid w:val="00A3644E"/>
    <w:rsid w:val="00A42E20"/>
    <w:rsid w:val="00A448F0"/>
    <w:rsid w:val="00A51B88"/>
    <w:rsid w:val="00A51BC5"/>
    <w:rsid w:val="00A55F0D"/>
    <w:rsid w:val="00A56796"/>
    <w:rsid w:val="00A62463"/>
    <w:rsid w:val="00A664AB"/>
    <w:rsid w:val="00A70A39"/>
    <w:rsid w:val="00A70DAB"/>
    <w:rsid w:val="00A76DDF"/>
    <w:rsid w:val="00A802AE"/>
    <w:rsid w:val="00A808E4"/>
    <w:rsid w:val="00A8291C"/>
    <w:rsid w:val="00A85A78"/>
    <w:rsid w:val="00A87329"/>
    <w:rsid w:val="00A87A54"/>
    <w:rsid w:val="00A90276"/>
    <w:rsid w:val="00A921C1"/>
    <w:rsid w:val="00A92468"/>
    <w:rsid w:val="00A929AE"/>
    <w:rsid w:val="00A9328F"/>
    <w:rsid w:val="00A94BF9"/>
    <w:rsid w:val="00A95EA6"/>
    <w:rsid w:val="00AA13AF"/>
    <w:rsid w:val="00AA15AC"/>
    <w:rsid w:val="00AA1D29"/>
    <w:rsid w:val="00AA3235"/>
    <w:rsid w:val="00AA3A5C"/>
    <w:rsid w:val="00AA3D59"/>
    <w:rsid w:val="00AB0344"/>
    <w:rsid w:val="00AB0855"/>
    <w:rsid w:val="00AB62CC"/>
    <w:rsid w:val="00AB67E6"/>
    <w:rsid w:val="00AB6A50"/>
    <w:rsid w:val="00AC4E6E"/>
    <w:rsid w:val="00AC6795"/>
    <w:rsid w:val="00AC74C9"/>
    <w:rsid w:val="00AD1183"/>
    <w:rsid w:val="00AD679F"/>
    <w:rsid w:val="00AE0322"/>
    <w:rsid w:val="00AE08E1"/>
    <w:rsid w:val="00AE1E55"/>
    <w:rsid w:val="00AE2486"/>
    <w:rsid w:val="00AE2792"/>
    <w:rsid w:val="00AE2F88"/>
    <w:rsid w:val="00AE3A23"/>
    <w:rsid w:val="00AE5CA2"/>
    <w:rsid w:val="00AF27B7"/>
    <w:rsid w:val="00B01712"/>
    <w:rsid w:val="00B11083"/>
    <w:rsid w:val="00B11A7E"/>
    <w:rsid w:val="00B12DCE"/>
    <w:rsid w:val="00B17B3D"/>
    <w:rsid w:val="00B23C14"/>
    <w:rsid w:val="00B23DE4"/>
    <w:rsid w:val="00B32B98"/>
    <w:rsid w:val="00B32F0D"/>
    <w:rsid w:val="00B33FEC"/>
    <w:rsid w:val="00B34089"/>
    <w:rsid w:val="00B35142"/>
    <w:rsid w:val="00B35346"/>
    <w:rsid w:val="00B35C59"/>
    <w:rsid w:val="00B377BB"/>
    <w:rsid w:val="00B461F4"/>
    <w:rsid w:val="00B56DA9"/>
    <w:rsid w:val="00B57C9B"/>
    <w:rsid w:val="00B57FD1"/>
    <w:rsid w:val="00B64A23"/>
    <w:rsid w:val="00B657F0"/>
    <w:rsid w:val="00B66851"/>
    <w:rsid w:val="00B669ED"/>
    <w:rsid w:val="00B72F78"/>
    <w:rsid w:val="00B74701"/>
    <w:rsid w:val="00B74F3A"/>
    <w:rsid w:val="00B75DB0"/>
    <w:rsid w:val="00B820AE"/>
    <w:rsid w:val="00B82B75"/>
    <w:rsid w:val="00BA39BF"/>
    <w:rsid w:val="00BA63EB"/>
    <w:rsid w:val="00BA6402"/>
    <w:rsid w:val="00BA6507"/>
    <w:rsid w:val="00BA6636"/>
    <w:rsid w:val="00BB0F12"/>
    <w:rsid w:val="00BB22D2"/>
    <w:rsid w:val="00BB337A"/>
    <w:rsid w:val="00BB3638"/>
    <w:rsid w:val="00BB4320"/>
    <w:rsid w:val="00BC1FDE"/>
    <w:rsid w:val="00BC330E"/>
    <w:rsid w:val="00BC716B"/>
    <w:rsid w:val="00BD4444"/>
    <w:rsid w:val="00BE0DF2"/>
    <w:rsid w:val="00BE133D"/>
    <w:rsid w:val="00BE1F89"/>
    <w:rsid w:val="00BE2296"/>
    <w:rsid w:val="00BE4953"/>
    <w:rsid w:val="00BE6B32"/>
    <w:rsid w:val="00BF1AD9"/>
    <w:rsid w:val="00BF65FA"/>
    <w:rsid w:val="00C0096B"/>
    <w:rsid w:val="00C02126"/>
    <w:rsid w:val="00C052FD"/>
    <w:rsid w:val="00C10374"/>
    <w:rsid w:val="00C12DF5"/>
    <w:rsid w:val="00C157A0"/>
    <w:rsid w:val="00C1728A"/>
    <w:rsid w:val="00C21555"/>
    <w:rsid w:val="00C22C34"/>
    <w:rsid w:val="00C2403C"/>
    <w:rsid w:val="00C25DE4"/>
    <w:rsid w:val="00C26D6B"/>
    <w:rsid w:val="00C31D3F"/>
    <w:rsid w:val="00C34B0A"/>
    <w:rsid w:val="00C358C8"/>
    <w:rsid w:val="00C37FC9"/>
    <w:rsid w:val="00C40959"/>
    <w:rsid w:val="00C431A1"/>
    <w:rsid w:val="00C47995"/>
    <w:rsid w:val="00C52631"/>
    <w:rsid w:val="00C60EA9"/>
    <w:rsid w:val="00C6476D"/>
    <w:rsid w:val="00C647EB"/>
    <w:rsid w:val="00C64E5C"/>
    <w:rsid w:val="00C72C6E"/>
    <w:rsid w:val="00C7572C"/>
    <w:rsid w:val="00C815AF"/>
    <w:rsid w:val="00C83BE9"/>
    <w:rsid w:val="00C8402D"/>
    <w:rsid w:val="00C871C5"/>
    <w:rsid w:val="00C87C1A"/>
    <w:rsid w:val="00C90558"/>
    <w:rsid w:val="00C90AB7"/>
    <w:rsid w:val="00C938A5"/>
    <w:rsid w:val="00C93950"/>
    <w:rsid w:val="00C96E59"/>
    <w:rsid w:val="00C96FA5"/>
    <w:rsid w:val="00CA5D58"/>
    <w:rsid w:val="00CA60BD"/>
    <w:rsid w:val="00CA6537"/>
    <w:rsid w:val="00CA6734"/>
    <w:rsid w:val="00CA79DE"/>
    <w:rsid w:val="00CB0536"/>
    <w:rsid w:val="00CC7618"/>
    <w:rsid w:val="00CC796C"/>
    <w:rsid w:val="00CD2078"/>
    <w:rsid w:val="00CD27E8"/>
    <w:rsid w:val="00CD7DC3"/>
    <w:rsid w:val="00CE209F"/>
    <w:rsid w:val="00CE2DE0"/>
    <w:rsid w:val="00CE4B2A"/>
    <w:rsid w:val="00CE5F46"/>
    <w:rsid w:val="00CE6E83"/>
    <w:rsid w:val="00CF0696"/>
    <w:rsid w:val="00CF56A3"/>
    <w:rsid w:val="00CF7892"/>
    <w:rsid w:val="00D16239"/>
    <w:rsid w:val="00D172A6"/>
    <w:rsid w:val="00D22572"/>
    <w:rsid w:val="00D24492"/>
    <w:rsid w:val="00D257B4"/>
    <w:rsid w:val="00D259F5"/>
    <w:rsid w:val="00D265CC"/>
    <w:rsid w:val="00D35D36"/>
    <w:rsid w:val="00D36DA0"/>
    <w:rsid w:val="00D37285"/>
    <w:rsid w:val="00D42452"/>
    <w:rsid w:val="00D47F4A"/>
    <w:rsid w:val="00D5045C"/>
    <w:rsid w:val="00D53AAB"/>
    <w:rsid w:val="00D56F21"/>
    <w:rsid w:val="00D6230F"/>
    <w:rsid w:val="00D637B3"/>
    <w:rsid w:val="00D63EA9"/>
    <w:rsid w:val="00D6613E"/>
    <w:rsid w:val="00D677EC"/>
    <w:rsid w:val="00D7269F"/>
    <w:rsid w:val="00D74657"/>
    <w:rsid w:val="00D82EE1"/>
    <w:rsid w:val="00D97EC0"/>
    <w:rsid w:val="00DA118B"/>
    <w:rsid w:val="00DA21F8"/>
    <w:rsid w:val="00DB0181"/>
    <w:rsid w:val="00DB0409"/>
    <w:rsid w:val="00DB2407"/>
    <w:rsid w:val="00DB60A2"/>
    <w:rsid w:val="00DB662A"/>
    <w:rsid w:val="00DB67D3"/>
    <w:rsid w:val="00DC1B9C"/>
    <w:rsid w:val="00DC20EC"/>
    <w:rsid w:val="00DC4C43"/>
    <w:rsid w:val="00DC63AF"/>
    <w:rsid w:val="00DD2BB4"/>
    <w:rsid w:val="00DD733E"/>
    <w:rsid w:val="00DE17B5"/>
    <w:rsid w:val="00DE3D93"/>
    <w:rsid w:val="00DE3EB9"/>
    <w:rsid w:val="00DE45FA"/>
    <w:rsid w:val="00DE518A"/>
    <w:rsid w:val="00DE5C3F"/>
    <w:rsid w:val="00DE7C11"/>
    <w:rsid w:val="00DF6370"/>
    <w:rsid w:val="00E01AF5"/>
    <w:rsid w:val="00E0606F"/>
    <w:rsid w:val="00E06442"/>
    <w:rsid w:val="00E11D9E"/>
    <w:rsid w:val="00E16335"/>
    <w:rsid w:val="00E16A6C"/>
    <w:rsid w:val="00E173FE"/>
    <w:rsid w:val="00E202AA"/>
    <w:rsid w:val="00E20391"/>
    <w:rsid w:val="00E20400"/>
    <w:rsid w:val="00E24AB6"/>
    <w:rsid w:val="00E268F3"/>
    <w:rsid w:val="00E27069"/>
    <w:rsid w:val="00E30220"/>
    <w:rsid w:val="00E32660"/>
    <w:rsid w:val="00E3710B"/>
    <w:rsid w:val="00E374EC"/>
    <w:rsid w:val="00E42388"/>
    <w:rsid w:val="00E535F5"/>
    <w:rsid w:val="00E60BFA"/>
    <w:rsid w:val="00E7231E"/>
    <w:rsid w:val="00E72A3F"/>
    <w:rsid w:val="00E736A4"/>
    <w:rsid w:val="00E767E5"/>
    <w:rsid w:val="00E76F7E"/>
    <w:rsid w:val="00E77BAF"/>
    <w:rsid w:val="00E810C6"/>
    <w:rsid w:val="00E82E15"/>
    <w:rsid w:val="00E86047"/>
    <w:rsid w:val="00E87D4F"/>
    <w:rsid w:val="00E90C64"/>
    <w:rsid w:val="00E91958"/>
    <w:rsid w:val="00E9268B"/>
    <w:rsid w:val="00E9320B"/>
    <w:rsid w:val="00E956E4"/>
    <w:rsid w:val="00E96293"/>
    <w:rsid w:val="00E972A3"/>
    <w:rsid w:val="00EA2160"/>
    <w:rsid w:val="00EA2511"/>
    <w:rsid w:val="00EA2FB3"/>
    <w:rsid w:val="00EB076A"/>
    <w:rsid w:val="00EB2A63"/>
    <w:rsid w:val="00EB2D81"/>
    <w:rsid w:val="00EB2F9F"/>
    <w:rsid w:val="00EB6401"/>
    <w:rsid w:val="00EB643A"/>
    <w:rsid w:val="00EB66D5"/>
    <w:rsid w:val="00EB66EC"/>
    <w:rsid w:val="00EC177C"/>
    <w:rsid w:val="00EC3A23"/>
    <w:rsid w:val="00ED0803"/>
    <w:rsid w:val="00ED5122"/>
    <w:rsid w:val="00EE1AB6"/>
    <w:rsid w:val="00EE2D6F"/>
    <w:rsid w:val="00EE3B27"/>
    <w:rsid w:val="00EE3C13"/>
    <w:rsid w:val="00EE5603"/>
    <w:rsid w:val="00EF38CC"/>
    <w:rsid w:val="00EF42A4"/>
    <w:rsid w:val="00EF55AC"/>
    <w:rsid w:val="00EF7C5A"/>
    <w:rsid w:val="00F029DC"/>
    <w:rsid w:val="00F05BA1"/>
    <w:rsid w:val="00F07068"/>
    <w:rsid w:val="00F14078"/>
    <w:rsid w:val="00F14186"/>
    <w:rsid w:val="00F141A2"/>
    <w:rsid w:val="00F14DFF"/>
    <w:rsid w:val="00F14FCD"/>
    <w:rsid w:val="00F1735D"/>
    <w:rsid w:val="00F25990"/>
    <w:rsid w:val="00F25C1C"/>
    <w:rsid w:val="00F3373D"/>
    <w:rsid w:val="00F34174"/>
    <w:rsid w:val="00F34387"/>
    <w:rsid w:val="00F361F3"/>
    <w:rsid w:val="00F36947"/>
    <w:rsid w:val="00F41493"/>
    <w:rsid w:val="00F425CB"/>
    <w:rsid w:val="00F4384D"/>
    <w:rsid w:val="00F441FB"/>
    <w:rsid w:val="00F44A28"/>
    <w:rsid w:val="00F56064"/>
    <w:rsid w:val="00F6239A"/>
    <w:rsid w:val="00F63F6B"/>
    <w:rsid w:val="00F722F8"/>
    <w:rsid w:val="00F73612"/>
    <w:rsid w:val="00F770AB"/>
    <w:rsid w:val="00F821DE"/>
    <w:rsid w:val="00F85D91"/>
    <w:rsid w:val="00F87C98"/>
    <w:rsid w:val="00F9119E"/>
    <w:rsid w:val="00F92C22"/>
    <w:rsid w:val="00F92F0B"/>
    <w:rsid w:val="00F941CB"/>
    <w:rsid w:val="00F94530"/>
    <w:rsid w:val="00F9510F"/>
    <w:rsid w:val="00F974FB"/>
    <w:rsid w:val="00FA4F3F"/>
    <w:rsid w:val="00FA6B35"/>
    <w:rsid w:val="00FB1FF3"/>
    <w:rsid w:val="00FB200F"/>
    <w:rsid w:val="00FB2DF7"/>
    <w:rsid w:val="00FB4B98"/>
    <w:rsid w:val="00FB4C39"/>
    <w:rsid w:val="00FB544A"/>
    <w:rsid w:val="00FB7BC9"/>
    <w:rsid w:val="00FC24F6"/>
    <w:rsid w:val="00FC2C4C"/>
    <w:rsid w:val="00FC65A3"/>
    <w:rsid w:val="00FD14E9"/>
    <w:rsid w:val="00FD2363"/>
    <w:rsid w:val="00FD423E"/>
    <w:rsid w:val="00FD43F6"/>
    <w:rsid w:val="00FD4F7A"/>
    <w:rsid w:val="00FD6797"/>
    <w:rsid w:val="00FD79F6"/>
    <w:rsid w:val="00FE1A8A"/>
    <w:rsid w:val="00FE3340"/>
    <w:rsid w:val="00FE71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515A3781-0340-4537-90E2-A2274A5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A94BF9"/>
    <w:rPr>
      <w:color w:val="00303C"/>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 xsi:nil="true"/>
    <TaxCatchAll xmlns="cd44215e-42a6-4a4f-905a-200d92c3b38f">
      <Value>346</Value>
      <Value>337</Value>
    </TaxCatchAll>
    <CPDCPublishedDate xmlns="53a98cf3-46d4-4466-8023-bde65c48be9a">2026-04-27T14:00:00+00:00</CPDCPublishedDat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2026-04-27T14:00:00+00:00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405acb8ca9fee4dcb030050209e32e5f">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351b56478283a91a9887b00fcb3af17f"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E1B29-6D3A-4CD1-AB15-FB15EE7B0201}">
  <ds:schemaRefs>
    <ds:schemaRef ds:uri="http://purl.org/dc/dcmitype/"/>
    <ds:schemaRef ds:uri="74f50bf3-f713-43ee-b817-79e7a92a88a8"/>
    <ds:schemaRef ds:uri="http://schemas.microsoft.com/office/2006/documentManagement/types"/>
    <ds:schemaRef ds:uri="960ed169-dcbd-43cb-9d6f-24f2ae97c9e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FCF4AE-D598-3C4E-83E5-7356101886EC}">
  <ds:schemaRefs>
    <ds:schemaRef ds:uri="http://schemas.openxmlformats.org/officeDocument/2006/bibliography"/>
  </ds:schemaRefs>
</ds:datastoreItem>
</file>

<file path=customXml/itemProps3.xml><?xml version="1.0" encoding="utf-8"?>
<ds:datastoreItem xmlns:ds="http://schemas.openxmlformats.org/officeDocument/2006/customXml" ds:itemID="{6B76F997-24D5-4E2F-9516-0C7F516D1541}"/>
</file>

<file path=customXml/itemProps4.xml><?xml version="1.0" encoding="utf-8"?>
<ds:datastoreItem xmlns:ds="http://schemas.openxmlformats.org/officeDocument/2006/customXml" ds:itemID="{A6605AE4-121B-4BAE-99E8-ABFA84047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ExternalGuideTemplate.dotx</Template>
  <TotalTime>0</TotalTime>
  <Pages>3</Pages>
  <Words>608</Words>
  <Characters>3139</Characters>
  <Application>Microsoft Office Word</Application>
  <DocSecurity>0</DocSecurity>
  <Lines>130</Lines>
  <Paragraphs>120</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3627</CharactersWithSpaces>
  <SharedDoc>false</SharedDoc>
  <HLinks>
    <vt:vector size="6" baseType="variant">
      <vt:variant>
        <vt:i4>4456552</vt:i4>
      </vt:variant>
      <vt:variant>
        <vt:i4>9</vt:i4>
      </vt:variant>
      <vt:variant>
        <vt:i4>0</vt:i4>
      </vt:variant>
      <vt:variant>
        <vt:i4>5</vt:i4>
      </vt:variant>
      <vt:variant>
        <vt:lpwstr>C:\Documents and Settings\hughes\Local Settings\Local Settings\Temporary Internet Files\OLK32\www.fwa.gov.au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FWO Qtr 2 2025-26</dc:title>
  <dc:creator>FairWorkCommission1@fwc.gov.au</dc:creator>
  <cp:lastModifiedBy>Emma Segal</cp:lastModifiedBy>
  <cp:revision>2</cp:revision>
  <cp:lastPrinted>2019-10-23T04:10:00Z</cp:lastPrinted>
  <dcterms:created xsi:type="dcterms:W3CDTF">2026-04-28T06:34:00Z</dcterms:created>
  <dcterms:modified xsi:type="dcterms:W3CDTF">2026-04-28T06:34:00Z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