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D3" w:rsidRPr="005E33D3" w:rsidRDefault="005E33D3" w:rsidP="005E33D3">
      <w:pPr>
        <w:tabs>
          <w:tab w:val="left" w:pos="1701"/>
        </w:tabs>
        <w:spacing w:after="240"/>
        <w:rPr>
          <w:rFonts w:ascii="Calibri" w:hAnsi="Calibri" w:cs="Calibri"/>
          <w:b/>
          <w:sz w:val="36"/>
          <w:szCs w:val="36"/>
          <w:lang w:eastAsia="en-AU"/>
        </w:rPr>
      </w:pPr>
      <w:r w:rsidRPr="005E33D3">
        <w:rPr>
          <w:rFonts w:ascii="Calibri" w:hAnsi="Calibri" w:cs="Calibri"/>
          <w:noProof/>
          <w:sz w:val="24"/>
          <w:szCs w:val="24"/>
          <w:lang w:eastAsia="en-AU"/>
        </w:rPr>
        <w:drawing>
          <wp:inline distT="0" distB="0" distL="0" distR="0">
            <wp:extent cx="32956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95650" cy="800100"/>
                    </a:xfrm>
                    <a:prstGeom prst="rect">
                      <a:avLst/>
                    </a:prstGeom>
                    <a:noFill/>
                    <a:ln w="9525">
                      <a:noFill/>
                      <a:miter lim="800000"/>
                      <a:headEnd/>
                      <a:tailEnd/>
                    </a:ln>
                  </pic:spPr>
                </pic:pic>
              </a:graphicData>
            </a:graphic>
          </wp:inline>
        </w:drawing>
      </w:r>
    </w:p>
    <w:p w:rsidR="005E33D3" w:rsidRPr="005E33D3" w:rsidRDefault="008A25BC" w:rsidP="005E33D3">
      <w:pPr>
        <w:tabs>
          <w:tab w:val="left" w:pos="1701"/>
        </w:tabs>
        <w:spacing w:after="240"/>
        <w:rPr>
          <w:rFonts w:ascii="Calibri" w:hAnsi="Calibri" w:cs="Calibri"/>
          <w:sz w:val="24"/>
          <w:szCs w:val="24"/>
          <w:lang w:eastAsia="en-AU"/>
        </w:rPr>
      </w:pPr>
      <w:r w:rsidRPr="008A25BC">
        <w:rPr>
          <w:rFonts w:ascii="Calibri" w:hAnsi="Calibri" w:cs="Calibri"/>
          <w:b/>
          <w:noProof/>
          <w:sz w:val="36"/>
          <w:szCs w:val="36"/>
          <w:lang w:eastAsia="en-AU"/>
        </w:rPr>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GW/J3dkAAAAGAQAADwAAAGRycy9kb3ducmV2LnhtbEyPwU7CQBCG7ya+w2ZMuBDYCgmB&#10;2i0xam9eQA3XoTu2jd3Z0l2g+PSOXvA0+fJP/vkmWw+uVSfqQ+PZwP00AUVcettwZeD9rZgsQYWI&#10;bLH1TAYuFGCd395kmFp/5g2dtrFSUsIhRQN1jF2qdShrchimviOW7NP3DqNgX2nb41nKXatnSbLQ&#10;DhuWCzV29FRT+bU9OgOh+KBD8T0ux8luXnmaHZ5fX9CY0d3w+AAq0hCvy/CrL+qQi9PeH9kG1Qov&#10;5ZUocwVK4tV8Ibz/Y51n+r9+/gMAAP//AwBQSwECLQAUAAYACAAAACEAtoM4kv4AAADhAQAAEwAA&#10;AAAAAAAAAAAAAAAAAAAAW0NvbnRlbnRfVHlwZXNdLnhtbFBLAQItABQABgAIAAAAIQA4/SH/1gAA&#10;AJQBAAALAAAAAAAAAAAAAAAAAC8BAABfcmVscy8ucmVsc1BLAQItABQABgAIAAAAIQDWkv4HEgIA&#10;ACgEAAAOAAAAAAAAAAAAAAAAAC4CAABkcnMvZTJvRG9jLnhtbFBLAQItABQABgAIAAAAIQAZb8nd&#10;2QAAAAYBAAAPAAAAAAAAAAAAAAAAAGwEAABkcnMvZG93bnJldi54bWxQSwUGAAAAAAQABADzAAAA&#10;cgUAAAAA&#10;" o:allowincell="f"/>
        </w:pict>
      </w:r>
    </w:p>
    <w:p w:rsidR="005E33D3" w:rsidRPr="005E33D3" w:rsidRDefault="005E33D3" w:rsidP="005E33D3">
      <w:pPr>
        <w:tabs>
          <w:tab w:val="left" w:pos="1701"/>
        </w:tabs>
        <w:jc w:val="center"/>
        <w:rPr>
          <w:rFonts w:ascii="Tahoma" w:hAnsi="Tahoma" w:cs="Calibri"/>
          <w:b/>
          <w:sz w:val="56"/>
          <w:szCs w:val="24"/>
          <w:lang w:eastAsia="en-AU"/>
        </w:rPr>
      </w:pPr>
      <w:bookmarkStart w:id="0" w:name="_Toc318898140"/>
      <w:bookmarkStart w:id="1" w:name="_Toc318885482"/>
    </w:p>
    <w:p w:rsidR="005E33D3" w:rsidRPr="005E33D3" w:rsidRDefault="005E33D3" w:rsidP="005E33D3">
      <w:pPr>
        <w:tabs>
          <w:tab w:val="left" w:pos="1701"/>
        </w:tabs>
        <w:jc w:val="center"/>
        <w:rPr>
          <w:rFonts w:ascii="Tahoma" w:hAnsi="Tahoma" w:cs="Calibri"/>
          <w:b/>
          <w:sz w:val="56"/>
          <w:szCs w:val="24"/>
          <w:lang w:eastAsia="en-AU"/>
        </w:rPr>
      </w:pPr>
      <w:r w:rsidRPr="005E33D3">
        <w:rPr>
          <w:rFonts w:ascii="Tahoma" w:hAnsi="Tahoma" w:cs="Calibri"/>
          <w:b/>
          <w:sz w:val="56"/>
          <w:szCs w:val="24"/>
          <w:lang w:eastAsia="en-AU"/>
        </w:rPr>
        <w:t>Annual Wage Review</w:t>
      </w:r>
      <w:bookmarkStart w:id="2" w:name="_Toc318898141"/>
      <w:bookmarkStart w:id="3" w:name="_Toc318885483"/>
      <w:bookmarkEnd w:id="0"/>
      <w:bookmarkEnd w:id="1"/>
      <w:r w:rsidRPr="005E33D3">
        <w:rPr>
          <w:rFonts w:ascii="Tahoma" w:hAnsi="Tahoma" w:cs="Calibri"/>
          <w:b/>
          <w:sz w:val="56"/>
          <w:szCs w:val="24"/>
          <w:lang w:eastAsia="en-AU"/>
        </w:rPr>
        <w:t xml:space="preserve"> 201</w:t>
      </w:r>
      <w:bookmarkEnd w:id="2"/>
      <w:bookmarkEnd w:id="3"/>
      <w:r w:rsidRPr="005E33D3">
        <w:rPr>
          <w:rFonts w:ascii="Tahoma" w:hAnsi="Tahoma" w:cs="Calibri"/>
          <w:b/>
          <w:sz w:val="56"/>
          <w:szCs w:val="24"/>
          <w:lang w:eastAsia="en-AU"/>
        </w:rPr>
        <w:t>4</w:t>
      </w:r>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r w:rsidRPr="005E33D3">
        <w:rPr>
          <w:rFonts w:ascii="Tahoma" w:hAnsi="Tahoma" w:cs="Calibri"/>
          <w:b/>
          <w:sz w:val="56"/>
          <w:szCs w:val="24"/>
          <w:lang w:eastAsia="en-AU"/>
        </w:rPr>
        <w:t>Australian Government</w:t>
      </w:r>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r w:rsidRPr="005E33D3">
        <w:rPr>
          <w:rFonts w:ascii="Tahoma" w:hAnsi="Tahoma" w:cs="Calibri"/>
          <w:b/>
          <w:sz w:val="56"/>
          <w:szCs w:val="24"/>
          <w:lang w:eastAsia="en-AU"/>
        </w:rPr>
        <w:t>Response</w:t>
      </w:r>
      <w:bookmarkStart w:id="4" w:name="_Toc318898138"/>
      <w:bookmarkStart w:id="5" w:name="_Toc318885480"/>
      <w:r w:rsidRPr="005E33D3">
        <w:rPr>
          <w:rFonts w:ascii="Tahoma" w:hAnsi="Tahoma" w:cs="Calibri"/>
          <w:b/>
          <w:sz w:val="56"/>
          <w:szCs w:val="24"/>
          <w:lang w:eastAsia="en-AU"/>
        </w:rPr>
        <w:t xml:space="preserve"> to the</w:t>
      </w:r>
      <w:bookmarkEnd w:id="4"/>
      <w:bookmarkEnd w:id="5"/>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r w:rsidRPr="005E33D3">
        <w:rPr>
          <w:rFonts w:ascii="Tahoma" w:hAnsi="Tahoma" w:cs="Calibri"/>
          <w:b/>
          <w:sz w:val="56"/>
          <w:szCs w:val="24"/>
          <w:lang w:eastAsia="en-AU"/>
        </w:rPr>
        <w:t>Consultation Questions</w:t>
      </w:r>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bookmarkStart w:id="6" w:name="_Toc318898142"/>
      <w:bookmarkStart w:id="7" w:name="_Toc318885484"/>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p>
    <w:p w:rsidR="005E33D3" w:rsidRPr="005E33D3" w:rsidRDefault="005E33D3" w:rsidP="005E33D3">
      <w:pPr>
        <w:tabs>
          <w:tab w:val="left" w:pos="1701"/>
        </w:tabs>
        <w:jc w:val="center"/>
        <w:rPr>
          <w:rFonts w:ascii="Tahoma" w:hAnsi="Tahoma" w:cs="Calibri"/>
          <w:b/>
          <w:sz w:val="56"/>
          <w:szCs w:val="24"/>
          <w:lang w:eastAsia="en-AU"/>
        </w:rPr>
      </w:pPr>
      <w:r w:rsidRPr="005E33D3">
        <w:rPr>
          <w:rFonts w:ascii="Tahoma" w:hAnsi="Tahoma" w:cs="Calibri"/>
          <w:b/>
          <w:sz w:val="56"/>
          <w:szCs w:val="24"/>
          <w:lang w:eastAsia="en-AU"/>
        </w:rPr>
        <w:t>16 May 201</w:t>
      </w:r>
      <w:bookmarkEnd w:id="6"/>
      <w:bookmarkEnd w:id="7"/>
      <w:r w:rsidRPr="005E33D3">
        <w:rPr>
          <w:rFonts w:ascii="Tahoma" w:hAnsi="Tahoma" w:cs="Calibri"/>
          <w:b/>
          <w:sz w:val="56"/>
          <w:szCs w:val="24"/>
          <w:lang w:eastAsia="en-AU"/>
        </w:rPr>
        <w:t>4</w:t>
      </w:r>
    </w:p>
    <w:p w:rsidR="005E33D3" w:rsidRPr="005E33D3" w:rsidRDefault="005E33D3" w:rsidP="005E33D3">
      <w:pPr>
        <w:tabs>
          <w:tab w:val="left" w:pos="1701"/>
        </w:tabs>
        <w:rPr>
          <w:rFonts w:ascii="Calibri" w:hAnsi="Calibri" w:cs="Calibri"/>
          <w:sz w:val="24"/>
          <w:szCs w:val="24"/>
          <w:lang w:eastAsia="en-AU"/>
        </w:rPr>
      </w:pPr>
      <w:r w:rsidRPr="005E33D3">
        <w:rPr>
          <w:rFonts w:ascii="Calibri" w:hAnsi="Calibri" w:cs="Calibri"/>
          <w:sz w:val="24"/>
          <w:szCs w:val="24"/>
          <w:lang w:eastAsia="en-AU"/>
        </w:rPr>
        <w:br w:type="page"/>
      </w:r>
    </w:p>
    <w:p w:rsidR="005E33D3" w:rsidRPr="005E33D3" w:rsidRDefault="005E33D3" w:rsidP="005E33D3">
      <w:pPr>
        <w:keepNext/>
        <w:widowControl w:val="0"/>
        <w:tabs>
          <w:tab w:val="left" w:pos="1701"/>
        </w:tabs>
        <w:suppressAutoHyphens/>
        <w:autoSpaceDE w:val="0"/>
        <w:autoSpaceDN w:val="0"/>
        <w:adjustRightInd w:val="0"/>
        <w:spacing w:after="120"/>
        <w:outlineLvl w:val="0"/>
        <w:rPr>
          <w:rFonts w:ascii="Calibri" w:hAnsi="Calibri" w:cs="HelveticaNeueLT-BoldCond"/>
          <w:b/>
          <w:bCs/>
          <w:color w:val="C0504D" w:themeColor="accent2"/>
          <w:kern w:val="32"/>
          <w:sz w:val="44"/>
          <w:szCs w:val="44"/>
          <w:lang w:eastAsia="en-AU"/>
        </w:rPr>
      </w:pPr>
      <w:bookmarkStart w:id="8" w:name="_Toc383778895"/>
      <w:bookmarkStart w:id="9" w:name="_Toc386727415"/>
      <w:bookmarkEnd w:id="8"/>
      <w:r w:rsidRPr="005E33D3">
        <w:rPr>
          <w:rFonts w:ascii="Calibri" w:hAnsi="Calibri" w:cs="HelveticaNeueLT-BoldCond"/>
          <w:b/>
          <w:bCs/>
          <w:color w:val="C0504D" w:themeColor="accent2"/>
          <w:kern w:val="32"/>
          <w:sz w:val="44"/>
          <w:szCs w:val="44"/>
          <w:lang w:eastAsia="en-AU"/>
        </w:rPr>
        <w:lastRenderedPageBreak/>
        <w:t>Quantum of increase</w:t>
      </w:r>
      <w:bookmarkEnd w:id="9"/>
    </w:p>
    <w:p w:rsidR="005E33D3" w:rsidRPr="005E33D3"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r w:rsidRPr="005E33D3">
        <w:rPr>
          <w:rFonts w:asciiTheme="minorHAnsi" w:hAnsiTheme="minorHAnsi" w:cstheme="minorHAnsi"/>
          <w:b/>
          <w:bCs/>
          <w:iCs/>
          <w:color w:val="8064A2" w:themeColor="accent4"/>
          <w:sz w:val="36"/>
          <w:szCs w:val="32"/>
        </w:rPr>
        <w:t>Question 1.1</w:t>
      </w:r>
    </w:p>
    <w:p w:rsidR="005E33D3" w:rsidRPr="005E33D3" w:rsidRDefault="005E33D3" w:rsidP="005E33D3">
      <w:pPr>
        <w:keepNext/>
        <w:keepLines/>
        <w:spacing w:before="200"/>
        <w:outlineLvl w:val="2"/>
        <w:rPr>
          <w:rFonts w:ascii="Calibri" w:hAnsi="Calibri" w:cs="Arial"/>
          <w:b/>
          <w:bCs/>
          <w:color w:val="365F91" w:themeColor="accent1" w:themeShade="BF"/>
          <w:sz w:val="28"/>
          <w:szCs w:val="28"/>
          <w:lang w:eastAsia="en-AU"/>
        </w:rPr>
      </w:pPr>
      <w:r w:rsidRPr="005E33D3">
        <w:rPr>
          <w:rFonts w:ascii="Calibri" w:hAnsi="Calibri" w:cs="Arial"/>
          <w:b/>
          <w:bCs/>
          <w:color w:val="365F91" w:themeColor="accent1" w:themeShade="BF"/>
          <w:sz w:val="28"/>
          <w:szCs w:val="28"/>
          <w:lang w:eastAsia="en-AU"/>
        </w:rPr>
        <w:t>The Queensland Government and New South Wales Government recommended that the Commission take a “</w:t>
      </w:r>
      <w:r w:rsidRPr="005E33D3">
        <w:rPr>
          <w:rFonts w:ascii="Calibri" w:hAnsi="Calibri" w:cs="Arial"/>
          <w:b/>
          <w:bCs/>
          <w:i/>
          <w:color w:val="365F91" w:themeColor="accent1" w:themeShade="BF"/>
          <w:sz w:val="28"/>
          <w:szCs w:val="28"/>
          <w:lang w:eastAsia="en-AU"/>
        </w:rPr>
        <w:t>cautious approach</w:t>
      </w:r>
      <w:r w:rsidRPr="005E33D3">
        <w:rPr>
          <w:rFonts w:ascii="Calibri" w:hAnsi="Calibri" w:cs="Arial"/>
          <w:b/>
          <w:bCs/>
          <w:color w:val="365F91" w:themeColor="accent1" w:themeShade="BF"/>
          <w:sz w:val="28"/>
          <w:szCs w:val="28"/>
          <w:lang w:eastAsia="en-AU"/>
        </w:rPr>
        <w:t>” in determining the level of any adjustment in minimum wage rates. The Australian Government also submitted that a “</w:t>
      </w:r>
      <w:r w:rsidRPr="005E33D3">
        <w:rPr>
          <w:rFonts w:ascii="Calibri" w:hAnsi="Calibri" w:cs="Arial"/>
          <w:b/>
          <w:bCs/>
          <w:i/>
          <w:color w:val="365F91" w:themeColor="accent1" w:themeShade="BF"/>
          <w:sz w:val="28"/>
          <w:szCs w:val="28"/>
          <w:lang w:eastAsia="en-AU"/>
        </w:rPr>
        <w:t>cautious approach</w:t>
      </w:r>
      <w:r w:rsidRPr="005E33D3">
        <w:rPr>
          <w:rFonts w:ascii="Calibri" w:hAnsi="Calibri" w:cs="Arial"/>
          <w:b/>
          <w:bCs/>
          <w:color w:val="365F91" w:themeColor="accent1" w:themeShade="BF"/>
          <w:sz w:val="28"/>
          <w:szCs w:val="28"/>
          <w:lang w:eastAsia="en-AU"/>
        </w:rPr>
        <w:t>” is needed in order to support the economy through an economic transition. The Victorian Government submitted that the Panel should “</w:t>
      </w:r>
      <w:r w:rsidRPr="005E33D3">
        <w:rPr>
          <w:rFonts w:ascii="Calibri" w:hAnsi="Calibri" w:cs="Arial"/>
          <w:b/>
          <w:bCs/>
          <w:i/>
          <w:color w:val="365F91" w:themeColor="accent1" w:themeShade="BF"/>
          <w:sz w:val="28"/>
          <w:szCs w:val="28"/>
          <w:lang w:eastAsia="en-AU"/>
        </w:rPr>
        <w:t>exercise caution</w:t>
      </w:r>
      <w:r w:rsidRPr="005E33D3">
        <w:rPr>
          <w:rFonts w:ascii="Calibri" w:hAnsi="Calibri" w:cs="Arial"/>
          <w:b/>
          <w:bCs/>
          <w:color w:val="365F91" w:themeColor="accent1" w:themeShade="BF"/>
          <w:sz w:val="28"/>
          <w:szCs w:val="28"/>
          <w:lang w:eastAsia="en-AU"/>
        </w:rPr>
        <w:t>”, while the Western Australian Government supported the Panel taking “</w:t>
      </w:r>
      <w:r w:rsidRPr="005E33D3">
        <w:rPr>
          <w:rFonts w:ascii="Calibri" w:hAnsi="Calibri" w:cs="Arial"/>
          <w:b/>
          <w:bCs/>
          <w:i/>
          <w:color w:val="365F91" w:themeColor="accent1" w:themeShade="BF"/>
          <w:sz w:val="28"/>
          <w:szCs w:val="28"/>
          <w:lang w:eastAsia="en-AU"/>
        </w:rPr>
        <w:t>a balanced approach to the 2013–14 Review</w:t>
      </w:r>
      <w:r w:rsidRPr="005E33D3">
        <w:rPr>
          <w:rFonts w:ascii="Calibri" w:hAnsi="Calibri" w:cs="Arial"/>
          <w:b/>
          <w:bCs/>
          <w:color w:val="365F91" w:themeColor="accent1" w:themeShade="BF"/>
          <w:sz w:val="28"/>
          <w:szCs w:val="28"/>
          <w:lang w:eastAsia="en-AU"/>
        </w:rPr>
        <w:t xml:space="preserve">”. </w:t>
      </w:r>
    </w:p>
    <w:p w:rsidR="005E33D3" w:rsidRPr="005E33D3" w:rsidRDefault="005E33D3" w:rsidP="005E33D3">
      <w:pPr>
        <w:keepNext/>
        <w:keepLines/>
        <w:spacing w:before="200"/>
        <w:outlineLvl w:val="2"/>
        <w:rPr>
          <w:rFonts w:ascii="Calibri" w:hAnsi="Calibri" w:cs="Arial"/>
          <w:b/>
          <w:bCs/>
          <w:color w:val="365F91" w:themeColor="accent1" w:themeShade="BF"/>
          <w:sz w:val="28"/>
          <w:szCs w:val="28"/>
          <w:lang w:eastAsia="en-AU"/>
        </w:rPr>
      </w:pPr>
      <w:r w:rsidRPr="005E33D3">
        <w:rPr>
          <w:rFonts w:ascii="Calibri" w:hAnsi="Calibri" w:cs="Arial"/>
          <w:b/>
          <w:bCs/>
          <w:color w:val="365F91" w:themeColor="accent1" w:themeShade="BF"/>
          <w:sz w:val="28"/>
          <w:szCs w:val="28"/>
          <w:lang w:eastAsia="en-AU"/>
        </w:rPr>
        <w:t>Given that these submissions did not specify a quantum of increase, what is the position of these parties on what would constitute a “</w:t>
      </w:r>
      <w:r w:rsidRPr="005E33D3">
        <w:rPr>
          <w:rFonts w:ascii="Calibri" w:hAnsi="Calibri" w:cs="Arial"/>
          <w:b/>
          <w:bCs/>
          <w:i/>
          <w:color w:val="365F91" w:themeColor="accent1" w:themeShade="BF"/>
          <w:sz w:val="28"/>
          <w:szCs w:val="28"/>
          <w:lang w:eastAsia="en-AU"/>
        </w:rPr>
        <w:t>cautious</w:t>
      </w:r>
      <w:r w:rsidRPr="005E33D3">
        <w:rPr>
          <w:rFonts w:ascii="Calibri" w:hAnsi="Calibri" w:cs="Arial"/>
          <w:b/>
          <w:bCs/>
          <w:color w:val="365F91" w:themeColor="accent1" w:themeShade="BF"/>
          <w:sz w:val="28"/>
          <w:szCs w:val="28"/>
          <w:lang w:eastAsia="en-AU"/>
        </w:rPr>
        <w:t>” or “</w:t>
      </w:r>
      <w:r w:rsidRPr="005E33D3">
        <w:rPr>
          <w:rFonts w:ascii="Calibri" w:hAnsi="Calibri" w:cs="Arial"/>
          <w:b/>
          <w:bCs/>
          <w:i/>
          <w:color w:val="365F91" w:themeColor="accent1" w:themeShade="BF"/>
          <w:sz w:val="28"/>
          <w:szCs w:val="28"/>
          <w:lang w:eastAsia="en-AU"/>
        </w:rPr>
        <w:t>balanced</w:t>
      </w:r>
      <w:r w:rsidRPr="005E33D3">
        <w:rPr>
          <w:rFonts w:ascii="Calibri" w:hAnsi="Calibri" w:cs="Arial"/>
          <w:b/>
          <w:bCs/>
          <w:color w:val="365F91" w:themeColor="accent1" w:themeShade="BF"/>
          <w:sz w:val="28"/>
          <w:szCs w:val="28"/>
          <w:lang w:eastAsia="en-AU"/>
        </w:rPr>
        <w:t>” approach when considering a dollar or percentage outcome for the Annual Wage Review 2013–14?</w:t>
      </w:r>
    </w:p>
    <w:p w:rsidR="007A1FDE" w:rsidRDefault="00BA5141" w:rsidP="004664CA">
      <w:pPr>
        <w:pStyle w:val="FWCstyle"/>
      </w:pPr>
      <w:r>
        <w:t>The Australian Government did not specify a particular dollar amount or percentage outcome in its initial sub</w:t>
      </w:r>
      <w:r w:rsidR="00734C2C">
        <w:t>mission to</w:t>
      </w:r>
      <w:r>
        <w:t xml:space="preserve"> the Annual Wage Review 2013-14</w:t>
      </w:r>
      <w:r w:rsidR="00F268B8">
        <w:t xml:space="preserve"> and, respectfully, does not propose to do so</w:t>
      </w:r>
      <w:r>
        <w:t xml:space="preserve">.  The quantum of any increase is a matter for the Fair Work Commission to determine based on the evidence before it having taken into account the Minimum Wages Objective.  </w:t>
      </w:r>
      <w:r w:rsidR="007A1FDE">
        <w:t xml:space="preserve">No Australian Government submission to an annual wage review process since 2005 has specified an amount as a suggested outcome of an annual wage review. Further, it appears this is the first time in that period the Panel has requested the Australian Government to indicate an amount. </w:t>
      </w:r>
    </w:p>
    <w:p w:rsidR="00130DA6" w:rsidRDefault="00130DA6" w:rsidP="00BA5141">
      <w:pPr>
        <w:pStyle w:val="FWCstyle"/>
      </w:pPr>
      <w:r>
        <w:t xml:space="preserve">To the extent it may assist, the Australian Government can indicate the approach it is taking to the question of quantum of wages in </w:t>
      </w:r>
      <w:r w:rsidR="0056758E">
        <w:t xml:space="preserve">a </w:t>
      </w:r>
      <w:r>
        <w:t xml:space="preserve">different circumstance.  In respect of the federal public service, the new bargaining framework that applies to enterprise bargaining requires </w:t>
      </w:r>
      <w:r w:rsidR="0056758E">
        <w:t xml:space="preserve">that </w:t>
      </w:r>
      <w:r w:rsidR="00634A8A">
        <w:t xml:space="preserve">any increase in enterprise agreement </w:t>
      </w:r>
      <w:r>
        <w:t>wag</w:t>
      </w:r>
      <w:r w:rsidR="00634A8A">
        <w:t xml:space="preserve">es must be </w:t>
      </w:r>
      <w:r>
        <w:t>sustainable</w:t>
      </w:r>
      <w:r w:rsidR="00634A8A">
        <w:t>,</w:t>
      </w:r>
      <w:r>
        <w:t xml:space="preserve"> from within existing operating budgets</w:t>
      </w:r>
      <w:r w:rsidR="00634A8A">
        <w:t xml:space="preserve">, and </w:t>
      </w:r>
      <w:r>
        <w:t xml:space="preserve">offset by genuine productivity gains.   </w:t>
      </w:r>
    </w:p>
    <w:p w:rsidR="005E33D3" w:rsidRPr="00B66C3D" w:rsidRDefault="007A1FDE" w:rsidP="00BA5141">
      <w:pPr>
        <w:pStyle w:val="FWCstyle"/>
      </w:pPr>
      <w:r>
        <w:t>By its submission</w:t>
      </w:r>
      <w:r w:rsidR="0056758E">
        <w:t>s in this matter</w:t>
      </w:r>
      <w:r>
        <w:t>, t</w:t>
      </w:r>
      <w:r w:rsidR="00BA5141">
        <w:t xml:space="preserve">he Australian Government seeks to assist the Commission with information that may inform the exercise of the </w:t>
      </w:r>
      <w:r w:rsidR="00F268B8">
        <w:t xml:space="preserve">Panel’s </w:t>
      </w:r>
      <w:r w:rsidR="00BA5141">
        <w:t>discretion and judgement</w:t>
      </w:r>
      <w:r w:rsidR="00F268B8">
        <w:t xml:space="preserve"> in the task before it</w:t>
      </w:r>
      <w:r w:rsidR="00BA5141">
        <w:t xml:space="preserve">.  To that end, </w:t>
      </w:r>
      <w:r w:rsidR="00B66C3D" w:rsidRPr="00B66C3D">
        <w:t xml:space="preserve">the 2014-15 Budget forecasts </w:t>
      </w:r>
      <w:r w:rsidR="00B66C3D" w:rsidRPr="00D37B12">
        <w:t xml:space="preserve">unemployment </w:t>
      </w:r>
      <w:r w:rsidR="00190A05">
        <w:t xml:space="preserve">to </w:t>
      </w:r>
      <w:r w:rsidR="00634A8A">
        <w:t xml:space="preserve">reach </w:t>
      </w:r>
      <w:r w:rsidR="004646EC" w:rsidRPr="00D37B12">
        <w:t>6¼</w:t>
      </w:r>
      <w:r w:rsidR="00FE345A">
        <w:t> </w:t>
      </w:r>
      <w:r w:rsidR="004646EC" w:rsidRPr="00D37B12">
        <w:t>per cent</w:t>
      </w:r>
      <w:r w:rsidR="004646EC" w:rsidRPr="008D39BB">
        <w:t xml:space="preserve"> through the year to the June quarter 2015 and 2016</w:t>
      </w:r>
      <w:r w:rsidR="004646EC">
        <w:t xml:space="preserve"> </w:t>
      </w:r>
      <w:r w:rsidR="00B66C3D" w:rsidRPr="00B66C3D">
        <w:t xml:space="preserve">and wages will grow by </w:t>
      </w:r>
      <w:r w:rsidR="00D37B12">
        <w:t>3</w:t>
      </w:r>
      <w:r w:rsidR="00FE345A">
        <w:t> </w:t>
      </w:r>
      <w:r w:rsidR="00D37B12">
        <w:t>per cent</w:t>
      </w:r>
      <w:r w:rsidR="00190A05">
        <w:t xml:space="preserve"> per year</w:t>
      </w:r>
      <w:r w:rsidR="00D37B12">
        <w:t xml:space="preserve"> over the two years</w:t>
      </w:r>
      <w:r w:rsidR="00B66C3D" w:rsidRPr="00B66C3D">
        <w:t xml:space="preserve">. </w:t>
      </w:r>
      <w:r w:rsidR="00AE57A6">
        <w:t>L</w:t>
      </w:r>
      <w:r w:rsidR="00B66C3D" w:rsidRPr="00B66C3D">
        <w:t>ower aggregate wage growth is an important part of th</w:t>
      </w:r>
      <w:r w:rsidR="007E2046">
        <w:t>e</w:t>
      </w:r>
      <w:r w:rsidR="00B66C3D" w:rsidRPr="00B66C3D">
        <w:t xml:space="preserve"> transition</w:t>
      </w:r>
      <w:r w:rsidR="007E2046">
        <w:t>s occurring in the Australian economy due to the tapering of the resources boom</w:t>
      </w:r>
      <w:r w:rsidR="00B66C3D" w:rsidRPr="00B66C3D">
        <w:t>.</w:t>
      </w:r>
      <w:r w:rsidR="007E2046">
        <w:t xml:space="preserve"> It is in this context that the Australian Government </w:t>
      </w:r>
      <w:r w:rsidR="00BA5141">
        <w:t xml:space="preserve">has </w:t>
      </w:r>
      <w:r w:rsidR="007E2046">
        <w:t>call</w:t>
      </w:r>
      <w:r w:rsidR="00BA5141">
        <w:t>ed</w:t>
      </w:r>
      <w:r w:rsidR="007E2046">
        <w:t xml:space="preserve"> </w:t>
      </w:r>
      <w:r w:rsidR="00BA5141">
        <w:t xml:space="preserve">upon the Commission to take </w:t>
      </w:r>
      <w:r w:rsidR="007E2046">
        <w:t>a cautious approach.</w:t>
      </w:r>
    </w:p>
    <w:p w:rsidR="00F10391" w:rsidRPr="008F39B8" w:rsidRDefault="00BA5141" w:rsidP="004664CA">
      <w:pPr>
        <w:pStyle w:val="FWCstyle"/>
      </w:pPr>
      <w:r>
        <w:t xml:space="preserve">By way of historical background, </w:t>
      </w:r>
      <w:r w:rsidR="00D37B12">
        <w:t>T</w:t>
      </w:r>
      <w:r w:rsidR="00F10391" w:rsidRPr="008F39B8">
        <w:t xml:space="preserve">able 1 </w:t>
      </w:r>
      <w:r w:rsidR="00D37B12">
        <w:t xml:space="preserve">below </w:t>
      </w:r>
      <w:r>
        <w:t>list</w:t>
      </w:r>
      <w:r w:rsidR="000E0315">
        <w:t>s</w:t>
      </w:r>
      <w:r>
        <w:t xml:space="preserve"> </w:t>
      </w:r>
      <w:r w:rsidR="00F10391" w:rsidRPr="008F39B8">
        <w:t>the spread of recent minimum wage decisions.</w:t>
      </w:r>
      <w:r w:rsidR="008F39B8">
        <w:t xml:space="preserve"> </w:t>
      </w:r>
    </w:p>
    <w:p w:rsidR="00E62B42" w:rsidRDefault="00E62B42" w:rsidP="000027F1">
      <w:pPr>
        <w:pStyle w:val="FWCstyle"/>
        <w:numPr>
          <w:ilvl w:val="0"/>
          <w:numId w:val="0"/>
        </w:numPr>
        <w:ind w:left="360"/>
      </w:pPr>
    </w:p>
    <w:p w:rsidR="00F10391" w:rsidRPr="005A3796" w:rsidRDefault="00F10391" w:rsidP="00F10391">
      <w:pPr>
        <w:pStyle w:val="ListParagraph"/>
        <w:keepNext/>
        <w:ind w:left="0"/>
        <w:rPr>
          <w:rFonts w:asciiTheme="minorHAnsi" w:hAnsiTheme="minorHAnsi" w:cs="Arial"/>
          <w:i/>
          <w:sz w:val="24"/>
        </w:rPr>
      </w:pPr>
      <w:r w:rsidRPr="005A3796">
        <w:rPr>
          <w:rFonts w:asciiTheme="minorHAnsi" w:hAnsiTheme="minorHAnsi" w:cs="Arial"/>
          <w:b/>
          <w:bCs/>
          <w:i/>
          <w:sz w:val="24"/>
        </w:rPr>
        <w:lastRenderedPageBreak/>
        <w:t>Table 1: Minimum wage increases since 1997</w:t>
      </w:r>
    </w:p>
    <w:tbl>
      <w:tblPr>
        <w:tblW w:w="8767" w:type="dxa"/>
        <w:tblInd w:w="108" w:type="dxa"/>
        <w:tblCellMar>
          <w:left w:w="0" w:type="dxa"/>
          <w:right w:w="0" w:type="dxa"/>
        </w:tblCellMar>
        <w:tblLook w:val="04A0"/>
      </w:tblPr>
      <w:tblGrid>
        <w:gridCol w:w="1843"/>
        <w:gridCol w:w="1143"/>
        <w:gridCol w:w="1091"/>
        <w:gridCol w:w="1204"/>
        <w:gridCol w:w="222"/>
        <w:gridCol w:w="1143"/>
        <w:gridCol w:w="1091"/>
        <w:gridCol w:w="1030"/>
      </w:tblGrid>
      <w:tr w:rsidR="00F10391" w:rsidRPr="004664CA" w:rsidTr="000F0D93">
        <w:trPr>
          <w:trHeight w:val="230"/>
        </w:trPr>
        <w:tc>
          <w:tcPr>
            <w:tcW w:w="1843" w:type="dxa"/>
            <w:vMerge w:val="restart"/>
            <w:tcBorders>
              <w:top w:val="single" w:sz="8" w:space="0" w:color="auto"/>
              <w:left w:val="nil"/>
              <w:bottom w:val="single" w:sz="8" w:space="0" w:color="auto"/>
              <w:right w:val="nil"/>
            </w:tcBorders>
            <w:noWrap/>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szCs w:val="22"/>
              </w:rPr>
            </w:pPr>
            <w:r w:rsidRPr="004664CA">
              <w:rPr>
                <w:rFonts w:asciiTheme="minorHAnsi" w:hAnsiTheme="minorHAnsi" w:cstheme="minorHAnsi"/>
                <w:szCs w:val="22"/>
              </w:rPr>
              <w:t> </w:t>
            </w:r>
          </w:p>
          <w:p w:rsidR="00F10391" w:rsidRPr="004664CA" w:rsidRDefault="00F10391" w:rsidP="000F0D93">
            <w:pPr>
              <w:keepNext/>
              <w:rPr>
                <w:rFonts w:asciiTheme="minorHAnsi" w:hAnsiTheme="minorHAnsi" w:cstheme="minorHAnsi"/>
                <w:b/>
                <w:bCs/>
                <w:szCs w:val="22"/>
              </w:rPr>
            </w:pPr>
            <w:r w:rsidRPr="004664CA">
              <w:rPr>
                <w:rFonts w:asciiTheme="minorHAnsi" w:hAnsiTheme="minorHAnsi" w:cstheme="minorHAnsi"/>
                <w:szCs w:val="22"/>
              </w:rPr>
              <w:t> </w:t>
            </w:r>
          </w:p>
        </w:tc>
        <w:tc>
          <w:tcPr>
            <w:tcW w:w="3438" w:type="dxa"/>
            <w:gridSpan w:val="3"/>
            <w:tcBorders>
              <w:top w:val="single" w:sz="8" w:space="0" w:color="auto"/>
              <w:left w:val="nil"/>
              <w:bottom w:val="single" w:sz="8" w:space="0" w:color="auto"/>
              <w:right w:val="nil"/>
            </w:tcBorders>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szCs w:val="22"/>
              </w:rPr>
              <w:t>Actual</w:t>
            </w:r>
          </w:p>
        </w:tc>
        <w:tc>
          <w:tcPr>
            <w:tcW w:w="222" w:type="dxa"/>
            <w:vMerge w:val="restart"/>
            <w:tcBorders>
              <w:top w:val="single" w:sz="8" w:space="0" w:color="auto"/>
              <w:left w:val="nil"/>
              <w:bottom w:val="single" w:sz="8" w:space="0" w:color="auto"/>
              <w:right w:val="nil"/>
            </w:tcBorders>
            <w:tcMar>
              <w:top w:w="0" w:type="dxa"/>
              <w:left w:w="108" w:type="dxa"/>
              <w:bottom w:w="0" w:type="dxa"/>
              <w:right w:w="108" w:type="dxa"/>
            </w:tcMar>
          </w:tcPr>
          <w:p w:rsidR="00F10391" w:rsidRPr="004664CA" w:rsidRDefault="00F10391" w:rsidP="000F0D93">
            <w:pPr>
              <w:keepNext/>
              <w:jc w:val="center"/>
              <w:rPr>
                <w:rFonts w:asciiTheme="minorHAnsi" w:hAnsiTheme="minorHAnsi" w:cstheme="minorHAnsi"/>
                <w:b/>
                <w:bCs/>
                <w:szCs w:val="22"/>
              </w:rPr>
            </w:pPr>
          </w:p>
        </w:tc>
        <w:tc>
          <w:tcPr>
            <w:tcW w:w="3264" w:type="dxa"/>
            <w:gridSpan w:val="3"/>
            <w:tcBorders>
              <w:top w:val="single" w:sz="8" w:space="0" w:color="auto"/>
              <w:left w:val="nil"/>
              <w:bottom w:val="single" w:sz="8" w:space="0" w:color="auto"/>
              <w:right w:val="nil"/>
            </w:tcBorders>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szCs w:val="22"/>
              </w:rPr>
              <w:t>Annualised (a)</w:t>
            </w:r>
          </w:p>
        </w:tc>
      </w:tr>
      <w:tr w:rsidR="00F10391" w:rsidRPr="004664CA" w:rsidTr="000F0D93">
        <w:trPr>
          <w:trHeight w:val="551"/>
        </w:trPr>
        <w:tc>
          <w:tcPr>
            <w:tcW w:w="1843" w:type="dxa"/>
            <w:vMerge/>
            <w:tcBorders>
              <w:top w:val="single" w:sz="8" w:space="0" w:color="auto"/>
              <w:left w:val="nil"/>
              <w:bottom w:val="single" w:sz="8" w:space="0" w:color="auto"/>
              <w:right w:val="nil"/>
            </w:tcBorders>
            <w:vAlign w:val="center"/>
            <w:hideMark/>
          </w:tcPr>
          <w:p w:rsidR="00F10391" w:rsidRPr="004664CA" w:rsidRDefault="00F10391" w:rsidP="000F0D93">
            <w:pPr>
              <w:keepNext/>
              <w:rPr>
                <w:rFonts w:asciiTheme="minorHAnsi" w:hAnsiTheme="minorHAnsi" w:cstheme="minorHAnsi"/>
                <w:b/>
                <w:bCs/>
                <w:szCs w:val="22"/>
              </w:rPr>
            </w:pPr>
          </w:p>
        </w:tc>
        <w:tc>
          <w:tcPr>
            <w:tcW w:w="1143" w:type="dxa"/>
            <w:tcBorders>
              <w:top w:val="nil"/>
              <w:left w:val="nil"/>
              <w:bottom w:val="single" w:sz="8" w:space="0" w:color="auto"/>
              <w:right w:val="nil"/>
            </w:tcBorders>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bCs/>
                <w:szCs w:val="22"/>
              </w:rPr>
              <w:t>Increase</w:t>
            </w:r>
            <w:r w:rsidRPr="004664CA">
              <w:rPr>
                <w:rFonts w:asciiTheme="minorHAnsi" w:hAnsiTheme="minorHAnsi" w:cstheme="minorHAnsi"/>
                <w:b/>
                <w:bCs/>
                <w:szCs w:val="22"/>
              </w:rPr>
              <w:br/>
              <w:t>$/wk</w:t>
            </w:r>
          </w:p>
        </w:tc>
        <w:tc>
          <w:tcPr>
            <w:tcW w:w="1091" w:type="dxa"/>
            <w:tcBorders>
              <w:top w:val="nil"/>
              <w:left w:val="nil"/>
              <w:bottom w:val="single" w:sz="8" w:space="0" w:color="auto"/>
              <w:right w:val="nil"/>
            </w:tcBorders>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bCs/>
                <w:szCs w:val="22"/>
              </w:rPr>
              <w:t>Nominal</w:t>
            </w:r>
            <w:r w:rsidRPr="004664CA">
              <w:rPr>
                <w:rFonts w:asciiTheme="minorHAnsi" w:hAnsiTheme="minorHAnsi" w:cstheme="minorHAnsi"/>
                <w:b/>
                <w:bCs/>
                <w:szCs w:val="22"/>
              </w:rPr>
              <w:br/>
              <w:t>(%)</w:t>
            </w:r>
          </w:p>
        </w:tc>
        <w:tc>
          <w:tcPr>
            <w:tcW w:w="1204" w:type="dxa"/>
            <w:tcBorders>
              <w:top w:val="nil"/>
              <w:left w:val="nil"/>
              <w:bottom w:val="single" w:sz="8" w:space="0" w:color="auto"/>
              <w:right w:val="nil"/>
            </w:tcBorders>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bCs/>
                <w:szCs w:val="22"/>
              </w:rPr>
              <w:t>Real</w:t>
            </w:r>
            <w:r w:rsidR="000F0D93" w:rsidRPr="004664CA">
              <w:rPr>
                <w:rFonts w:asciiTheme="minorHAnsi" w:hAnsiTheme="minorHAnsi" w:cstheme="minorHAnsi"/>
                <w:b/>
                <w:bCs/>
                <w:szCs w:val="22"/>
              </w:rPr>
              <w:t>(d)</w:t>
            </w:r>
            <w:r w:rsidRPr="004664CA">
              <w:rPr>
                <w:rFonts w:asciiTheme="minorHAnsi" w:hAnsiTheme="minorHAnsi" w:cstheme="minorHAnsi"/>
                <w:b/>
                <w:bCs/>
                <w:szCs w:val="22"/>
              </w:rPr>
              <w:br/>
              <w:t>(%)</w:t>
            </w:r>
          </w:p>
        </w:tc>
        <w:tc>
          <w:tcPr>
            <w:tcW w:w="0" w:type="auto"/>
            <w:vMerge/>
            <w:tcBorders>
              <w:top w:val="single" w:sz="8" w:space="0" w:color="auto"/>
              <w:left w:val="nil"/>
              <w:bottom w:val="single" w:sz="8" w:space="0" w:color="auto"/>
              <w:right w:val="nil"/>
            </w:tcBorders>
            <w:vAlign w:val="center"/>
            <w:hideMark/>
          </w:tcPr>
          <w:p w:rsidR="00F10391" w:rsidRPr="004664CA" w:rsidRDefault="00F10391" w:rsidP="000F0D93">
            <w:pPr>
              <w:keepNext/>
              <w:rPr>
                <w:rFonts w:asciiTheme="minorHAnsi" w:hAnsiTheme="minorHAnsi" w:cstheme="minorHAnsi"/>
                <w:b/>
                <w:bCs/>
                <w:szCs w:val="22"/>
              </w:rPr>
            </w:pPr>
          </w:p>
        </w:tc>
        <w:tc>
          <w:tcPr>
            <w:tcW w:w="1143" w:type="dxa"/>
            <w:tcBorders>
              <w:top w:val="nil"/>
              <w:left w:val="nil"/>
              <w:bottom w:val="single" w:sz="8" w:space="0" w:color="auto"/>
              <w:right w:val="nil"/>
            </w:tcBorders>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bCs/>
                <w:szCs w:val="22"/>
              </w:rPr>
              <w:t>Increase</w:t>
            </w:r>
            <w:r w:rsidRPr="004664CA">
              <w:rPr>
                <w:rFonts w:asciiTheme="minorHAnsi" w:hAnsiTheme="minorHAnsi" w:cstheme="minorHAnsi"/>
                <w:b/>
                <w:bCs/>
                <w:szCs w:val="22"/>
              </w:rPr>
              <w:br/>
              <w:t>$/wk</w:t>
            </w:r>
          </w:p>
        </w:tc>
        <w:tc>
          <w:tcPr>
            <w:tcW w:w="1091" w:type="dxa"/>
            <w:tcBorders>
              <w:top w:val="nil"/>
              <w:left w:val="nil"/>
              <w:bottom w:val="single" w:sz="8" w:space="0" w:color="auto"/>
              <w:right w:val="nil"/>
            </w:tcBorders>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bCs/>
                <w:szCs w:val="22"/>
              </w:rPr>
              <w:t>Nominal</w:t>
            </w:r>
            <w:r w:rsidRPr="004664CA">
              <w:rPr>
                <w:rFonts w:asciiTheme="minorHAnsi" w:hAnsiTheme="minorHAnsi" w:cstheme="minorHAnsi"/>
                <w:b/>
                <w:bCs/>
                <w:szCs w:val="22"/>
              </w:rPr>
              <w:br/>
              <w:t>(%)</w:t>
            </w:r>
          </w:p>
        </w:tc>
        <w:tc>
          <w:tcPr>
            <w:tcW w:w="1030" w:type="dxa"/>
            <w:tcBorders>
              <w:top w:val="nil"/>
              <w:left w:val="nil"/>
              <w:bottom w:val="single" w:sz="8" w:space="0" w:color="auto"/>
              <w:right w:val="nil"/>
            </w:tcBorders>
            <w:tcMar>
              <w:top w:w="0" w:type="dxa"/>
              <w:left w:w="108" w:type="dxa"/>
              <w:bottom w:w="0" w:type="dxa"/>
              <w:right w:w="108" w:type="dxa"/>
            </w:tcMa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bCs/>
                <w:szCs w:val="22"/>
              </w:rPr>
              <w:t>Real</w:t>
            </w:r>
            <w:r w:rsidRPr="004664CA">
              <w:rPr>
                <w:rFonts w:asciiTheme="minorHAnsi" w:hAnsiTheme="minorHAnsi" w:cstheme="minorHAnsi"/>
                <w:b/>
                <w:bCs/>
                <w:szCs w:val="22"/>
              </w:rPr>
              <w:br/>
              <w:t>(%)</w:t>
            </w:r>
          </w:p>
        </w:tc>
      </w:tr>
      <w:tr w:rsidR="00F10391" w:rsidRPr="004664CA" w:rsidTr="000F0D93">
        <w:trPr>
          <w:trHeight w:val="198"/>
        </w:trPr>
        <w:tc>
          <w:tcPr>
            <w:tcW w:w="8767" w:type="dxa"/>
            <w:gridSpan w:val="8"/>
            <w:tcBorders>
              <w:top w:val="nil"/>
              <w:left w:val="nil"/>
              <w:bottom w:val="single" w:sz="8" w:space="0" w:color="auto"/>
              <w:right w:val="nil"/>
            </w:tcBorders>
            <w:tcMar>
              <w:top w:w="0" w:type="dxa"/>
              <w:left w:w="108" w:type="dxa"/>
              <w:bottom w:w="0" w:type="dxa"/>
              <w:right w:w="108" w:type="dxa"/>
            </w:tcMar>
            <w:vAlign w:val="center"/>
            <w:hideMark/>
          </w:tcPr>
          <w:p w:rsidR="00F10391" w:rsidRPr="004664CA" w:rsidRDefault="00F10391" w:rsidP="000F0D93">
            <w:pPr>
              <w:keepNext/>
              <w:jc w:val="center"/>
              <w:rPr>
                <w:rFonts w:asciiTheme="minorHAnsi" w:hAnsiTheme="minorHAnsi" w:cstheme="minorHAnsi"/>
                <w:b/>
                <w:bCs/>
                <w:szCs w:val="22"/>
              </w:rPr>
            </w:pPr>
            <w:r w:rsidRPr="004664CA">
              <w:rPr>
                <w:rFonts w:asciiTheme="minorHAnsi" w:hAnsiTheme="minorHAnsi" w:cstheme="minorHAnsi"/>
                <w:b/>
                <w:szCs w:val="22"/>
              </w:rPr>
              <w:t>Australian Industrial Relations Commission</w:t>
            </w:r>
          </w:p>
        </w:tc>
      </w:tr>
      <w:tr w:rsidR="00F10391" w:rsidRPr="004664CA" w:rsidTr="000F0D93">
        <w:trPr>
          <w:trHeight w:val="255"/>
        </w:trPr>
        <w:tc>
          <w:tcPr>
            <w:tcW w:w="1843" w:type="dxa"/>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1997</w:t>
            </w: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10.00</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2.9</w:t>
            </w:r>
          </w:p>
        </w:tc>
        <w:tc>
          <w:tcPr>
            <w:tcW w:w="1204"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2.5</w:t>
            </w:r>
          </w:p>
        </w:tc>
        <w:tc>
          <w:tcPr>
            <w:tcW w:w="222" w:type="dxa"/>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10.00</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2.9</w:t>
            </w:r>
          </w:p>
        </w:tc>
        <w:tc>
          <w:tcPr>
            <w:tcW w:w="1030"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2.5</w:t>
            </w:r>
          </w:p>
        </w:tc>
      </w:tr>
      <w:tr w:rsidR="00F10391" w:rsidRPr="004664CA" w:rsidTr="000F0D93">
        <w:trPr>
          <w:trHeight w:val="255"/>
        </w:trPr>
        <w:tc>
          <w:tcPr>
            <w:tcW w:w="1843" w:type="dxa"/>
            <w:shd w:val="clear" w:color="auto" w:fill="DBE5F1"/>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1998</w:t>
            </w: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14.00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3.9</w:t>
            </w:r>
          </w:p>
        </w:tc>
        <w:tc>
          <w:tcPr>
            <w:tcW w:w="1204"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3.2</w:t>
            </w:r>
          </w:p>
        </w:tc>
        <w:tc>
          <w:tcPr>
            <w:tcW w:w="222" w:type="dxa"/>
            <w:shd w:val="clear" w:color="auto" w:fill="DBE5F1"/>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14.00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3.9</w:t>
            </w:r>
          </w:p>
        </w:tc>
        <w:tc>
          <w:tcPr>
            <w:tcW w:w="1030"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3.2</w:t>
            </w:r>
          </w:p>
        </w:tc>
      </w:tr>
      <w:tr w:rsidR="00F10391" w:rsidRPr="004664CA" w:rsidTr="000F0D93">
        <w:trPr>
          <w:trHeight w:val="255"/>
        </w:trPr>
        <w:tc>
          <w:tcPr>
            <w:tcW w:w="1843" w:type="dxa"/>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1999</w:t>
            </w: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12.00</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3.2</w:t>
            </w:r>
          </w:p>
        </w:tc>
        <w:tc>
          <w:tcPr>
            <w:tcW w:w="1204"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2.1</w:t>
            </w:r>
          </w:p>
        </w:tc>
        <w:tc>
          <w:tcPr>
            <w:tcW w:w="222" w:type="dxa"/>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12.00</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3.2</w:t>
            </w:r>
          </w:p>
        </w:tc>
        <w:tc>
          <w:tcPr>
            <w:tcW w:w="1030"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2.1</w:t>
            </w:r>
          </w:p>
        </w:tc>
      </w:tr>
      <w:tr w:rsidR="00F10391" w:rsidRPr="004664CA" w:rsidTr="000F0D93">
        <w:trPr>
          <w:trHeight w:val="255"/>
        </w:trPr>
        <w:tc>
          <w:tcPr>
            <w:tcW w:w="1843" w:type="dxa"/>
            <w:shd w:val="clear" w:color="auto" w:fill="DBE5F1"/>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2000</w:t>
            </w: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15.00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3.9</w:t>
            </w:r>
          </w:p>
        </w:tc>
        <w:tc>
          <w:tcPr>
            <w:tcW w:w="1204"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0.7</w:t>
            </w:r>
          </w:p>
        </w:tc>
        <w:tc>
          <w:tcPr>
            <w:tcW w:w="222" w:type="dxa"/>
            <w:shd w:val="clear" w:color="auto" w:fill="DBE5F1"/>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15.00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3.9</w:t>
            </w:r>
          </w:p>
        </w:tc>
        <w:tc>
          <w:tcPr>
            <w:tcW w:w="1030"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0.7</w:t>
            </w:r>
          </w:p>
        </w:tc>
      </w:tr>
      <w:tr w:rsidR="00F10391" w:rsidRPr="004664CA" w:rsidTr="000F0D93">
        <w:trPr>
          <w:trHeight w:val="255"/>
        </w:trPr>
        <w:tc>
          <w:tcPr>
            <w:tcW w:w="1843" w:type="dxa"/>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2001</w:t>
            </w: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13.00</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3.2</w:t>
            </w:r>
          </w:p>
        </w:tc>
        <w:tc>
          <w:tcPr>
            <w:tcW w:w="1204"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-2.6 (b)</w:t>
            </w:r>
          </w:p>
        </w:tc>
        <w:tc>
          <w:tcPr>
            <w:tcW w:w="222" w:type="dxa"/>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13.00</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3.2</w:t>
            </w:r>
          </w:p>
        </w:tc>
        <w:tc>
          <w:tcPr>
            <w:tcW w:w="1030"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-2.6</w:t>
            </w:r>
          </w:p>
        </w:tc>
      </w:tr>
      <w:tr w:rsidR="00F10391" w:rsidRPr="004664CA" w:rsidTr="000F0D93">
        <w:trPr>
          <w:trHeight w:val="255"/>
        </w:trPr>
        <w:tc>
          <w:tcPr>
            <w:tcW w:w="1843" w:type="dxa"/>
            <w:shd w:val="clear" w:color="auto" w:fill="DBE5F1"/>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2002</w:t>
            </w: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18.00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4.4</w:t>
            </w:r>
          </w:p>
        </w:tc>
        <w:tc>
          <w:tcPr>
            <w:tcW w:w="1204"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1.5</w:t>
            </w:r>
          </w:p>
        </w:tc>
        <w:tc>
          <w:tcPr>
            <w:tcW w:w="222" w:type="dxa"/>
            <w:shd w:val="clear" w:color="auto" w:fill="DBE5F1"/>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18.00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4.4</w:t>
            </w:r>
          </w:p>
        </w:tc>
        <w:tc>
          <w:tcPr>
            <w:tcW w:w="1030"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1.5</w:t>
            </w:r>
          </w:p>
        </w:tc>
      </w:tr>
      <w:tr w:rsidR="00F10391" w:rsidRPr="004664CA" w:rsidTr="000F0D93">
        <w:trPr>
          <w:trHeight w:val="255"/>
        </w:trPr>
        <w:tc>
          <w:tcPr>
            <w:tcW w:w="1843" w:type="dxa"/>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2003</w:t>
            </w: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17.00</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3.9</w:t>
            </w:r>
          </w:p>
        </w:tc>
        <w:tc>
          <w:tcPr>
            <w:tcW w:w="1204"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1.2</w:t>
            </w:r>
          </w:p>
        </w:tc>
        <w:tc>
          <w:tcPr>
            <w:tcW w:w="222" w:type="dxa"/>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17.00</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3.9</w:t>
            </w:r>
          </w:p>
        </w:tc>
        <w:tc>
          <w:tcPr>
            <w:tcW w:w="1030"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1.2</w:t>
            </w:r>
          </w:p>
        </w:tc>
      </w:tr>
      <w:tr w:rsidR="00F10391" w:rsidRPr="004664CA" w:rsidTr="000F0D93">
        <w:trPr>
          <w:trHeight w:val="255"/>
        </w:trPr>
        <w:tc>
          <w:tcPr>
            <w:tcW w:w="1843" w:type="dxa"/>
            <w:shd w:val="clear" w:color="auto" w:fill="DBE5F1"/>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2004</w:t>
            </w: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19.00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4.2</w:t>
            </w:r>
          </w:p>
        </w:tc>
        <w:tc>
          <w:tcPr>
            <w:tcW w:w="1204"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w:t>
            </w:r>
          </w:p>
        </w:tc>
        <w:tc>
          <w:tcPr>
            <w:tcW w:w="222" w:type="dxa"/>
            <w:shd w:val="clear" w:color="auto" w:fill="DBE5F1"/>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19.00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4.2</w:t>
            </w:r>
          </w:p>
        </w:tc>
        <w:tc>
          <w:tcPr>
            <w:tcW w:w="1030"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w:t>
            </w:r>
          </w:p>
        </w:tc>
      </w:tr>
      <w:tr w:rsidR="00F10391" w:rsidRPr="004664CA" w:rsidTr="000F0D93">
        <w:trPr>
          <w:trHeight w:val="255"/>
        </w:trPr>
        <w:tc>
          <w:tcPr>
            <w:tcW w:w="1843"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2005</w:t>
            </w:r>
          </w:p>
        </w:tc>
        <w:tc>
          <w:tcPr>
            <w:tcW w:w="1143"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17.00</w:t>
            </w:r>
          </w:p>
        </w:tc>
        <w:tc>
          <w:tcPr>
            <w:tcW w:w="1091"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3.6</w:t>
            </w:r>
          </w:p>
        </w:tc>
        <w:tc>
          <w:tcPr>
            <w:tcW w:w="1204"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1.1</w:t>
            </w:r>
          </w:p>
        </w:tc>
        <w:tc>
          <w:tcPr>
            <w:tcW w:w="222" w:type="dxa"/>
            <w:tcBorders>
              <w:top w:val="nil"/>
              <w:left w:val="nil"/>
              <w:bottom w:val="single" w:sz="8" w:space="0" w:color="auto"/>
              <w:right w:val="nil"/>
            </w:tcBorders>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17.00</w:t>
            </w:r>
          </w:p>
        </w:tc>
        <w:tc>
          <w:tcPr>
            <w:tcW w:w="1091"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3.6</w:t>
            </w:r>
          </w:p>
        </w:tc>
        <w:tc>
          <w:tcPr>
            <w:tcW w:w="1030"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1.1</w:t>
            </w:r>
          </w:p>
        </w:tc>
      </w:tr>
      <w:tr w:rsidR="00F10391" w:rsidRPr="004664CA" w:rsidTr="000F0D93">
        <w:trPr>
          <w:trHeight w:val="251"/>
        </w:trPr>
        <w:tc>
          <w:tcPr>
            <w:tcW w:w="8767" w:type="dxa"/>
            <w:gridSpan w:val="8"/>
            <w:tcBorders>
              <w:top w:val="nil"/>
              <w:left w:val="nil"/>
              <w:bottom w:val="single" w:sz="8" w:space="0" w:color="auto"/>
              <w:right w:val="nil"/>
            </w:tcBorders>
            <w:tcMar>
              <w:top w:w="0" w:type="dxa"/>
              <w:left w:w="108" w:type="dxa"/>
              <w:bottom w:w="0" w:type="dxa"/>
              <w:right w:w="108" w:type="dxa"/>
            </w:tcMar>
            <w:vAlign w:val="cente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b/>
                <w:szCs w:val="22"/>
              </w:rPr>
              <w:t>Australian Fair Pay Commission</w:t>
            </w:r>
          </w:p>
        </w:tc>
      </w:tr>
      <w:tr w:rsidR="00F10391" w:rsidRPr="004664CA" w:rsidTr="000F0D93">
        <w:trPr>
          <w:trHeight w:val="255"/>
        </w:trPr>
        <w:tc>
          <w:tcPr>
            <w:tcW w:w="1843" w:type="dxa"/>
            <w:shd w:val="clear" w:color="auto" w:fill="DBE5F1"/>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2006</w:t>
            </w: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27.36</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5.6</w:t>
            </w:r>
          </w:p>
        </w:tc>
        <w:tc>
          <w:tcPr>
            <w:tcW w:w="1204"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0.8</w:t>
            </w:r>
          </w:p>
        </w:tc>
        <w:tc>
          <w:tcPr>
            <w:tcW w:w="222" w:type="dxa"/>
            <w:shd w:val="clear" w:color="auto" w:fill="DBE5F1"/>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18.07</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3.7</w:t>
            </w:r>
          </w:p>
        </w:tc>
        <w:tc>
          <w:tcPr>
            <w:tcW w:w="1030"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0.6</w:t>
            </w:r>
          </w:p>
        </w:tc>
      </w:tr>
      <w:tr w:rsidR="00F10391" w:rsidRPr="004664CA" w:rsidTr="000F0D93">
        <w:trPr>
          <w:trHeight w:val="255"/>
        </w:trPr>
        <w:tc>
          <w:tcPr>
            <w:tcW w:w="1843" w:type="dxa"/>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2007</w:t>
            </w: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10.26</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2.0</w:t>
            </w:r>
          </w:p>
        </w:tc>
        <w:tc>
          <w:tcPr>
            <w:tcW w:w="1204"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0.0</w:t>
            </w:r>
          </w:p>
        </w:tc>
        <w:tc>
          <w:tcPr>
            <w:tcW w:w="222" w:type="dxa"/>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12.34</w:t>
            </w:r>
          </w:p>
        </w:tc>
        <w:tc>
          <w:tcPr>
            <w:tcW w:w="1091"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2.4</w:t>
            </w:r>
          </w:p>
        </w:tc>
        <w:tc>
          <w:tcPr>
            <w:tcW w:w="1030" w:type="dxa"/>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0.0</w:t>
            </w:r>
          </w:p>
        </w:tc>
      </w:tr>
      <w:tr w:rsidR="00F10391" w:rsidRPr="004664CA" w:rsidTr="000F0D93">
        <w:trPr>
          <w:trHeight w:val="255"/>
        </w:trPr>
        <w:tc>
          <w:tcPr>
            <w:tcW w:w="1843" w:type="dxa"/>
            <w:shd w:val="clear" w:color="auto" w:fill="DBE5F1"/>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2008</w:t>
            </w: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21.66</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4.1</w:t>
            </w:r>
          </w:p>
        </w:tc>
        <w:tc>
          <w:tcPr>
            <w:tcW w:w="1204"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-0.8</w:t>
            </w:r>
          </w:p>
        </w:tc>
        <w:tc>
          <w:tcPr>
            <w:tcW w:w="222" w:type="dxa"/>
            <w:shd w:val="clear" w:color="auto" w:fill="DBE5F1"/>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21.66</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4.1</w:t>
            </w:r>
          </w:p>
        </w:tc>
        <w:tc>
          <w:tcPr>
            <w:tcW w:w="1030"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-0.8</w:t>
            </w:r>
          </w:p>
        </w:tc>
      </w:tr>
      <w:tr w:rsidR="00F10391" w:rsidRPr="004664CA" w:rsidTr="000F0D93">
        <w:trPr>
          <w:trHeight w:val="255"/>
        </w:trPr>
        <w:tc>
          <w:tcPr>
            <w:tcW w:w="1843"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szCs w:val="22"/>
              </w:rPr>
              <w:t>2009</w:t>
            </w:r>
          </w:p>
        </w:tc>
        <w:tc>
          <w:tcPr>
            <w:tcW w:w="1143"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0.00</w:t>
            </w:r>
          </w:p>
        </w:tc>
        <w:tc>
          <w:tcPr>
            <w:tcW w:w="1091"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0.0</w:t>
            </w:r>
          </w:p>
        </w:tc>
        <w:tc>
          <w:tcPr>
            <w:tcW w:w="1204"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-1.2 (c)</w:t>
            </w:r>
          </w:p>
        </w:tc>
        <w:tc>
          <w:tcPr>
            <w:tcW w:w="222" w:type="dxa"/>
            <w:tcBorders>
              <w:top w:val="nil"/>
              <w:left w:val="nil"/>
              <w:bottom w:val="single" w:sz="8" w:space="0" w:color="auto"/>
              <w:right w:val="nil"/>
            </w:tcBorders>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0.00</w:t>
            </w:r>
          </w:p>
        </w:tc>
        <w:tc>
          <w:tcPr>
            <w:tcW w:w="1091"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0.0</w:t>
            </w:r>
          </w:p>
        </w:tc>
        <w:tc>
          <w:tcPr>
            <w:tcW w:w="1030" w:type="dxa"/>
            <w:tcBorders>
              <w:top w:val="nil"/>
              <w:left w:val="nil"/>
              <w:bottom w:val="single" w:sz="8" w:space="0" w:color="auto"/>
              <w:right w:val="nil"/>
            </w:tcBorders>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-1.2</w:t>
            </w:r>
          </w:p>
        </w:tc>
      </w:tr>
      <w:tr w:rsidR="00F10391" w:rsidRPr="004664CA" w:rsidTr="000F0D93">
        <w:trPr>
          <w:trHeight w:val="255"/>
        </w:trPr>
        <w:tc>
          <w:tcPr>
            <w:tcW w:w="8767" w:type="dxa"/>
            <w:gridSpan w:val="8"/>
            <w:tcBorders>
              <w:top w:val="nil"/>
              <w:left w:val="nil"/>
              <w:bottom w:val="single" w:sz="8" w:space="0" w:color="auto"/>
              <w:right w:val="nil"/>
            </w:tcBorders>
            <w:tcMar>
              <w:top w:w="0" w:type="dxa"/>
              <w:left w:w="108" w:type="dxa"/>
              <w:bottom w:w="0" w:type="dxa"/>
              <w:right w:w="108" w:type="dxa"/>
            </w:tcMar>
            <w:hideMark/>
          </w:tcPr>
          <w:p w:rsidR="00F10391" w:rsidRPr="004664CA" w:rsidRDefault="00F10391" w:rsidP="00906720">
            <w:pPr>
              <w:keepNext/>
              <w:ind w:left="34"/>
              <w:jc w:val="center"/>
              <w:rPr>
                <w:rFonts w:asciiTheme="minorHAnsi" w:hAnsiTheme="minorHAnsi" w:cstheme="minorHAnsi"/>
                <w:b/>
                <w:bCs/>
                <w:szCs w:val="22"/>
              </w:rPr>
            </w:pPr>
            <w:r w:rsidRPr="004664CA">
              <w:rPr>
                <w:rFonts w:asciiTheme="minorHAnsi" w:hAnsiTheme="minorHAnsi" w:cstheme="minorHAnsi"/>
                <w:b/>
                <w:szCs w:val="22"/>
              </w:rPr>
              <w:t>Fair Work Australia/ Fair Work Commission</w:t>
            </w:r>
          </w:p>
        </w:tc>
      </w:tr>
      <w:tr w:rsidR="00F10391" w:rsidRPr="004664CA" w:rsidTr="000F0D93">
        <w:trPr>
          <w:trHeight w:val="255"/>
        </w:trPr>
        <w:tc>
          <w:tcPr>
            <w:tcW w:w="18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2010</w:t>
            </w: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26.00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4.8</w:t>
            </w:r>
          </w:p>
        </w:tc>
        <w:tc>
          <w:tcPr>
            <w:tcW w:w="1204"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2.7</w:t>
            </w:r>
          </w:p>
        </w:tc>
        <w:tc>
          <w:tcPr>
            <w:tcW w:w="222" w:type="dxa"/>
            <w:shd w:val="clear" w:color="auto" w:fill="DBE5F1"/>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14.78</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2.7</w:t>
            </w:r>
          </w:p>
        </w:tc>
        <w:tc>
          <w:tcPr>
            <w:tcW w:w="1030"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1.5</w:t>
            </w:r>
          </w:p>
        </w:tc>
      </w:tr>
      <w:tr w:rsidR="00F10391" w:rsidRPr="004664CA" w:rsidTr="000F0D93">
        <w:trPr>
          <w:trHeight w:val="255"/>
        </w:trPr>
        <w:tc>
          <w:tcPr>
            <w:tcW w:w="1843" w:type="dxa"/>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2011*</w:t>
            </w:r>
          </w:p>
        </w:tc>
        <w:tc>
          <w:tcPr>
            <w:tcW w:w="1143" w:type="dxa"/>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19.40</w:t>
            </w:r>
          </w:p>
        </w:tc>
        <w:tc>
          <w:tcPr>
            <w:tcW w:w="1091" w:type="dxa"/>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3.4</w:t>
            </w:r>
          </w:p>
        </w:tc>
        <w:tc>
          <w:tcPr>
            <w:tcW w:w="1204" w:type="dxa"/>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-0.2</w:t>
            </w:r>
          </w:p>
        </w:tc>
        <w:tc>
          <w:tcPr>
            <w:tcW w:w="222" w:type="dxa"/>
            <w:shd w:val="clear" w:color="auto" w:fill="FFFFFF"/>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19.40</w:t>
            </w:r>
          </w:p>
        </w:tc>
        <w:tc>
          <w:tcPr>
            <w:tcW w:w="1091" w:type="dxa"/>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3.4</w:t>
            </w:r>
          </w:p>
        </w:tc>
        <w:tc>
          <w:tcPr>
            <w:tcW w:w="1030" w:type="dxa"/>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-0.2</w:t>
            </w:r>
          </w:p>
        </w:tc>
      </w:tr>
      <w:tr w:rsidR="00F10391" w:rsidRPr="004664CA" w:rsidTr="000F0D93">
        <w:trPr>
          <w:trHeight w:val="255"/>
        </w:trPr>
        <w:tc>
          <w:tcPr>
            <w:tcW w:w="18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2012*</w:t>
            </w: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17.10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2.9</w:t>
            </w:r>
          </w:p>
        </w:tc>
        <w:tc>
          <w:tcPr>
            <w:tcW w:w="1204"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w:t>
            </w:r>
          </w:p>
        </w:tc>
        <w:tc>
          <w:tcPr>
            <w:tcW w:w="222" w:type="dxa"/>
            <w:shd w:val="clear" w:color="auto" w:fill="DBE5F1"/>
            <w:tcMar>
              <w:top w:w="0" w:type="dxa"/>
              <w:left w:w="108" w:type="dxa"/>
              <w:bottom w:w="0" w:type="dxa"/>
              <w:right w:w="108" w:type="dxa"/>
            </w:tcMar>
          </w:tcPr>
          <w:p w:rsidR="00F10391" w:rsidRPr="004664CA" w:rsidRDefault="00F10391" w:rsidP="00906720">
            <w:pPr>
              <w:keepNext/>
              <w:jc w:val="center"/>
              <w:rPr>
                <w:rFonts w:asciiTheme="minorHAnsi" w:hAnsiTheme="minorHAnsi" w:cstheme="minorHAnsi"/>
                <w:szCs w:val="22"/>
              </w:rPr>
            </w:pPr>
          </w:p>
        </w:tc>
        <w:tc>
          <w:tcPr>
            <w:tcW w:w="1143"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17.10</w:t>
            </w:r>
          </w:p>
        </w:tc>
        <w:tc>
          <w:tcPr>
            <w:tcW w:w="1091"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2.9</w:t>
            </w:r>
          </w:p>
        </w:tc>
        <w:tc>
          <w:tcPr>
            <w:tcW w:w="1030" w:type="dxa"/>
            <w:shd w:val="clear" w:color="auto" w:fill="DBE5F1"/>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1.7</w:t>
            </w:r>
          </w:p>
        </w:tc>
      </w:tr>
      <w:tr w:rsidR="00F10391" w:rsidRPr="004664CA" w:rsidTr="000F0D93">
        <w:trPr>
          <w:trHeight w:val="255"/>
        </w:trPr>
        <w:tc>
          <w:tcPr>
            <w:tcW w:w="1843"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2013*</w:t>
            </w:r>
          </w:p>
        </w:tc>
        <w:tc>
          <w:tcPr>
            <w:tcW w:w="1143"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15.80</w:t>
            </w:r>
          </w:p>
        </w:tc>
        <w:tc>
          <w:tcPr>
            <w:tcW w:w="1091"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2.6</w:t>
            </w:r>
          </w:p>
        </w:tc>
        <w:tc>
          <w:tcPr>
            <w:tcW w:w="1204"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0.2</w:t>
            </w:r>
          </w:p>
        </w:tc>
        <w:tc>
          <w:tcPr>
            <w:tcW w:w="222" w:type="dxa"/>
            <w:tcBorders>
              <w:top w:val="nil"/>
              <w:left w:val="nil"/>
              <w:bottom w:val="single" w:sz="8" w:space="0" w:color="auto"/>
              <w:right w:val="nil"/>
            </w:tcBorders>
            <w:shd w:val="clear" w:color="auto" w:fill="FFFFFF"/>
            <w:tcMar>
              <w:top w:w="0" w:type="dxa"/>
              <w:left w:w="108" w:type="dxa"/>
              <w:bottom w:w="0" w:type="dxa"/>
              <w:right w:w="108" w:type="dxa"/>
            </w:tcMar>
          </w:tcPr>
          <w:p w:rsidR="00F10391" w:rsidRPr="004664CA" w:rsidRDefault="00F10391" w:rsidP="00906720">
            <w:pPr>
              <w:keepNext/>
              <w:rPr>
                <w:rFonts w:asciiTheme="minorHAnsi" w:hAnsiTheme="minorHAnsi" w:cstheme="minorHAnsi"/>
                <w:szCs w:val="22"/>
              </w:rPr>
            </w:pPr>
          </w:p>
        </w:tc>
        <w:tc>
          <w:tcPr>
            <w:tcW w:w="1143"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15.80</w:t>
            </w:r>
          </w:p>
        </w:tc>
        <w:tc>
          <w:tcPr>
            <w:tcW w:w="1091"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2.6</w:t>
            </w:r>
          </w:p>
        </w:tc>
        <w:tc>
          <w:tcPr>
            <w:tcW w:w="1030" w:type="dxa"/>
            <w:tcBorders>
              <w:top w:val="nil"/>
              <w:left w:val="nil"/>
              <w:bottom w:val="single" w:sz="8" w:space="0" w:color="auto"/>
              <w:right w:val="nil"/>
            </w:tcBorders>
            <w:shd w:val="clear" w:color="auto" w:fill="FFFFFF"/>
            <w:noWrap/>
            <w:tcMar>
              <w:top w:w="0" w:type="dxa"/>
              <w:left w:w="108" w:type="dxa"/>
              <w:bottom w:w="0" w:type="dxa"/>
              <w:right w:w="108" w:type="dxa"/>
            </w:tcMar>
            <w:hideMark/>
          </w:tcPr>
          <w:p w:rsidR="00F10391" w:rsidRPr="004664CA" w:rsidRDefault="00F10391" w:rsidP="00906720">
            <w:pPr>
              <w:keepNext/>
              <w:jc w:val="center"/>
              <w:rPr>
                <w:rFonts w:asciiTheme="minorHAnsi" w:hAnsiTheme="minorHAnsi" w:cstheme="minorHAnsi"/>
                <w:szCs w:val="22"/>
              </w:rPr>
            </w:pPr>
            <w:r w:rsidRPr="004664CA">
              <w:rPr>
                <w:rFonts w:asciiTheme="minorHAnsi" w:hAnsiTheme="minorHAnsi" w:cstheme="minorHAnsi"/>
                <w:szCs w:val="22"/>
              </w:rPr>
              <w:t>0.2</w:t>
            </w:r>
          </w:p>
        </w:tc>
      </w:tr>
    </w:tbl>
    <w:p w:rsidR="008F39B8" w:rsidRPr="005A3796" w:rsidRDefault="008F39B8" w:rsidP="00906720">
      <w:pPr>
        <w:pStyle w:val="ListParagraph"/>
        <w:keepNext/>
        <w:ind w:left="0"/>
        <w:rPr>
          <w:rFonts w:asciiTheme="minorHAnsi" w:hAnsiTheme="minorHAnsi" w:cs="Arial"/>
          <w:color w:val="000000"/>
          <w:sz w:val="20"/>
        </w:rPr>
      </w:pPr>
      <w:r w:rsidRPr="005A3796">
        <w:rPr>
          <w:rFonts w:asciiTheme="minorHAnsi" w:hAnsiTheme="minorHAnsi" w:cs="Arial"/>
          <w:color w:val="000000"/>
          <w:sz w:val="20"/>
        </w:rPr>
        <w:t xml:space="preserve">Notes: </w:t>
      </w:r>
    </w:p>
    <w:p w:rsidR="008F39B8" w:rsidRPr="005A3796" w:rsidRDefault="008F39B8" w:rsidP="00906720">
      <w:pPr>
        <w:pStyle w:val="ListParagraph"/>
        <w:keepNext/>
        <w:ind w:left="0"/>
        <w:rPr>
          <w:rFonts w:asciiTheme="minorHAnsi" w:hAnsiTheme="minorHAnsi" w:cs="Arial"/>
          <w:color w:val="000000"/>
          <w:sz w:val="20"/>
        </w:rPr>
      </w:pPr>
      <w:r w:rsidRPr="005A3796">
        <w:rPr>
          <w:rFonts w:asciiTheme="minorHAnsi" w:hAnsiTheme="minorHAnsi" w:cs="Arial"/>
          <w:color w:val="000000"/>
          <w:sz w:val="20"/>
        </w:rPr>
        <w:t>(a) Prior to the establishment of the Australian Fair Pay Commission, increases in the Federa</w:t>
      </w:r>
      <w:r w:rsidR="00031C8E" w:rsidRPr="005A3796">
        <w:rPr>
          <w:rFonts w:asciiTheme="minorHAnsi" w:hAnsiTheme="minorHAnsi" w:cs="Arial"/>
          <w:color w:val="000000"/>
          <w:sz w:val="20"/>
        </w:rPr>
        <w:t>l/National</w:t>
      </w:r>
      <w:r w:rsidRPr="005A3796">
        <w:rPr>
          <w:rFonts w:asciiTheme="minorHAnsi" w:hAnsiTheme="minorHAnsi" w:cs="Arial"/>
          <w:color w:val="000000"/>
          <w:sz w:val="20"/>
        </w:rPr>
        <w:t xml:space="preserve"> Minimum Wage generally occurred on an annual basis. The period between the Australian Fair Pay Commission’s first two wage increases were 18 months and 10 months respectively. Accordingly, for comparability, the decisions have been presented in annualised terms.</w:t>
      </w:r>
    </w:p>
    <w:p w:rsidR="008F39B8" w:rsidRPr="005A3796" w:rsidRDefault="008F39B8" w:rsidP="00906720">
      <w:pPr>
        <w:pStyle w:val="ListParagraph"/>
        <w:keepNext/>
        <w:ind w:left="0"/>
        <w:rPr>
          <w:rFonts w:asciiTheme="minorHAnsi" w:hAnsiTheme="minorHAnsi" w:cs="Arial"/>
          <w:color w:val="000000"/>
          <w:sz w:val="20"/>
        </w:rPr>
      </w:pPr>
      <w:r w:rsidRPr="005A3796">
        <w:rPr>
          <w:rFonts w:asciiTheme="minorHAnsi" w:hAnsiTheme="minorHAnsi" w:cs="Arial"/>
          <w:color w:val="000000"/>
          <w:sz w:val="20"/>
        </w:rPr>
        <w:t>(b) The decline in the Federal Minimum Wage in 2001 was due to the introduction of the GST, which caused a 6.0 per cent spike in the CPI over the year to the June quarter 2001.</w:t>
      </w:r>
    </w:p>
    <w:p w:rsidR="008F39B8" w:rsidRPr="005A3796" w:rsidRDefault="008F39B8" w:rsidP="00906720">
      <w:pPr>
        <w:pStyle w:val="ListParagraph"/>
        <w:keepNext/>
        <w:ind w:left="0"/>
        <w:rPr>
          <w:rFonts w:asciiTheme="minorHAnsi" w:hAnsiTheme="minorHAnsi" w:cs="Arial"/>
          <w:color w:val="000000"/>
          <w:sz w:val="20"/>
        </w:rPr>
      </w:pPr>
      <w:r w:rsidRPr="005A3796">
        <w:rPr>
          <w:rFonts w:asciiTheme="minorHAnsi" w:hAnsiTheme="minorHAnsi" w:cs="Arial"/>
          <w:color w:val="000000"/>
          <w:sz w:val="20"/>
        </w:rPr>
        <w:t>(c) Assumes a date of effect of 1 October 2009 had the AFPC awarded an increase in its 2009 decision.</w:t>
      </w:r>
    </w:p>
    <w:p w:rsidR="008F39B8" w:rsidRPr="005A3796" w:rsidRDefault="008F39B8" w:rsidP="00906720">
      <w:pPr>
        <w:pStyle w:val="ListParagraph"/>
        <w:keepNext/>
        <w:ind w:left="0"/>
        <w:rPr>
          <w:rFonts w:asciiTheme="minorHAnsi" w:hAnsiTheme="minorHAnsi" w:cs="Arial"/>
          <w:color w:val="000000"/>
          <w:sz w:val="20"/>
        </w:rPr>
      </w:pPr>
      <w:r w:rsidRPr="005A3796">
        <w:rPr>
          <w:rFonts w:asciiTheme="minorHAnsi" w:hAnsiTheme="minorHAnsi" w:cs="Arial"/>
          <w:color w:val="000000"/>
          <w:sz w:val="20"/>
        </w:rPr>
        <w:t>* In 2011, 2012 and 2013, the Commission increased all minimum wages by percentage amounts rather than dollar amounts.</w:t>
      </w:r>
    </w:p>
    <w:p w:rsidR="000F0D93" w:rsidRPr="005A3796" w:rsidRDefault="000F0D93" w:rsidP="00906720">
      <w:pPr>
        <w:pStyle w:val="ListParagraph"/>
        <w:keepNext/>
        <w:ind w:left="0"/>
        <w:rPr>
          <w:rFonts w:asciiTheme="minorHAnsi" w:hAnsiTheme="minorHAnsi" w:cs="Arial"/>
          <w:color w:val="000000"/>
          <w:sz w:val="20"/>
        </w:rPr>
      </w:pPr>
      <w:r w:rsidRPr="005A3796">
        <w:rPr>
          <w:rFonts w:asciiTheme="minorHAnsi" w:hAnsiTheme="minorHAnsi" w:cs="Arial"/>
          <w:color w:val="000000"/>
          <w:sz w:val="20"/>
        </w:rPr>
        <w:t xml:space="preserve">(d) Real increases were calculated as </w:t>
      </w:r>
      <w:r w:rsidR="00EF1FA4">
        <w:rPr>
          <w:rFonts w:asciiTheme="minorHAnsi" w:hAnsiTheme="minorHAnsi" w:cs="Arial"/>
          <w:color w:val="000000"/>
          <w:sz w:val="20"/>
        </w:rPr>
        <w:t xml:space="preserve">the </w:t>
      </w:r>
      <w:r w:rsidRPr="005A3796">
        <w:rPr>
          <w:rFonts w:asciiTheme="minorHAnsi" w:hAnsiTheme="minorHAnsi" w:cs="Arial"/>
          <w:color w:val="000000"/>
          <w:sz w:val="20"/>
        </w:rPr>
        <w:t>nominal increase discounted by increases in the consumer price index (CPI) over the same period.</w:t>
      </w:r>
    </w:p>
    <w:p w:rsidR="008F39B8" w:rsidRPr="005A3796" w:rsidRDefault="008F39B8" w:rsidP="008F39B8">
      <w:pPr>
        <w:pStyle w:val="ListParagraph"/>
        <w:ind w:left="0"/>
        <w:rPr>
          <w:rFonts w:asciiTheme="minorHAnsi" w:hAnsiTheme="minorHAnsi" w:cs="Arial"/>
          <w:color w:val="000000"/>
          <w:sz w:val="20"/>
        </w:rPr>
      </w:pPr>
      <w:r w:rsidRPr="005A3796">
        <w:rPr>
          <w:rFonts w:asciiTheme="minorHAnsi" w:hAnsiTheme="minorHAnsi" w:cs="Arial"/>
          <w:color w:val="000000"/>
          <w:sz w:val="20"/>
        </w:rPr>
        <w:t xml:space="preserve">Source: AIRC, AFPC, FWA/FWC data, various years, and ABS Consumer Price Index (Cat. </w:t>
      </w:r>
      <w:proofErr w:type="gramStart"/>
      <w:r w:rsidRPr="005A3796">
        <w:rPr>
          <w:rFonts w:asciiTheme="minorHAnsi" w:hAnsiTheme="minorHAnsi" w:cs="Arial"/>
          <w:color w:val="000000"/>
          <w:sz w:val="20"/>
        </w:rPr>
        <w:t>No. 6401.0).</w:t>
      </w:r>
      <w:proofErr w:type="gramEnd"/>
    </w:p>
    <w:p w:rsidR="005E33D3" w:rsidRPr="005E33D3" w:rsidRDefault="005E33D3" w:rsidP="005E33D3">
      <w:pPr>
        <w:rPr>
          <w:rFonts w:ascii="Calibri" w:hAnsi="Calibri" w:cs="HelveticaNeueLT-BoldCond"/>
          <w:b/>
          <w:bCs/>
          <w:color w:val="C0504D" w:themeColor="accent2"/>
          <w:kern w:val="32"/>
          <w:sz w:val="44"/>
          <w:szCs w:val="44"/>
          <w:lang w:eastAsia="en-AU"/>
        </w:rPr>
      </w:pPr>
      <w:r w:rsidRPr="005E33D3">
        <w:rPr>
          <w:rFonts w:ascii="Calibri" w:hAnsi="Calibri" w:cs="Calibri"/>
          <w:sz w:val="24"/>
          <w:szCs w:val="24"/>
          <w:lang w:eastAsia="en-AU"/>
        </w:rPr>
        <w:br w:type="page"/>
      </w:r>
    </w:p>
    <w:p w:rsidR="005E33D3" w:rsidRPr="005E33D3" w:rsidRDefault="005E33D3" w:rsidP="005E33D3">
      <w:pPr>
        <w:keepNext/>
        <w:widowControl w:val="0"/>
        <w:tabs>
          <w:tab w:val="left" w:pos="1701"/>
        </w:tabs>
        <w:suppressAutoHyphens/>
        <w:autoSpaceDE w:val="0"/>
        <w:autoSpaceDN w:val="0"/>
        <w:adjustRightInd w:val="0"/>
        <w:spacing w:after="120"/>
        <w:outlineLvl w:val="0"/>
        <w:rPr>
          <w:rFonts w:ascii="Calibri" w:hAnsi="Calibri" w:cs="HelveticaNeueLT-BoldCond"/>
          <w:b/>
          <w:bCs/>
          <w:color w:val="C0504D" w:themeColor="accent2"/>
          <w:kern w:val="32"/>
          <w:sz w:val="44"/>
          <w:szCs w:val="44"/>
          <w:lang w:eastAsia="en-AU"/>
        </w:rPr>
      </w:pPr>
      <w:bookmarkStart w:id="10" w:name="_Toc356393978"/>
      <w:bookmarkStart w:id="11" w:name="_Toc385341646"/>
      <w:bookmarkStart w:id="12" w:name="_Toc386727420"/>
      <w:bookmarkStart w:id="13" w:name="_Toc380388159"/>
      <w:bookmarkStart w:id="14" w:name="_Toc383787943"/>
      <w:r w:rsidRPr="005E33D3">
        <w:rPr>
          <w:rFonts w:ascii="Calibri" w:hAnsi="Calibri" w:cs="HelveticaNeueLT-BoldCond"/>
          <w:b/>
          <w:bCs/>
          <w:color w:val="C0504D" w:themeColor="accent2"/>
          <w:kern w:val="32"/>
          <w:sz w:val="44"/>
          <w:szCs w:val="44"/>
          <w:lang w:eastAsia="en-AU"/>
        </w:rPr>
        <w:lastRenderedPageBreak/>
        <w:t>Productivity</w:t>
      </w:r>
    </w:p>
    <w:p w:rsidR="005E33D3" w:rsidRPr="002C08E2"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r w:rsidRPr="002C08E2">
        <w:rPr>
          <w:rFonts w:asciiTheme="minorHAnsi" w:hAnsiTheme="minorHAnsi" w:cstheme="minorHAnsi"/>
          <w:b/>
          <w:bCs/>
          <w:iCs/>
          <w:color w:val="8064A2" w:themeColor="accent4"/>
          <w:sz w:val="36"/>
          <w:szCs w:val="32"/>
        </w:rPr>
        <w:t xml:space="preserve">Question </w:t>
      </w:r>
      <w:bookmarkEnd w:id="10"/>
      <w:bookmarkEnd w:id="11"/>
      <w:bookmarkEnd w:id="12"/>
      <w:r w:rsidR="00312885">
        <w:rPr>
          <w:rFonts w:asciiTheme="minorHAnsi" w:hAnsiTheme="minorHAnsi" w:cstheme="minorHAnsi"/>
          <w:b/>
          <w:bCs/>
          <w:iCs/>
          <w:color w:val="8064A2" w:themeColor="accent4"/>
          <w:sz w:val="36"/>
          <w:szCs w:val="32"/>
        </w:rPr>
        <w:t>2.1</w:t>
      </w:r>
    </w:p>
    <w:p w:rsidR="005E33D3" w:rsidRPr="002C08E2" w:rsidRDefault="005E33D3" w:rsidP="005E33D3">
      <w:pPr>
        <w:keepNext/>
        <w:keepLines/>
        <w:spacing w:before="200"/>
        <w:outlineLvl w:val="2"/>
        <w:rPr>
          <w:rFonts w:ascii="Calibri" w:hAnsi="Calibri" w:cs="Arial"/>
          <w:b/>
          <w:bCs/>
          <w:color w:val="365F91" w:themeColor="accent1" w:themeShade="BF"/>
          <w:sz w:val="28"/>
          <w:szCs w:val="28"/>
          <w:lang w:eastAsia="en-AU"/>
        </w:rPr>
      </w:pPr>
      <w:r w:rsidRPr="002C08E2">
        <w:rPr>
          <w:rFonts w:ascii="Calibri" w:hAnsi="Calibri" w:cs="Arial"/>
          <w:b/>
          <w:bCs/>
          <w:color w:val="365F91" w:themeColor="accent1" w:themeShade="BF"/>
          <w:sz w:val="28"/>
          <w:szCs w:val="28"/>
          <w:lang w:eastAsia="en-AU"/>
        </w:rPr>
        <w:t xml:space="preserve">In its initial submission, the New South Government submitted that </w:t>
      </w:r>
      <w:r w:rsidRPr="002C08E2">
        <w:rPr>
          <w:rFonts w:ascii="Calibri" w:hAnsi="Calibri" w:cs="Arial"/>
          <w:b/>
          <w:bCs/>
          <w:i/>
          <w:color w:val="365F91" w:themeColor="accent1" w:themeShade="BF"/>
          <w:sz w:val="28"/>
          <w:szCs w:val="28"/>
          <w:lang w:eastAsia="en-AU"/>
        </w:rPr>
        <w:t>“labour productivity is an incomplete measure that should not be used as a guide to assess the appropriateness of minimum wage adjustments”</w:t>
      </w:r>
      <w:r w:rsidRPr="002C08E2">
        <w:rPr>
          <w:rFonts w:ascii="Calibri" w:hAnsi="Calibri" w:cs="Arial"/>
          <w:b/>
          <w:bCs/>
          <w:color w:val="365F91" w:themeColor="accent1" w:themeShade="BF"/>
          <w:sz w:val="28"/>
          <w:szCs w:val="28"/>
          <w:lang w:eastAsia="en-AU"/>
        </w:rPr>
        <w:t xml:space="preserve"> and </w:t>
      </w:r>
      <w:r w:rsidRPr="002C08E2">
        <w:rPr>
          <w:rFonts w:ascii="Calibri" w:hAnsi="Calibri" w:cs="Arial"/>
          <w:b/>
          <w:bCs/>
          <w:i/>
          <w:color w:val="365F91" w:themeColor="accent1" w:themeShade="BF"/>
          <w:sz w:val="28"/>
          <w:szCs w:val="28"/>
          <w:lang w:eastAsia="en-AU"/>
        </w:rPr>
        <w:t>“should not be used to guide minimum wage decisions due to its inherent volatility, and its tenuous link to actual productivity”</w:t>
      </w:r>
      <w:r w:rsidRPr="002C08E2">
        <w:rPr>
          <w:rFonts w:ascii="Calibri" w:hAnsi="Calibri" w:cs="Arial"/>
          <w:b/>
          <w:bCs/>
          <w:color w:val="365F91" w:themeColor="accent1" w:themeShade="BF"/>
          <w:sz w:val="28"/>
          <w:szCs w:val="28"/>
          <w:lang w:eastAsia="en-AU"/>
        </w:rPr>
        <w:t>. In particular, the New South Wales Government submitted:</w:t>
      </w:r>
    </w:p>
    <w:p w:rsidR="005E33D3" w:rsidRPr="002C08E2" w:rsidRDefault="005E33D3" w:rsidP="005E33D3">
      <w:pPr>
        <w:keepNext/>
        <w:keepLines/>
        <w:spacing w:before="200"/>
        <w:ind w:left="567"/>
        <w:outlineLvl w:val="2"/>
        <w:rPr>
          <w:rFonts w:ascii="Calibri" w:hAnsi="Calibri" w:cs="Arial"/>
          <w:b/>
          <w:bCs/>
          <w:i/>
          <w:color w:val="365F91" w:themeColor="accent1" w:themeShade="BF"/>
          <w:sz w:val="28"/>
          <w:szCs w:val="28"/>
          <w:lang w:eastAsia="en-AU"/>
        </w:rPr>
      </w:pPr>
      <w:r w:rsidRPr="002C08E2">
        <w:rPr>
          <w:rFonts w:ascii="Calibri" w:hAnsi="Calibri" w:cs="Arial"/>
          <w:b/>
          <w:bCs/>
          <w:i/>
          <w:color w:val="365F91" w:themeColor="accent1" w:themeShade="BF"/>
          <w:sz w:val="28"/>
          <w:szCs w:val="28"/>
          <w:lang w:eastAsia="en-AU"/>
        </w:rPr>
        <w:t>“Labour productivity is largely driven by factors that are not entirely related to productivity, namely capital deepening. Two industries, mining and electricity, water and gas have undergone rapid capital deepening in the past decade and this has driven much of the growth in labour productivity over that time.”</w:t>
      </w:r>
    </w:p>
    <w:p w:rsidR="005E33D3" w:rsidRPr="002C08E2" w:rsidRDefault="005E33D3" w:rsidP="005E33D3">
      <w:pPr>
        <w:keepNext/>
        <w:keepLines/>
        <w:spacing w:before="200"/>
        <w:outlineLvl w:val="2"/>
        <w:rPr>
          <w:rFonts w:ascii="Calibri" w:hAnsi="Calibri" w:cs="Arial"/>
          <w:b/>
          <w:bCs/>
          <w:color w:val="365F91" w:themeColor="accent1" w:themeShade="BF"/>
          <w:sz w:val="28"/>
          <w:szCs w:val="28"/>
          <w:lang w:eastAsia="en-AU"/>
        </w:rPr>
      </w:pPr>
      <w:r w:rsidRPr="002C08E2">
        <w:rPr>
          <w:rFonts w:ascii="Calibri" w:hAnsi="Calibri" w:cs="Arial"/>
          <w:b/>
          <w:bCs/>
          <w:color w:val="365F91" w:themeColor="accent1" w:themeShade="BF"/>
          <w:sz w:val="28"/>
          <w:szCs w:val="28"/>
          <w:lang w:eastAsia="en-AU"/>
        </w:rPr>
        <w:t>Do other parties share this view?</w:t>
      </w:r>
    </w:p>
    <w:p w:rsidR="004744CC" w:rsidRPr="00DA4453" w:rsidRDefault="004744CC" w:rsidP="004744CC">
      <w:pPr>
        <w:pStyle w:val="FWCstyle"/>
      </w:pPr>
      <w:r>
        <w:t>The Australian Government agrees that t</w:t>
      </w:r>
      <w:r w:rsidRPr="00DA4453">
        <w:t>he measurement of labour productivity, particularly over short periods such as one year, is volatile, cyclical and subject to significant measurement issues</w:t>
      </w:r>
      <w:r>
        <w:t xml:space="preserve">. Accordingly, and for the reasons outlined below, </w:t>
      </w:r>
      <w:r w:rsidRPr="00DA4453">
        <w:t xml:space="preserve">care should be taken with </w:t>
      </w:r>
      <w:r w:rsidR="00836B44">
        <w:t xml:space="preserve">the weight given to this measure and </w:t>
      </w:r>
      <w:r w:rsidRPr="00DA4453">
        <w:t xml:space="preserve">its use. </w:t>
      </w:r>
    </w:p>
    <w:p w:rsidR="00DA4453" w:rsidRPr="004664CA" w:rsidRDefault="00DA4453" w:rsidP="004664CA">
      <w:pPr>
        <w:pStyle w:val="FWCstyle"/>
      </w:pPr>
      <w:r w:rsidRPr="00DA4453">
        <w:t xml:space="preserve">Labour productivity </w:t>
      </w:r>
      <w:r w:rsidR="000F0D93">
        <w:t xml:space="preserve">growth </w:t>
      </w:r>
      <w:r w:rsidRPr="00DA4453">
        <w:t xml:space="preserve">can be decomposed into two components: multifactor productivity </w:t>
      </w:r>
      <w:r w:rsidR="000F0D93">
        <w:t xml:space="preserve">growth </w:t>
      </w:r>
      <w:r w:rsidRPr="00DA4453">
        <w:t>and capital deepening</w:t>
      </w:r>
      <w:r w:rsidR="004744CC">
        <w:rPr>
          <w:rStyle w:val="FootnoteReference"/>
        </w:rPr>
        <w:footnoteReference w:id="2"/>
      </w:r>
      <w:r w:rsidRPr="00DA4453">
        <w:t xml:space="preserve">. During the last complete </w:t>
      </w:r>
      <w:r w:rsidR="000F0D93">
        <w:t xml:space="preserve">productivity growth </w:t>
      </w:r>
      <w:r w:rsidRPr="00DA4453">
        <w:t xml:space="preserve">cycle from </w:t>
      </w:r>
      <w:r w:rsidRPr="004664CA">
        <w:t>2003-04 to 2007-08, capital deepening was slightly higher than labour productivity growth</w:t>
      </w:r>
      <w:r w:rsidR="004744CC">
        <w:t xml:space="preserve">. </w:t>
      </w:r>
      <w:r w:rsidRPr="004664CA">
        <w:t xml:space="preserve"> </w:t>
      </w:r>
      <w:r w:rsidR="004744CC">
        <w:t>D</w:t>
      </w:r>
      <w:r w:rsidRPr="004664CA">
        <w:t xml:space="preserve">uring the current </w:t>
      </w:r>
      <w:r w:rsidR="004744CC">
        <w:t>(</w:t>
      </w:r>
      <w:r w:rsidRPr="004664CA">
        <w:t>incomplete</w:t>
      </w:r>
      <w:r w:rsidR="004744CC">
        <w:t>)</w:t>
      </w:r>
      <w:r w:rsidRPr="004664CA">
        <w:t xml:space="preserve"> </w:t>
      </w:r>
      <w:r w:rsidR="000F0D93" w:rsidRPr="004664CA">
        <w:t xml:space="preserve">productivity growth </w:t>
      </w:r>
      <w:r w:rsidR="004F6903" w:rsidRPr="004664CA">
        <w:t>cycle, th</w:t>
      </w:r>
      <w:r w:rsidR="00E95316">
        <w:t>e</w:t>
      </w:r>
      <w:r w:rsidRPr="004664CA">
        <w:t xml:space="preserve"> </w:t>
      </w:r>
      <w:r w:rsidR="00E95316">
        <w:t>rate of capital deepening has increased, such that it now</w:t>
      </w:r>
      <w:r w:rsidRPr="004664CA">
        <w:t xml:space="preserve"> account</w:t>
      </w:r>
      <w:r w:rsidR="00E95316">
        <w:t>s</w:t>
      </w:r>
      <w:r w:rsidRPr="004664CA">
        <w:t xml:space="preserve"> for more than the total growth in labour productivity as shown in Figure 1. </w:t>
      </w:r>
      <w:r w:rsidR="00887DDA" w:rsidRPr="00DA4453">
        <w:t xml:space="preserve">This indicates that in the last complete </w:t>
      </w:r>
      <w:r w:rsidR="00887DDA">
        <w:t xml:space="preserve">productivity growth </w:t>
      </w:r>
      <w:r w:rsidR="00887DDA" w:rsidRPr="00DA4453">
        <w:t>cycle</w:t>
      </w:r>
      <w:r w:rsidR="00887DDA">
        <w:t xml:space="preserve">, </w:t>
      </w:r>
      <w:r w:rsidR="00887DDA" w:rsidRPr="00DA4453">
        <w:t xml:space="preserve">labour productivity growth </w:t>
      </w:r>
      <w:r w:rsidR="00887DDA">
        <w:t xml:space="preserve">was </w:t>
      </w:r>
      <w:r w:rsidR="00887DDA" w:rsidRPr="00DA4453">
        <w:t xml:space="preserve">entirely </w:t>
      </w:r>
      <w:r w:rsidR="00887DDA">
        <w:t>accounted for by</w:t>
      </w:r>
      <w:r w:rsidR="00887DDA" w:rsidRPr="00DA4453">
        <w:t xml:space="preserve"> workers having additional capital to work with</w:t>
      </w:r>
      <w:r w:rsidR="00887DDA">
        <w:t>, with the same applying to the current cycle</w:t>
      </w:r>
      <w:r w:rsidR="00B3130A">
        <w:rPr>
          <w:rStyle w:val="FootnoteReference"/>
        </w:rPr>
        <w:footnoteReference w:id="3"/>
      </w:r>
      <w:r w:rsidR="00887DDA">
        <w:t xml:space="preserve">. </w:t>
      </w:r>
    </w:p>
    <w:p w:rsidR="004F6903" w:rsidRDefault="004F6903" w:rsidP="004F6903">
      <w:pPr>
        <w:pStyle w:val="ListParagraph"/>
        <w:numPr>
          <w:ilvl w:val="1"/>
          <w:numId w:val="1"/>
        </w:numPr>
        <w:spacing w:before="120" w:after="120"/>
        <w:contextualSpacing w:val="0"/>
        <w:rPr>
          <w:rFonts w:asciiTheme="minorHAnsi" w:hAnsiTheme="minorHAnsi" w:cstheme="minorHAnsi"/>
          <w:sz w:val="24"/>
          <w:szCs w:val="24"/>
        </w:rPr>
      </w:pPr>
      <w:r w:rsidRPr="004664CA">
        <w:rPr>
          <w:rFonts w:asciiTheme="minorHAnsi" w:hAnsiTheme="minorHAnsi" w:cstheme="minorHAnsi"/>
          <w:sz w:val="24"/>
          <w:szCs w:val="24"/>
        </w:rPr>
        <w:t xml:space="preserve">The </w:t>
      </w:r>
      <w:r w:rsidR="0050256E" w:rsidRPr="004664CA">
        <w:rPr>
          <w:rFonts w:asciiTheme="minorHAnsi" w:hAnsiTheme="minorHAnsi" w:cstheme="minorHAnsi"/>
          <w:sz w:val="24"/>
          <w:szCs w:val="24"/>
        </w:rPr>
        <w:t xml:space="preserve">grey diamonds in </w:t>
      </w:r>
      <w:r w:rsidR="00FE345A">
        <w:rPr>
          <w:rFonts w:asciiTheme="minorHAnsi" w:hAnsiTheme="minorHAnsi" w:cstheme="minorHAnsi"/>
          <w:sz w:val="24"/>
          <w:szCs w:val="24"/>
        </w:rPr>
        <w:t>F</w:t>
      </w:r>
      <w:r w:rsidR="0050256E" w:rsidRPr="004664CA">
        <w:rPr>
          <w:rFonts w:asciiTheme="minorHAnsi" w:hAnsiTheme="minorHAnsi" w:cstheme="minorHAnsi"/>
          <w:sz w:val="24"/>
          <w:szCs w:val="24"/>
        </w:rPr>
        <w:t>igure 1, show</w:t>
      </w:r>
      <w:r w:rsidRPr="004664CA">
        <w:rPr>
          <w:rFonts w:asciiTheme="minorHAnsi" w:hAnsiTheme="minorHAnsi" w:cstheme="minorHAnsi"/>
          <w:sz w:val="24"/>
          <w:szCs w:val="24"/>
        </w:rPr>
        <w:t xml:space="preserve"> the rate of average annual labour productivity growth which during the latest complete productivity cycle, and the current incomplete cycle</w:t>
      </w:r>
      <w:r w:rsidR="00231CA9">
        <w:rPr>
          <w:rFonts w:asciiTheme="minorHAnsi" w:hAnsiTheme="minorHAnsi" w:cstheme="minorHAnsi"/>
          <w:sz w:val="24"/>
          <w:szCs w:val="24"/>
        </w:rPr>
        <w:t>,</w:t>
      </w:r>
      <w:r w:rsidRPr="004664CA">
        <w:rPr>
          <w:rFonts w:asciiTheme="minorHAnsi" w:hAnsiTheme="minorHAnsi" w:cstheme="minorHAnsi"/>
          <w:sz w:val="24"/>
          <w:szCs w:val="24"/>
        </w:rPr>
        <w:t xml:space="preserve"> was/is being dragged down by falling multifactor productivity (MFP), the blue bar. Labour productivity growth during these two periods is entirely accounted for by capital deepening, the red bar.</w:t>
      </w:r>
    </w:p>
    <w:p w:rsidR="00D37B12" w:rsidRPr="004664CA" w:rsidRDefault="00D37B12" w:rsidP="008D39BB">
      <w:pPr>
        <w:pStyle w:val="ListParagraph"/>
        <w:spacing w:before="120" w:after="120"/>
        <w:ind w:left="1440"/>
        <w:contextualSpacing w:val="0"/>
        <w:rPr>
          <w:rFonts w:asciiTheme="minorHAnsi" w:hAnsiTheme="minorHAnsi" w:cstheme="minorHAnsi"/>
          <w:sz w:val="24"/>
          <w:szCs w:val="24"/>
        </w:rPr>
      </w:pPr>
    </w:p>
    <w:p w:rsidR="00DA4453" w:rsidRPr="005A3796" w:rsidRDefault="00DA4453" w:rsidP="00093212">
      <w:pPr>
        <w:pStyle w:val="ListParagraph"/>
        <w:keepNext/>
        <w:ind w:left="0"/>
        <w:rPr>
          <w:rFonts w:asciiTheme="minorHAnsi" w:hAnsiTheme="minorHAnsi" w:cs="Arial"/>
          <w:b/>
          <w:bCs/>
          <w:i/>
          <w:sz w:val="24"/>
        </w:rPr>
      </w:pPr>
      <w:r w:rsidRPr="005A3796">
        <w:rPr>
          <w:rFonts w:asciiTheme="minorHAnsi" w:hAnsiTheme="minorHAnsi" w:cs="Arial"/>
          <w:b/>
          <w:bCs/>
          <w:i/>
          <w:sz w:val="24"/>
        </w:rPr>
        <w:lastRenderedPageBreak/>
        <w:t xml:space="preserve">Figure </w:t>
      </w:r>
      <w:r w:rsidR="008A25BC" w:rsidRPr="005A3796">
        <w:rPr>
          <w:rFonts w:asciiTheme="minorHAnsi" w:hAnsiTheme="minorHAnsi" w:cs="Arial"/>
          <w:b/>
          <w:bCs/>
          <w:i/>
          <w:sz w:val="24"/>
        </w:rPr>
        <w:fldChar w:fldCharType="begin"/>
      </w:r>
      <w:r w:rsidR="00166A85" w:rsidRPr="005A3796">
        <w:rPr>
          <w:rFonts w:asciiTheme="minorHAnsi" w:hAnsiTheme="minorHAnsi" w:cs="Arial"/>
          <w:b/>
          <w:bCs/>
          <w:i/>
          <w:sz w:val="24"/>
        </w:rPr>
        <w:instrText xml:space="preserve"> SEQ Figure \* ARABIC </w:instrText>
      </w:r>
      <w:r w:rsidR="008A25BC" w:rsidRPr="005A3796">
        <w:rPr>
          <w:rFonts w:asciiTheme="minorHAnsi" w:hAnsiTheme="minorHAnsi" w:cs="Arial"/>
          <w:b/>
          <w:bCs/>
          <w:i/>
          <w:sz w:val="24"/>
        </w:rPr>
        <w:fldChar w:fldCharType="separate"/>
      </w:r>
      <w:r w:rsidR="00D94589">
        <w:rPr>
          <w:rFonts w:asciiTheme="minorHAnsi" w:hAnsiTheme="minorHAnsi" w:cs="Arial"/>
          <w:b/>
          <w:bCs/>
          <w:i/>
          <w:noProof/>
          <w:sz w:val="24"/>
        </w:rPr>
        <w:t>1</w:t>
      </w:r>
      <w:r w:rsidR="008A25BC" w:rsidRPr="005A3796">
        <w:rPr>
          <w:rFonts w:asciiTheme="minorHAnsi" w:hAnsiTheme="minorHAnsi" w:cs="Arial"/>
          <w:b/>
          <w:bCs/>
          <w:i/>
          <w:sz w:val="24"/>
        </w:rPr>
        <w:fldChar w:fldCharType="end"/>
      </w:r>
      <w:r w:rsidRPr="005A3796">
        <w:rPr>
          <w:rFonts w:asciiTheme="minorHAnsi" w:hAnsiTheme="minorHAnsi" w:cs="Arial"/>
          <w:b/>
          <w:bCs/>
          <w:i/>
          <w:sz w:val="24"/>
        </w:rPr>
        <w:t>: Productivity growth cycle - decomposition</w:t>
      </w:r>
    </w:p>
    <w:p w:rsidR="00DA4453" w:rsidRPr="00DA4453" w:rsidRDefault="004F6903" w:rsidP="00B66C3D">
      <w:pPr>
        <w:keepNext/>
        <w:rPr>
          <w:rFonts w:asciiTheme="minorHAnsi" w:hAnsiTheme="minorHAnsi" w:cstheme="minorHAnsi"/>
        </w:rPr>
      </w:pPr>
      <w:r w:rsidRPr="004F6903">
        <w:rPr>
          <w:noProof/>
          <w:lang w:eastAsia="en-AU"/>
        </w:rPr>
        <w:drawing>
          <wp:inline distT="0" distB="0" distL="0" distR="0">
            <wp:extent cx="3302699"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699" cy="2743200"/>
                    </a:xfrm>
                    <a:prstGeom prst="rect">
                      <a:avLst/>
                    </a:prstGeom>
                    <a:noFill/>
                    <a:ln>
                      <a:noFill/>
                    </a:ln>
                  </pic:spPr>
                </pic:pic>
              </a:graphicData>
            </a:graphic>
          </wp:inline>
        </w:drawing>
      </w:r>
    </w:p>
    <w:p w:rsidR="00DA4453" w:rsidRPr="005A3796" w:rsidRDefault="00DA4453" w:rsidP="00DA4453">
      <w:pPr>
        <w:rPr>
          <w:rFonts w:asciiTheme="minorHAnsi" w:hAnsiTheme="minorHAnsi" w:cstheme="minorHAnsi"/>
          <w:sz w:val="20"/>
          <w:szCs w:val="18"/>
        </w:rPr>
      </w:pPr>
      <w:r w:rsidRPr="005A3796">
        <w:rPr>
          <w:rFonts w:asciiTheme="minorHAnsi" w:hAnsiTheme="minorHAnsi" w:cstheme="minorHAnsi"/>
          <w:sz w:val="20"/>
          <w:szCs w:val="18"/>
        </w:rPr>
        <w:t xml:space="preserve">Source: </w:t>
      </w:r>
      <w:r w:rsidR="005705F5" w:rsidRPr="005A3796">
        <w:rPr>
          <w:rFonts w:asciiTheme="minorHAnsi" w:hAnsiTheme="minorHAnsi" w:cstheme="minorHAnsi"/>
          <w:sz w:val="20"/>
          <w:szCs w:val="18"/>
        </w:rPr>
        <w:t xml:space="preserve">Department </w:t>
      </w:r>
      <w:r w:rsidR="00DF477A">
        <w:rPr>
          <w:rFonts w:asciiTheme="minorHAnsi" w:hAnsiTheme="minorHAnsi" w:cstheme="minorHAnsi"/>
          <w:sz w:val="20"/>
          <w:szCs w:val="18"/>
        </w:rPr>
        <w:t xml:space="preserve">of Employment </w:t>
      </w:r>
      <w:r w:rsidR="005705F5" w:rsidRPr="005A3796">
        <w:rPr>
          <w:rFonts w:asciiTheme="minorHAnsi" w:hAnsiTheme="minorHAnsi" w:cstheme="minorHAnsi"/>
          <w:sz w:val="20"/>
          <w:szCs w:val="18"/>
        </w:rPr>
        <w:t xml:space="preserve">calculations </w:t>
      </w:r>
      <w:r w:rsidR="00C550BE">
        <w:rPr>
          <w:rFonts w:asciiTheme="minorHAnsi" w:hAnsiTheme="minorHAnsi" w:cstheme="minorHAnsi"/>
          <w:sz w:val="20"/>
          <w:szCs w:val="18"/>
        </w:rPr>
        <w:t>based on</w:t>
      </w:r>
      <w:r w:rsidR="005705F5" w:rsidRPr="005A3796">
        <w:rPr>
          <w:rFonts w:asciiTheme="minorHAnsi" w:hAnsiTheme="minorHAnsi" w:cstheme="minorHAnsi"/>
          <w:sz w:val="20"/>
          <w:szCs w:val="18"/>
        </w:rPr>
        <w:t xml:space="preserve"> </w:t>
      </w:r>
      <w:r w:rsidRPr="005A3796">
        <w:rPr>
          <w:rFonts w:asciiTheme="minorHAnsi" w:hAnsiTheme="minorHAnsi" w:cstheme="minorHAnsi"/>
          <w:sz w:val="20"/>
          <w:szCs w:val="18"/>
        </w:rPr>
        <w:t>ABS Cat No. 5260.0.55.002; Estimates of Industry Multifactor Productivity</w:t>
      </w:r>
      <w:r w:rsidR="00887DDA">
        <w:rPr>
          <w:rFonts w:asciiTheme="minorHAnsi" w:hAnsiTheme="minorHAnsi" w:cstheme="minorHAnsi"/>
          <w:sz w:val="20"/>
          <w:szCs w:val="18"/>
        </w:rPr>
        <w:t>, 12 Industry market sector.</w:t>
      </w:r>
      <w:r w:rsidR="00887DDA">
        <w:rPr>
          <w:rStyle w:val="FootnoteReference"/>
          <w:rFonts w:asciiTheme="minorHAnsi" w:hAnsiTheme="minorHAnsi"/>
          <w:sz w:val="20"/>
          <w:szCs w:val="18"/>
        </w:rPr>
        <w:footnoteReference w:id="4"/>
      </w:r>
    </w:p>
    <w:p w:rsidR="004744CC" w:rsidRPr="00DA4453" w:rsidRDefault="004744CC" w:rsidP="004744CC">
      <w:pPr>
        <w:pStyle w:val="FWCstyle"/>
      </w:pPr>
      <w:r w:rsidRPr="00DA4453">
        <w:t>Labour productivity can also be affected by structural change</w:t>
      </w:r>
      <w:r>
        <w:t>s</w:t>
      </w:r>
      <w:r w:rsidRPr="00DA4453">
        <w:t xml:space="preserve"> within and between industries. </w:t>
      </w:r>
      <w:r w:rsidR="00836B44">
        <w:t>For example, i</w:t>
      </w:r>
      <w:r w:rsidRPr="00DA4453">
        <w:t xml:space="preserve">ndustry productivity can rise due to the exit of low productivity firms within an industry. Likewise, </w:t>
      </w:r>
      <w:r>
        <w:t xml:space="preserve">aggregate </w:t>
      </w:r>
      <w:r w:rsidRPr="00DA4453">
        <w:t xml:space="preserve">labour productivity </w:t>
      </w:r>
      <w:r>
        <w:t xml:space="preserve">can increase due to labour shifting from low to high productivity industries. These changes, although affecting labour productivity at the industry or national level, are not </w:t>
      </w:r>
      <w:r w:rsidR="00836B44">
        <w:t xml:space="preserve">linked to increases or decreases in productivity </w:t>
      </w:r>
      <w:r>
        <w:t xml:space="preserve">by </w:t>
      </w:r>
      <w:r w:rsidRPr="00DA4453">
        <w:t xml:space="preserve">workers </w:t>
      </w:r>
      <w:r w:rsidR="00836B44">
        <w:t xml:space="preserve">in </w:t>
      </w:r>
      <w:r w:rsidRPr="00DA4453">
        <w:t xml:space="preserve">a particular industry. </w:t>
      </w:r>
      <w:r>
        <w:t xml:space="preserve">Therefore, </w:t>
      </w:r>
      <w:r w:rsidR="00836B44">
        <w:t xml:space="preserve">the measure of </w:t>
      </w:r>
      <w:r>
        <w:t xml:space="preserve">labour productivity should not be </w:t>
      </w:r>
      <w:r w:rsidR="00836B44">
        <w:t xml:space="preserve">considered in isolation </w:t>
      </w:r>
      <w:r>
        <w:t>when determining the full picture of productivity trends</w:t>
      </w:r>
      <w:r w:rsidRPr="00DA4453">
        <w:t>.</w:t>
      </w:r>
    </w:p>
    <w:p w:rsidR="00396497" w:rsidRDefault="00396497">
      <w:pPr>
        <w:rPr>
          <w:rFonts w:asciiTheme="minorHAnsi" w:hAnsiTheme="minorHAnsi" w:cstheme="minorHAnsi"/>
          <w:b/>
          <w:bCs/>
          <w:iCs/>
          <w:color w:val="8064A2" w:themeColor="accent4"/>
          <w:sz w:val="36"/>
          <w:szCs w:val="32"/>
        </w:rPr>
      </w:pPr>
      <w:r>
        <w:rPr>
          <w:rFonts w:asciiTheme="minorHAnsi" w:hAnsiTheme="minorHAnsi" w:cstheme="minorHAnsi"/>
          <w:b/>
          <w:bCs/>
          <w:iCs/>
          <w:color w:val="8064A2" w:themeColor="accent4"/>
          <w:sz w:val="36"/>
          <w:szCs w:val="32"/>
        </w:rPr>
        <w:br w:type="page"/>
      </w:r>
    </w:p>
    <w:p w:rsidR="00312885" w:rsidRPr="002C08E2" w:rsidRDefault="00312885" w:rsidP="00312885">
      <w:pPr>
        <w:keepNext/>
        <w:suppressAutoHyphens/>
        <w:spacing w:before="240" w:after="60"/>
        <w:outlineLvl w:val="1"/>
        <w:rPr>
          <w:rFonts w:asciiTheme="minorHAnsi" w:hAnsiTheme="minorHAnsi" w:cstheme="minorHAnsi"/>
          <w:b/>
          <w:bCs/>
          <w:iCs/>
          <w:color w:val="8064A2" w:themeColor="accent4"/>
          <w:sz w:val="36"/>
          <w:szCs w:val="32"/>
        </w:rPr>
      </w:pPr>
      <w:r w:rsidRPr="002C08E2">
        <w:rPr>
          <w:rFonts w:asciiTheme="minorHAnsi" w:hAnsiTheme="minorHAnsi" w:cstheme="minorHAnsi"/>
          <w:b/>
          <w:bCs/>
          <w:iCs/>
          <w:color w:val="8064A2" w:themeColor="accent4"/>
          <w:sz w:val="36"/>
          <w:szCs w:val="32"/>
        </w:rPr>
        <w:lastRenderedPageBreak/>
        <w:t>Question 2.</w:t>
      </w:r>
      <w:r>
        <w:rPr>
          <w:rFonts w:asciiTheme="minorHAnsi" w:hAnsiTheme="minorHAnsi" w:cstheme="minorHAnsi"/>
          <w:b/>
          <w:bCs/>
          <w:iCs/>
          <w:color w:val="8064A2" w:themeColor="accent4"/>
          <w:sz w:val="36"/>
          <w:szCs w:val="32"/>
        </w:rPr>
        <w:t>2</w:t>
      </w:r>
    </w:p>
    <w:p w:rsidR="00312885" w:rsidRPr="002C08E2" w:rsidRDefault="00312885" w:rsidP="00312885">
      <w:pPr>
        <w:keepNext/>
        <w:keepLines/>
        <w:spacing w:before="200"/>
        <w:outlineLvl w:val="2"/>
        <w:rPr>
          <w:rFonts w:ascii="Calibri" w:hAnsi="Calibri" w:cs="Arial"/>
          <w:b/>
          <w:bCs/>
          <w:color w:val="365F91" w:themeColor="accent1" w:themeShade="BF"/>
          <w:sz w:val="28"/>
          <w:szCs w:val="28"/>
          <w:lang w:eastAsia="en-AU"/>
        </w:rPr>
      </w:pPr>
      <w:r w:rsidRPr="002C08E2">
        <w:rPr>
          <w:rFonts w:ascii="Calibri" w:hAnsi="Calibri" w:cs="Arial"/>
          <w:b/>
          <w:bCs/>
          <w:color w:val="365F91" w:themeColor="accent1" w:themeShade="BF"/>
          <w:sz w:val="28"/>
          <w:szCs w:val="28"/>
          <w:lang w:eastAsia="en-AU"/>
        </w:rPr>
        <w:t xml:space="preserve">The ACCI submission claims that it is highly likely that </w:t>
      </w:r>
      <w:r w:rsidRPr="002C08E2">
        <w:rPr>
          <w:rFonts w:ascii="Calibri" w:hAnsi="Calibri" w:cs="Arial"/>
          <w:b/>
          <w:bCs/>
          <w:i/>
          <w:color w:val="365F91" w:themeColor="accent1" w:themeShade="BF"/>
          <w:sz w:val="28"/>
          <w:szCs w:val="28"/>
          <w:lang w:eastAsia="en-AU"/>
        </w:rPr>
        <w:t>“…Australia’s recent productivity improvements have been driven by increases in mining production, as well as a tightening [sic] of the labour market… These circumstances could hardly be less supportive of more rapid wage increases.”</w:t>
      </w:r>
    </w:p>
    <w:p w:rsidR="00312885" w:rsidRPr="002C08E2" w:rsidRDefault="00312885" w:rsidP="00312885">
      <w:pPr>
        <w:keepNext/>
        <w:keepLines/>
        <w:spacing w:before="200"/>
        <w:outlineLvl w:val="2"/>
        <w:rPr>
          <w:rFonts w:ascii="Calibri" w:hAnsi="Calibri" w:cs="Arial"/>
          <w:b/>
          <w:bCs/>
          <w:color w:val="365F91" w:themeColor="accent1" w:themeShade="BF"/>
          <w:sz w:val="28"/>
          <w:szCs w:val="28"/>
          <w:lang w:eastAsia="en-AU"/>
        </w:rPr>
      </w:pPr>
      <w:r w:rsidRPr="002C08E2">
        <w:rPr>
          <w:rFonts w:ascii="Calibri" w:hAnsi="Calibri" w:cs="Arial"/>
          <w:b/>
          <w:bCs/>
          <w:color w:val="365F91" w:themeColor="accent1" w:themeShade="BF"/>
          <w:sz w:val="28"/>
          <w:szCs w:val="28"/>
          <w:lang w:eastAsia="en-AU"/>
        </w:rPr>
        <w:t>The Australian Government submission states that on average labour productivity rose by 1.6 per cent per annum in the decade to 2013, but that it rose at well below this rate for award-reliant industries.</w:t>
      </w:r>
    </w:p>
    <w:p w:rsidR="00312885" w:rsidRPr="004664CA" w:rsidRDefault="00312885" w:rsidP="00312885">
      <w:pPr>
        <w:keepNext/>
        <w:keepLines/>
        <w:spacing w:before="200"/>
        <w:outlineLvl w:val="2"/>
        <w:rPr>
          <w:rFonts w:ascii="Calibri" w:hAnsi="Calibri" w:cs="Arial"/>
          <w:b/>
          <w:bCs/>
          <w:color w:val="365F91" w:themeColor="accent1" w:themeShade="BF"/>
          <w:sz w:val="28"/>
          <w:szCs w:val="28"/>
          <w:lang w:eastAsia="en-AU"/>
        </w:rPr>
      </w:pPr>
      <w:r w:rsidRPr="002C08E2">
        <w:rPr>
          <w:rFonts w:ascii="Calibri" w:hAnsi="Calibri" w:cs="Arial"/>
          <w:b/>
          <w:bCs/>
          <w:color w:val="365F91" w:themeColor="accent1" w:themeShade="BF"/>
          <w:sz w:val="28"/>
          <w:szCs w:val="28"/>
          <w:lang w:eastAsia="en-AU"/>
        </w:rPr>
        <w:t>Both these submissions imply that the sources of increase in labour productivity that might reasonably be shared with low wage workers are confined to productivity growth in the more award-reliant industries. What are the views of parties on this approach?</w:t>
      </w:r>
      <w:r w:rsidRPr="005E33D3">
        <w:rPr>
          <w:rFonts w:ascii="Calibri" w:hAnsi="Calibri" w:cs="Arial"/>
          <w:b/>
          <w:bCs/>
          <w:color w:val="365F91" w:themeColor="accent1" w:themeShade="BF"/>
          <w:sz w:val="28"/>
          <w:szCs w:val="28"/>
          <w:lang w:eastAsia="en-AU"/>
        </w:rPr>
        <w:t xml:space="preserve"> </w:t>
      </w:r>
    </w:p>
    <w:p w:rsidR="00312885" w:rsidRPr="00093212" w:rsidRDefault="00312885" w:rsidP="00312885">
      <w:pPr>
        <w:pStyle w:val="FWCstyle"/>
      </w:pPr>
      <w:r w:rsidRPr="00093212">
        <w:t>The capacity for firms to pay</w:t>
      </w:r>
      <w:r>
        <w:t xml:space="preserve"> wages is</w:t>
      </w:r>
      <w:r w:rsidRPr="00093212">
        <w:t xml:space="preserve"> determined at the firm level</w:t>
      </w:r>
      <w:r>
        <w:t>.</w:t>
      </w:r>
      <w:r w:rsidRPr="00093212">
        <w:t xml:space="preserve"> </w:t>
      </w:r>
      <w:r>
        <w:t>A</w:t>
      </w:r>
      <w:r w:rsidRPr="00093212">
        <w:t xml:space="preserve">s such, improvements to productivity at the firm level also </w:t>
      </w:r>
      <w:r>
        <w:t xml:space="preserve">improve </w:t>
      </w:r>
      <w:r w:rsidRPr="00093212">
        <w:t>the capacity to pay for</w:t>
      </w:r>
      <w:r>
        <w:t xml:space="preserve"> increases in wages</w:t>
      </w:r>
      <w:r w:rsidRPr="00093212">
        <w:t xml:space="preserve">. The productivity performance of the industry </w:t>
      </w:r>
      <w:r w:rsidR="007F3806">
        <w:t>reflects an</w:t>
      </w:r>
      <w:r w:rsidRPr="00093212">
        <w:t xml:space="preserve"> aggregate measure of firm level productivity within that industry. Therefore, labour productivity increases within an industry provide a more accurate reflection of the capacity for employers in th</w:t>
      </w:r>
      <w:r>
        <w:t>at</w:t>
      </w:r>
      <w:r w:rsidRPr="00093212">
        <w:t xml:space="preserve"> industry to afford potential wage increases</w:t>
      </w:r>
      <w:r>
        <w:t xml:space="preserve">.  This is more direct </w:t>
      </w:r>
      <w:r w:rsidRPr="00093212">
        <w:t xml:space="preserve">than </w:t>
      </w:r>
      <w:r>
        <w:t xml:space="preserve">considering </w:t>
      </w:r>
      <w:r w:rsidRPr="00093212">
        <w:t xml:space="preserve">the national aggregate </w:t>
      </w:r>
      <w:r>
        <w:t xml:space="preserve">of </w:t>
      </w:r>
      <w:r w:rsidRPr="00093212">
        <w:t xml:space="preserve">productivity growth. </w:t>
      </w:r>
      <w:r>
        <w:t>For example</w:t>
      </w:r>
      <w:r w:rsidRPr="00093212">
        <w:t xml:space="preserve">, high productivity growth in Agriculture, the industry with the highest productivity growth in the current cycle, does not increase the ability of employers in the Accommodation and Food services sector to afford higher wages </w:t>
      </w:r>
      <w:r>
        <w:t xml:space="preserve">(particularly </w:t>
      </w:r>
      <w:r w:rsidRPr="00093212">
        <w:t>if productivity in the lat</w:t>
      </w:r>
      <w:r>
        <w:t>t</w:t>
      </w:r>
      <w:r w:rsidRPr="00093212">
        <w:t>er industry has not improved</w:t>
      </w:r>
      <w:r>
        <w:t>)</w:t>
      </w:r>
      <w:r w:rsidRPr="00093212">
        <w:t>.</w:t>
      </w:r>
    </w:p>
    <w:p w:rsidR="00312885" w:rsidRPr="00093212" w:rsidRDefault="00312885" w:rsidP="00312885">
      <w:pPr>
        <w:pStyle w:val="FWCstyle"/>
        <w:rPr>
          <w:rFonts w:eastAsia="ヒラギノ角ゴ Pro W3"/>
          <w:color w:val="000000"/>
        </w:rPr>
      </w:pPr>
      <w:r w:rsidRPr="00093212">
        <w:t>As the Government’s submission shows, the majority of award-reliant workers are clustered in four industries: Retail Trade; Accommodation and Food services; Administration and Support services and Other Services. Collectively, these industries have experienced labour productivity growth over the last decade to 2012-13 of 0.9 per cent per year, compared to 1.6 per cent per year for the market sector as a whole. This indicates that award-reliant industries have less potential capacity to pay wage increases than the market sector as a whole.</w:t>
      </w:r>
    </w:p>
    <w:p w:rsidR="00312885" w:rsidRDefault="00312885">
      <w:pPr>
        <w:rPr>
          <w:rFonts w:asciiTheme="minorHAnsi" w:hAnsiTheme="minorHAnsi" w:cstheme="minorHAnsi"/>
          <w:b/>
          <w:bCs/>
          <w:iCs/>
          <w:color w:val="8064A2" w:themeColor="accent4"/>
          <w:sz w:val="36"/>
          <w:szCs w:val="32"/>
        </w:rPr>
      </w:pPr>
      <w:r>
        <w:rPr>
          <w:rFonts w:asciiTheme="minorHAnsi" w:hAnsiTheme="minorHAnsi" w:cstheme="minorHAnsi"/>
          <w:b/>
          <w:bCs/>
          <w:iCs/>
          <w:color w:val="8064A2" w:themeColor="accent4"/>
          <w:sz w:val="36"/>
          <w:szCs w:val="32"/>
        </w:rPr>
        <w:br w:type="page"/>
      </w:r>
    </w:p>
    <w:p w:rsidR="005E33D3" w:rsidRPr="002C08E2"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r w:rsidRPr="002C08E2">
        <w:rPr>
          <w:rFonts w:asciiTheme="minorHAnsi" w:hAnsiTheme="minorHAnsi" w:cstheme="minorHAnsi"/>
          <w:b/>
          <w:bCs/>
          <w:iCs/>
          <w:color w:val="8064A2" w:themeColor="accent4"/>
          <w:sz w:val="36"/>
          <w:szCs w:val="32"/>
        </w:rPr>
        <w:lastRenderedPageBreak/>
        <w:t>Question 2.3</w:t>
      </w:r>
    </w:p>
    <w:p w:rsidR="002C08E2" w:rsidRPr="00D27A88" w:rsidRDefault="002C08E2" w:rsidP="00D27A88">
      <w:pPr>
        <w:keepNext/>
        <w:keepLines/>
        <w:spacing w:before="200"/>
        <w:outlineLvl w:val="2"/>
        <w:rPr>
          <w:rFonts w:ascii="Calibri" w:hAnsi="Calibri" w:cs="Arial"/>
          <w:b/>
          <w:bCs/>
          <w:color w:val="365F91" w:themeColor="accent1" w:themeShade="BF"/>
          <w:sz w:val="28"/>
          <w:szCs w:val="28"/>
          <w:lang w:eastAsia="en-AU"/>
        </w:rPr>
      </w:pPr>
      <w:r w:rsidRPr="00D27A88">
        <w:rPr>
          <w:rFonts w:ascii="Calibri" w:hAnsi="Calibri" w:cs="Arial"/>
          <w:b/>
          <w:bCs/>
          <w:color w:val="365F91" w:themeColor="accent1" w:themeShade="BF"/>
          <w:sz w:val="28"/>
          <w:szCs w:val="28"/>
          <w:lang w:eastAsia="en-AU"/>
        </w:rPr>
        <w:t xml:space="preserve">The Australian Government’s submission provided that the labour share of income is </w:t>
      </w:r>
      <w:r w:rsidRPr="00282D69">
        <w:rPr>
          <w:rFonts w:ascii="Calibri" w:hAnsi="Calibri" w:cs="Arial"/>
          <w:b/>
          <w:bCs/>
          <w:i/>
          <w:color w:val="365F91" w:themeColor="accent1" w:themeShade="BF"/>
          <w:sz w:val="28"/>
          <w:szCs w:val="28"/>
          <w:lang w:eastAsia="en-AU"/>
        </w:rPr>
        <w:t>“…influenced by the number of people in work”</w:t>
      </w:r>
      <w:r w:rsidRPr="00D27A88">
        <w:rPr>
          <w:rFonts w:ascii="Calibri" w:hAnsi="Calibri" w:cs="Arial"/>
          <w:b/>
          <w:bCs/>
          <w:color w:val="365F91" w:themeColor="accent1" w:themeShade="BF"/>
          <w:sz w:val="28"/>
          <w:szCs w:val="28"/>
          <w:lang w:eastAsia="en-AU"/>
        </w:rPr>
        <w:t xml:space="preserve">. Could the Australian Government elaborate on this submission? </w:t>
      </w:r>
    </w:p>
    <w:p w:rsidR="00DA4453" w:rsidRPr="00DA4453" w:rsidRDefault="00DA4453" w:rsidP="004664CA">
      <w:pPr>
        <w:pStyle w:val="FWCstyle"/>
      </w:pPr>
      <w:r w:rsidRPr="00DA4453">
        <w:t xml:space="preserve">In its </w:t>
      </w:r>
      <w:r w:rsidR="002619FF">
        <w:t xml:space="preserve">initial </w:t>
      </w:r>
      <w:r w:rsidRPr="00DA4453">
        <w:t xml:space="preserve">submission, the Government </w:t>
      </w:r>
      <w:r w:rsidR="002619FF">
        <w:t xml:space="preserve">noted that </w:t>
      </w:r>
      <w:r w:rsidRPr="00DA4453">
        <w:t>the concept of the labour share of total factor income is influenced by a number of factors</w:t>
      </w:r>
      <w:r w:rsidR="00B42D66">
        <w:t>, including factors that are not attributable to</w:t>
      </w:r>
      <w:r w:rsidRPr="00DA4453">
        <w:t xml:space="preserve"> the </w:t>
      </w:r>
      <w:r w:rsidR="002619FF">
        <w:t xml:space="preserve">income received by the </w:t>
      </w:r>
      <w:r w:rsidR="00734C2C">
        <w:t>low</w:t>
      </w:r>
      <w:r w:rsidR="00FE345A">
        <w:t xml:space="preserve"> </w:t>
      </w:r>
      <w:r w:rsidR="00734C2C">
        <w:t>paid and their relative</w:t>
      </w:r>
      <w:r w:rsidRPr="00DA4453">
        <w:t xml:space="preserve"> living standards. The labour share of income is</w:t>
      </w:r>
      <w:r w:rsidR="00B42D66">
        <w:t xml:space="preserve">, however, </w:t>
      </w:r>
      <w:r w:rsidRPr="00DA4453">
        <w:t xml:space="preserve">a particularly useful indicator at the industry level to assess the degree to which </w:t>
      </w:r>
      <w:r w:rsidR="00166A85">
        <w:t xml:space="preserve">industry income and </w:t>
      </w:r>
      <w:r w:rsidRPr="00DA4453">
        <w:t>the returns to capital investment</w:t>
      </w:r>
      <w:r w:rsidR="00B42D66">
        <w:t xml:space="preserve"> </w:t>
      </w:r>
      <w:r w:rsidRPr="00DA4453">
        <w:t>flow to the workers and the owners of capital</w:t>
      </w:r>
      <w:r w:rsidR="00B42D66">
        <w:t xml:space="preserve"> in any given period</w:t>
      </w:r>
      <w:r w:rsidRPr="00DA4453">
        <w:t>.  It is affected by a number of factors including: the level of capital intensity; the level of total factor income (through output and prices); the lag between investment and output; taxes; as well as the remuneration levels and the quantity of workers employed within the industry.</w:t>
      </w:r>
    </w:p>
    <w:p w:rsidR="00DA4453" w:rsidRPr="00DA4453" w:rsidRDefault="001D3CD8" w:rsidP="004664CA">
      <w:pPr>
        <w:pStyle w:val="FWCstyle"/>
      </w:pPr>
      <w:r>
        <w:t>T</w:t>
      </w:r>
      <w:r w:rsidR="00DA4453" w:rsidRPr="00DA4453">
        <w:t xml:space="preserve">he ABS calculates the labour share of income using the following </w:t>
      </w:r>
      <w:r w:rsidR="00021843">
        <w:t>formula</w:t>
      </w:r>
      <w:r w:rsidR="00DA4453" w:rsidRPr="00DA4453">
        <w:t>:</w:t>
      </w:r>
      <m:oMath>
        <m:r>
          <w:rPr>
            <w:rStyle w:val="FootnoteReference"/>
            <w:rFonts w:ascii="Cambria Math" w:hAnsi="Cambria Math"/>
          </w:rPr>
          <m:t xml:space="preserve"> </m:t>
        </m:r>
        <m:r>
          <w:rPr>
            <w:rStyle w:val="FootnoteReference"/>
            <w:rFonts w:ascii="Cambria Math" w:hAnsi="Cambria Math"/>
            <w:i/>
          </w:rPr>
          <w:footnoteReference w:id="5"/>
        </m:r>
      </m:oMath>
    </w:p>
    <w:p w:rsidR="00DA4453" w:rsidRPr="00DA4453" w:rsidRDefault="008A25BC" w:rsidP="00DA4453">
      <w:pPr>
        <w:jc w:val="center"/>
        <w:rPr>
          <w:rFonts w:asciiTheme="minorHAnsi" w:hAnsiTheme="minorHAnsi" w:cstheme="minorHAnsi"/>
        </w:rPr>
      </w:pPr>
      <m:oMathPara>
        <m:oMathParaPr>
          <m:jc m:val="center"/>
        </m:oMathParaPr>
        <m:oMath>
          <m:sSub>
            <m:sSubPr>
              <m:ctrlPr>
                <w:rPr>
                  <w:rFonts w:ascii="Cambria Math" w:hAnsi="Cambria Math" w:cstheme="minorHAnsi"/>
                </w:rPr>
              </m:ctrlPr>
            </m:sSubPr>
            <m:e>
              <m:r>
                <m:rPr>
                  <m:sty m:val="p"/>
                </m:rPr>
                <w:rPr>
                  <w:rFonts w:ascii="Cambria Math" w:hAnsi="Cambria Math" w:cstheme="minorHAnsi"/>
                </w:rPr>
                <m:t>S</m:t>
              </m:r>
            </m:e>
            <m:sub>
              <m:r>
                <m:rPr>
                  <m:sty m:val="p"/>
                </m:rPr>
                <w:rPr>
                  <w:rFonts w:ascii="Cambria Math" w:hAnsi="Cambria Math" w:cstheme="minorHAnsi"/>
                </w:rPr>
                <m:t>l</m:t>
              </m:r>
            </m:sub>
          </m:sSub>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COE+GMI</m:t>
              </m:r>
              <m:d>
                <m:dPr>
                  <m:ctrlPr>
                    <w:rPr>
                      <w:rFonts w:ascii="Cambria Math" w:hAnsi="Cambria Math" w:cstheme="minorHAnsi"/>
                    </w:rPr>
                  </m:ctrlPr>
                </m:dPr>
                <m:e>
                  <m:r>
                    <m:rPr>
                      <m:sty m:val="p"/>
                    </m:rPr>
                    <w:rPr>
                      <w:rFonts w:ascii="Cambria Math" w:hAnsi="Cambria Math" w:cstheme="minorHAnsi"/>
                    </w:rPr>
                    <m:t>L</m:t>
                  </m:r>
                </m:e>
              </m:d>
              <m:r>
                <m:rPr>
                  <m:sty m:val="p"/>
                </m:rPr>
                <w:rPr>
                  <w:rFonts w:ascii="Cambria Math" w:hAnsi="Cambria Math" w:cstheme="minorHAnsi"/>
                </w:rPr>
                <m:t xml:space="preserve">+IBT(L) </m:t>
              </m:r>
            </m:num>
            <m:den>
              <m:r>
                <m:rPr>
                  <m:sty m:val="p"/>
                </m:rPr>
                <w:rPr>
                  <w:rFonts w:ascii="Cambria Math" w:hAnsi="Cambria Math" w:cstheme="minorHAnsi"/>
                </w:rPr>
                <m:t>Total Income</m:t>
              </m:r>
            </m:den>
          </m:f>
        </m:oMath>
      </m:oMathPara>
    </w:p>
    <w:p w:rsidR="00DA4453" w:rsidRPr="00DA4453" w:rsidRDefault="00093212" w:rsidP="004664CA">
      <w:pPr>
        <w:pStyle w:val="FWCstyle"/>
        <w:numPr>
          <w:ilvl w:val="0"/>
          <w:numId w:val="0"/>
        </w:numPr>
        <w:ind w:left="425"/>
      </w:pPr>
      <w:proofErr w:type="gramStart"/>
      <w:r>
        <w:t>w</w:t>
      </w:r>
      <w:r w:rsidR="00DA4453" w:rsidRPr="00DA4453">
        <w:t>here</w:t>
      </w:r>
      <w:proofErr w:type="gramEnd"/>
      <w:r w:rsidR="00DA4453" w:rsidRPr="00DA4453">
        <w:t xml:space="preserv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l</m:t>
            </m:r>
          </m:sub>
        </m:sSub>
      </m:oMath>
      <w:r w:rsidR="00DA4453" w:rsidRPr="00DA4453">
        <w:t xml:space="preserve"> is the share of labour income;</w:t>
      </w:r>
      <m:oMath>
        <m:r>
          <m:rPr>
            <m:sty m:val="p"/>
          </m:rPr>
          <w:rPr>
            <w:rFonts w:ascii="Cambria Math" w:hAnsi="Cambria Math"/>
          </w:rPr>
          <m:t xml:space="preserve"> COE</m:t>
        </m:r>
      </m:oMath>
      <w:r w:rsidR="00DA4453" w:rsidRPr="00DA4453">
        <w:t xml:space="preserve"> is Compensation of Employees; </w:t>
      </w:r>
      <m:oMath>
        <m:r>
          <m:rPr>
            <m:sty m:val="p"/>
          </m:rPr>
          <w:rPr>
            <w:rFonts w:ascii="Cambria Math" w:hAnsi="Cambria Math"/>
          </w:rPr>
          <m:t>GMI</m:t>
        </m:r>
      </m:oMath>
      <w:r w:rsidR="00DA4453" w:rsidRPr="00DA4453">
        <w:t xml:space="preserve"> is the labour share of Gross Mixed Income and </w:t>
      </w:r>
      <m:oMath>
        <m:r>
          <m:rPr>
            <m:sty m:val="p"/>
          </m:rPr>
          <w:rPr>
            <w:rFonts w:ascii="Cambria Math" w:hAnsi="Cambria Math"/>
          </w:rPr>
          <m:t>IBT</m:t>
        </m:r>
      </m:oMath>
      <w:r w:rsidR="00DA4453" w:rsidRPr="00DA4453">
        <w:t xml:space="preserve"> are taxes less subsidies on production and imports.</w:t>
      </w:r>
    </w:p>
    <w:p w:rsidR="00DA4453" w:rsidRPr="00093212" w:rsidRDefault="00B42D66" w:rsidP="004664CA">
      <w:pPr>
        <w:pStyle w:val="FWCstyle"/>
      </w:pPr>
      <w:r>
        <w:t xml:space="preserve">In the above calculation, </w:t>
      </w:r>
      <w:r w:rsidR="00DA4453" w:rsidRPr="00093212">
        <w:t>Compensation of Employees includes wages and salaries, employer contributions to superannuation and workers' compensation premiums. The total of these payments, at the industry and aggregate levels, is affected not only by rate</w:t>
      </w:r>
      <w:r>
        <w:t>s</w:t>
      </w:r>
      <w:r w:rsidR="00DA4453" w:rsidRPr="00093212">
        <w:t xml:space="preserve"> of pay, but the </w:t>
      </w:r>
      <w:r>
        <w:t xml:space="preserve">number </w:t>
      </w:r>
      <w:r w:rsidR="00DA4453" w:rsidRPr="00093212">
        <w:t xml:space="preserve">of employees in the industry, or workforce. Therefore, the labour share of income </w:t>
      </w:r>
      <w:r w:rsidR="004664CA">
        <w:t>can be</w:t>
      </w:r>
      <w:r w:rsidR="00DA4453" w:rsidRPr="00093212">
        <w:t xml:space="preserve"> influenced by the number of people in work</w:t>
      </w:r>
      <w:r w:rsidR="00B05334">
        <w:t>. In particular, when increases in output are</w:t>
      </w:r>
      <w:r>
        <w:t>, proportionally,</w:t>
      </w:r>
      <w:r w:rsidR="00B05334">
        <w:t xml:space="preserve"> outpaced by increases in the number of workers</w:t>
      </w:r>
      <w:r w:rsidR="00F867F2">
        <w:t>,</w:t>
      </w:r>
      <w:r>
        <w:t xml:space="preserve"> </w:t>
      </w:r>
      <w:r w:rsidR="00B05334">
        <w:t>the labour share of income will increase</w:t>
      </w:r>
      <w:r>
        <w:t xml:space="preserve"> where the additional workers are paid at the </w:t>
      </w:r>
      <w:r w:rsidR="00C863C6">
        <w:t xml:space="preserve">existing </w:t>
      </w:r>
      <w:r>
        <w:t>wage</w:t>
      </w:r>
      <w:r w:rsidR="00C863C6">
        <w:t xml:space="preserve"> level</w:t>
      </w:r>
      <w:r w:rsidR="00021843" w:rsidRPr="00093212">
        <w:t>.</w:t>
      </w:r>
      <w:r w:rsidR="00DA4453" w:rsidRPr="00093212">
        <w:t xml:space="preserve">  </w:t>
      </w:r>
    </w:p>
    <w:p w:rsidR="004639A0" w:rsidRDefault="004639A0">
      <w:pPr>
        <w:rPr>
          <w:rFonts w:asciiTheme="minorHAnsi" w:hAnsiTheme="minorHAnsi" w:cstheme="minorHAnsi"/>
          <w:b/>
          <w:bCs/>
          <w:iCs/>
          <w:color w:val="8064A2" w:themeColor="accent4"/>
          <w:sz w:val="36"/>
          <w:szCs w:val="32"/>
        </w:rPr>
      </w:pPr>
      <w:r>
        <w:rPr>
          <w:rFonts w:asciiTheme="minorHAnsi" w:hAnsiTheme="minorHAnsi" w:cstheme="minorHAnsi"/>
          <w:b/>
          <w:bCs/>
          <w:iCs/>
          <w:color w:val="8064A2" w:themeColor="accent4"/>
          <w:sz w:val="36"/>
          <w:szCs w:val="32"/>
        </w:rPr>
        <w:br w:type="page"/>
      </w:r>
    </w:p>
    <w:p w:rsidR="005E33D3" w:rsidRPr="002C08E2"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bookmarkStart w:id="15" w:name="_Toc386727423"/>
      <w:r w:rsidRPr="002C08E2">
        <w:rPr>
          <w:rFonts w:asciiTheme="minorHAnsi" w:hAnsiTheme="minorHAnsi" w:cstheme="minorHAnsi"/>
          <w:b/>
          <w:bCs/>
          <w:iCs/>
          <w:color w:val="8064A2" w:themeColor="accent4"/>
          <w:sz w:val="36"/>
          <w:szCs w:val="32"/>
        </w:rPr>
        <w:lastRenderedPageBreak/>
        <w:t xml:space="preserve">Question </w:t>
      </w:r>
      <w:bookmarkEnd w:id="15"/>
      <w:r w:rsidRPr="002C08E2">
        <w:rPr>
          <w:rFonts w:asciiTheme="minorHAnsi" w:hAnsiTheme="minorHAnsi" w:cstheme="minorHAnsi"/>
          <w:b/>
          <w:bCs/>
          <w:iCs/>
          <w:color w:val="8064A2" w:themeColor="accent4"/>
          <w:sz w:val="36"/>
          <w:szCs w:val="32"/>
        </w:rPr>
        <w:t>2.</w:t>
      </w:r>
      <w:r w:rsidR="00312885">
        <w:rPr>
          <w:rFonts w:asciiTheme="minorHAnsi" w:hAnsiTheme="minorHAnsi" w:cstheme="minorHAnsi"/>
          <w:b/>
          <w:bCs/>
          <w:iCs/>
          <w:color w:val="8064A2" w:themeColor="accent4"/>
          <w:sz w:val="36"/>
          <w:szCs w:val="32"/>
        </w:rPr>
        <w:t>4</w:t>
      </w:r>
    </w:p>
    <w:p w:rsidR="005E33D3" w:rsidRPr="002C08E2" w:rsidRDefault="005E33D3" w:rsidP="005E33D3">
      <w:pPr>
        <w:keepNext/>
        <w:keepLines/>
        <w:spacing w:before="200"/>
        <w:outlineLvl w:val="2"/>
        <w:rPr>
          <w:rFonts w:ascii="Calibri" w:hAnsi="Calibri" w:cs="Arial"/>
          <w:b/>
          <w:bCs/>
          <w:color w:val="365F91" w:themeColor="accent1" w:themeShade="BF"/>
          <w:sz w:val="28"/>
          <w:szCs w:val="28"/>
          <w:lang w:eastAsia="en-AU"/>
        </w:rPr>
      </w:pPr>
      <w:r w:rsidRPr="002C08E2">
        <w:rPr>
          <w:rFonts w:ascii="Calibri" w:hAnsi="Calibri" w:cs="Arial"/>
          <w:b/>
          <w:bCs/>
          <w:color w:val="365F91" w:themeColor="accent1" w:themeShade="BF"/>
          <w:sz w:val="28"/>
          <w:szCs w:val="28"/>
          <w:lang w:eastAsia="en-AU"/>
        </w:rPr>
        <w:t xml:space="preserve">In discussing labour market conditions and the decline in work opportunities, particularly for men, Australian Business Industrial and the Australian Industry Group refer to structural change in the economy away from labour intensive industries such as construction. However, the </w:t>
      </w:r>
      <w:r w:rsidRPr="002C08E2">
        <w:rPr>
          <w:rFonts w:ascii="Calibri" w:hAnsi="Calibri" w:cs="Arial"/>
          <w:b/>
          <w:bCs/>
          <w:i/>
          <w:color w:val="365F91" w:themeColor="accent1" w:themeShade="BF"/>
          <w:sz w:val="28"/>
          <w:szCs w:val="28"/>
          <w:lang w:eastAsia="en-AU"/>
        </w:rPr>
        <w:t>Statistical Report</w:t>
      </w:r>
      <w:r w:rsidRPr="002C08E2">
        <w:rPr>
          <w:rFonts w:ascii="Calibri" w:hAnsi="Calibri" w:cs="Arial"/>
          <w:b/>
          <w:bCs/>
          <w:color w:val="365F91" w:themeColor="accent1" w:themeShade="BF"/>
          <w:sz w:val="28"/>
          <w:szCs w:val="28"/>
          <w:lang w:eastAsia="en-AU"/>
        </w:rPr>
        <w:t xml:space="preserve"> for the Annual Wage Review 2013–14 shows that employment in the construction sector has grown considerably over the last decade, including in the year to February 2014. As the construction phase of the mining boom continues to contract we may see a decline in the industry in the year(s) ahead, although an upturn in home building and infrastructure spending may cushion that decline. There is also the possibility that private sector investment will pick up but the signs there are still very tentative.</w:t>
      </w:r>
    </w:p>
    <w:p w:rsidR="005E33D3" w:rsidRPr="005E33D3" w:rsidRDefault="005E33D3" w:rsidP="005E33D3">
      <w:pPr>
        <w:keepNext/>
        <w:keepLines/>
        <w:spacing w:before="200"/>
        <w:outlineLvl w:val="2"/>
        <w:rPr>
          <w:rFonts w:ascii="Calibri" w:hAnsi="Calibri" w:cs="Arial"/>
          <w:b/>
          <w:bCs/>
          <w:color w:val="365F91" w:themeColor="accent1" w:themeShade="BF"/>
          <w:sz w:val="28"/>
          <w:szCs w:val="28"/>
          <w:lang w:eastAsia="en-AU"/>
        </w:rPr>
      </w:pPr>
      <w:r w:rsidRPr="002C08E2">
        <w:rPr>
          <w:rFonts w:ascii="Calibri" w:hAnsi="Calibri" w:cs="Arial"/>
          <w:b/>
          <w:bCs/>
          <w:color w:val="365F91" w:themeColor="accent1" w:themeShade="BF"/>
          <w:sz w:val="28"/>
          <w:szCs w:val="28"/>
          <w:lang w:eastAsia="en-AU"/>
        </w:rPr>
        <w:t>Based on these trends, how should the Panel take into account structural change in the economy?</w:t>
      </w:r>
    </w:p>
    <w:p w:rsidR="00DA4453" w:rsidRPr="00093212" w:rsidRDefault="00DA4453" w:rsidP="004664CA">
      <w:pPr>
        <w:pStyle w:val="FWCstyle"/>
      </w:pPr>
      <w:r w:rsidRPr="00093212">
        <w:t>A comparison between the FWC’s statistical report and the analysis presented by the ABI and Ai</w:t>
      </w:r>
      <w:r w:rsidR="0050256E">
        <w:t xml:space="preserve"> </w:t>
      </w:r>
      <w:r w:rsidRPr="00093212">
        <w:t>G</w:t>
      </w:r>
      <w:r w:rsidR="0050256E">
        <w:t>roup</w:t>
      </w:r>
      <w:r w:rsidRPr="00093212">
        <w:t xml:space="preserve"> shows that</w:t>
      </w:r>
      <w:r w:rsidR="00CB7305">
        <w:t>, depending on which starting point is used,</w:t>
      </w:r>
      <w:r w:rsidRPr="00093212">
        <w:t xml:space="preserve"> both observations are</w:t>
      </w:r>
      <w:r w:rsidR="00627155">
        <w:t xml:space="preserve"> technically</w:t>
      </w:r>
      <w:r w:rsidRPr="00093212">
        <w:t xml:space="preserve"> correct. Employment in the Construction industry has grown considerably over the last decade, and has also been strong over the last year, coming off a low point. In particular, the data shows that in the 10</w:t>
      </w:r>
      <w:r w:rsidR="00CB7305">
        <w:t> </w:t>
      </w:r>
      <w:r w:rsidRPr="00093212">
        <w:t>years to February 2008, employment in construction on a seasonally adjusted basis grew at an average annual rate of 5.0 per cent (</w:t>
      </w:r>
      <w:r w:rsidR="003A3B87" w:rsidRPr="00093212">
        <w:t xml:space="preserve">See </w:t>
      </w:r>
      <w:r w:rsidRPr="00093212">
        <w:t xml:space="preserve">Figure 2 </w:t>
      </w:r>
      <w:r w:rsidR="003A3B87" w:rsidRPr="00093212">
        <w:t>below</w:t>
      </w:r>
      <w:r w:rsidRPr="00093212">
        <w:t xml:space="preserve">). However, in the six years since February 2008 average annual growth of employment in Construction has slowed to 0.7 per cent, with some volatility in between. </w:t>
      </w:r>
      <w:r w:rsidR="00627155">
        <w:t>I</w:t>
      </w:r>
      <w:r w:rsidRPr="00093212">
        <w:t>n the five years</w:t>
      </w:r>
      <w:r w:rsidR="00D74289" w:rsidRPr="00093212">
        <w:rPr>
          <w:vertAlign w:val="superscript"/>
        </w:rPr>
        <w:footnoteReference w:id="6"/>
      </w:r>
      <w:r w:rsidR="00F43003" w:rsidRPr="00093212">
        <w:t xml:space="preserve"> from August</w:t>
      </w:r>
      <w:r w:rsidRPr="00093212">
        <w:t xml:space="preserve"> 2008 to August 2013</w:t>
      </w:r>
      <w:r w:rsidR="003A3B87" w:rsidRPr="00093212">
        <w:t>,</w:t>
      </w:r>
      <w:r w:rsidRPr="00093212">
        <w:t xml:space="preserve"> the industry added </w:t>
      </w:r>
      <w:r w:rsidR="00627155">
        <w:t xml:space="preserve">approximately </w:t>
      </w:r>
      <w:r w:rsidR="00F43003" w:rsidRPr="00093212">
        <w:t>48</w:t>
      </w:r>
      <w:r w:rsidRPr="00093212">
        <w:t xml:space="preserve">,000 </w:t>
      </w:r>
      <w:r w:rsidR="003A3B87" w:rsidRPr="00093212">
        <w:t>worker</w:t>
      </w:r>
      <w:r w:rsidRPr="00093212">
        <w:t xml:space="preserve">s, compared to over </w:t>
      </w:r>
      <w:r w:rsidR="00F43003" w:rsidRPr="00093212">
        <w:t>2</w:t>
      </w:r>
      <w:r w:rsidRPr="00093212">
        <w:t>3</w:t>
      </w:r>
      <w:r w:rsidR="00F43003" w:rsidRPr="00093212">
        <w:t>8</w:t>
      </w:r>
      <w:r w:rsidRPr="00093212">
        <w:t xml:space="preserve">,000 </w:t>
      </w:r>
      <w:r w:rsidR="003A3B87" w:rsidRPr="00093212">
        <w:t>worker</w:t>
      </w:r>
      <w:r w:rsidRPr="00093212">
        <w:t>s over the previous</w:t>
      </w:r>
      <w:r w:rsidR="00440A8A" w:rsidRPr="00093212">
        <w:t xml:space="preserve"> five year</w:t>
      </w:r>
      <w:r w:rsidRPr="00093212">
        <w:t xml:space="preserve"> period</w:t>
      </w:r>
      <w:r w:rsidR="00CB7305">
        <w:t xml:space="preserve"> (2003-2008)</w:t>
      </w:r>
      <w:r w:rsidRPr="00093212">
        <w:t>.</w:t>
      </w:r>
    </w:p>
    <w:p w:rsidR="00DA4453" w:rsidRPr="005A3796" w:rsidRDefault="00DA4453" w:rsidP="00093212">
      <w:pPr>
        <w:pStyle w:val="ListParagraph"/>
        <w:keepNext/>
        <w:ind w:left="0"/>
        <w:rPr>
          <w:rFonts w:asciiTheme="minorHAnsi" w:hAnsiTheme="minorHAnsi" w:cs="Arial"/>
          <w:b/>
          <w:bCs/>
          <w:i/>
          <w:sz w:val="24"/>
        </w:rPr>
      </w:pPr>
      <w:r w:rsidRPr="005A3796">
        <w:rPr>
          <w:rFonts w:asciiTheme="minorHAnsi" w:hAnsiTheme="minorHAnsi" w:cs="Arial"/>
          <w:b/>
          <w:bCs/>
          <w:i/>
          <w:sz w:val="24"/>
        </w:rPr>
        <w:t xml:space="preserve">Figure </w:t>
      </w:r>
      <w:r w:rsidR="008A25BC" w:rsidRPr="005A3796">
        <w:rPr>
          <w:rFonts w:asciiTheme="minorHAnsi" w:hAnsiTheme="minorHAnsi" w:cs="Arial"/>
          <w:b/>
          <w:bCs/>
          <w:i/>
          <w:sz w:val="24"/>
        </w:rPr>
        <w:fldChar w:fldCharType="begin"/>
      </w:r>
      <w:r w:rsidR="00166A85" w:rsidRPr="005A3796">
        <w:rPr>
          <w:rFonts w:asciiTheme="minorHAnsi" w:hAnsiTheme="minorHAnsi" w:cs="Arial"/>
          <w:b/>
          <w:bCs/>
          <w:i/>
          <w:sz w:val="24"/>
        </w:rPr>
        <w:instrText xml:space="preserve"> SEQ Figure \* ARABIC </w:instrText>
      </w:r>
      <w:r w:rsidR="008A25BC" w:rsidRPr="005A3796">
        <w:rPr>
          <w:rFonts w:asciiTheme="minorHAnsi" w:hAnsiTheme="minorHAnsi" w:cs="Arial"/>
          <w:b/>
          <w:bCs/>
          <w:i/>
          <w:sz w:val="24"/>
        </w:rPr>
        <w:fldChar w:fldCharType="separate"/>
      </w:r>
      <w:r w:rsidR="00D94589">
        <w:rPr>
          <w:rFonts w:asciiTheme="minorHAnsi" w:hAnsiTheme="minorHAnsi" w:cs="Arial"/>
          <w:b/>
          <w:bCs/>
          <w:i/>
          <w:noProof/>
          <w:sz w:val="24"/>
        </w:rPr>
        <w:t>2</w:t>
      </w:r>
      <w:r w:rsidR="008A25BC" w:rsidRPr="005A3796">
        <w:rPr>
          <w:rFonts w:asciiTheme="minorHAnsi" w:hAnsiTheme="minorHAnsi" w:cs="Arial"/>
          <w:b/>
          <w:bCs/>
          <w:i/>
          <w:sz w:val="24"/>
        </w:rPr>
        <w:fldChar w:fldCharType="end"/>
      </w:r>
      <w:r w:rsidRPr="005A3796">
        <w:rPr>
          <w:rFonts w:asciiTheme="minorHAnsi" w:hAnsiTheme="minorHAnsi" w:cs="Arial"/>
          <w:b/>
          <w:bCs/>
          <w:i/>
          <w:sz w:val="24"/>
        </w:rPr>
        <w:t>: Employment growth in Construction</w:t>
      </w:r>
    </w:p>
    <w:p w:rsidR="00DA4453" w:rsidRPr="00DA4453" w:rsidRDefault="00F43003" w:rsidP="00DA4453">
      <w:pPr>
        <w:rPr>
          <w:rFonts w:asciiTheme="minorHAnsi" w:hAnsiTheme="minorHAnsi" w:cstheme="minorHAnsi"/>
        </w:rPr>
      </w:pPr>
      <w:r w:rsidRPr="00F43003">
        <w:rPr>
          <w:noProof/>
          <w:lang w:eastAsia="en-AU"/>
        </w:rPr>
        <w:drawing>
          <wp:inline distT="0" distB="0" distL="0" distR="0">
            <wp:extent cx="4562475" cy="2486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9935" cy="2484641"/>
                    </a:xfrm>
                    <a:prstGeom prst="rect">
                      <a:avLst/>
                    </a:prstGeom>
                    <a:noFill/>
                    <a:ln>
                      <a:noFill/>
                    </a:ln>
                  </pic:spPr>
                </pic:pic>
              </a:graphicData>
            </a:graphic>
          </wp:inline>
        </w:drawing>
      </w:r>
    </w:p>
    <w:p w:rsidR="00DA4453" w:rsidRPr="00093212" w:rsidRDefault="00DA4453" w:rsidP="00093212">
      <w:pPr>
        <w:rPr>
          <w:rFonts w:asciiTheme="minorHAnsi" w:hAnsiTheme="minorHAnsi" w:cstheme="minorHAnsi"/>
          <w:sz w:val="20"/>
        </w:rPr>
      </w:pPr>
      <w:r w:rsidRPr="00093212">
        <w:rPr>
          <w:rFonts w:asciiTheme="minorHAnsi" w:hAnsiTheme="minorHAnsi" w:cstheme="minorHAnsi"/>
          <w:sz w:val="20"/>
        </w:rPr>
        <w:t>Source: ABS</w:t>
      </w:r>
      <w:r w:rsidR="00FE345A">
        <w:rPr>
          <w:rFonts w:asciiTheme="minorHAnsi" w:hAnsiTheme="minorHAnsi" w:cstheme="minorHAnsi"/>
          <w:sz w:val="20"/>
        </w:rPr>
        <w:t>,</w:t>
      </w:r>
      <w:r w:rsidRPr="00093212">
        <w:rPr>
          <w:rFonts w:asciiTheme="minorHAnsi" w:hAnsiTheme="minorHAnsi" w:cstheme="minorHAnsi"/>
          <w:sz w:val="20"/>
        </w:rPr>
        <w:t xml:space="preserve"> Cat</w:t>
      </w:r>
      <w:r w:rsidR="00FE345A">
        <w:rPr>
          <w:rFonts w:asciiTheme="minorHAnsi" w:hAnsiTheme="minorHAnsi" w:cstheme="minorHAnsi"/>
          <w:sz w:val="20"/>
        </w:rPr>
        <w:t>.</w:t>
      </w:r>
      <w:r w:rsidRPr="00093212">
        <w:rPr>
          <w:rFonts w:asciiTheme="minorHAnsi" w:hAnsiTheme="minorHAnsi" w:cstheme="minorHAnsi"/>
          <w:sz w:val="20"/>
        </w:rPr>
        <w:t xml:space="preserve"> </w:t>
      </w:r>
      <w:r w:rsidR="00FE345A">
        <w:rPr>
          <w:rFonts w:asciiTheme="minorHAnsi" w:hAnsiTheme="minorHAnsi" w:cstheme="minorHAnsi"/>
          <w:sz w:val="20"/>
        </w:rPr>
        <w:t>N</w:t>
      </w:r>
      <w:r w:rsidRPr="00093212">
        <w:rPr>
          <w:rFonts w:asciiTheme="minorHAnsi" w:hAnsiTheme="minorHAnsi" w:cstheme="minorHAnsi"/>
          <w:sz w:val="20"/>
        </w:rPr>
        <w:t>o. 6291.0.55.003 Labour Force, Australia, Detailed, Quarterly</w:t>
      </w:r>
    </w:p>
    <w:p w:rsidR="00DA4453" w:rsidRPr="004639A0" w:rsidRDefault="00DA4453" w:rsidP="004664CA">
      <w:pPr>
        <w:pStyle w:val="FWCstyle"/>
      </w:pPr>
      <w:r w:rsidRPr="004639A0">
        <w:lastRenderedPageBreak/>
        <w:t xml:space="preserve">The large decline in the trend rate of employment growth in </w:t>
      </w:r>
      <w:r w:rsidR="003A3B87" w:rsidRPr="004639A0">
        <w:t>C</w:t>
      </w:r>
      <w:r w:rsidRPr="004639A0">
        <w:t>onstruction</w:t>
      </w:r>
      <w:r w:rsidR="004F6903" w:rsidRPr="004639A0">
        <w:t xml:space="preserve"> reflects the reduction in construction activity in the resources sector and the softening of economic conditions. To the extent that these trends are reflected in</w:t>
      </w:r>
      <w:r w:rsidR="00AE57A6">
        <w:t xml:space="preserve"> the</w:t>
      </w:r>
      <w:r w:rsidR="004F6903" w:rsidRPr="004639A0">
        <w:t xml:space="preserve"> broader economy</w:t>
      </w:r>
      <w:r w:rsidR="0050256E">
        <w:t>,</w:t>
      </w:r>
      <w:r w:rsidR="00AE57A6">
        <w:t xml:space="preserve"> </w:t>
      </w:r>
      <w:r w:rsidR="0050256E">
        <w:t>t</w:t>
      </w:r>
      <w:r w:rsidR="00AE57A6">
        <w:t>his</w:t>
      </w:r>
      <w:r w:rsidR="004F6903" w:rsidRPr="004639A0">
        <w:t xml:space="preserve"> would indicate the need for a cautious approach to minimum wage policies that might affect employment.</w:t>
      </w:r>
      <w:r w:rsidRPr="004639A0">
        <w:t xml:space="preserve"> This is particularly so, as the economy transitions from resources to non-resource sources of growth. </w:t>
      </w:r>
    </w:p>
    <w:p w:rsidR="00093212" w:rsidRDefault="00093212">
      <w:pPr>
        <w:rPr>
          <w:rFonts w:ascii="Calibri" w:hAnsi="Calibri" w:cs="HelveticaNeueLT-BoldCond"/>
          <w:b/>
          <w:bCs/>
          <w:color w:val="C0504D" w:themeColor="accent2"/>
          <w:kern w:val="32"/>
          <w:sz w:val="44"/>
          <w:szCs w:val="44"/>
          <w:lang w:eastAsia="en-AU"/>
        </w:rPr>
      </w:pPr>
      <w:r>
        <w:rPr>
          <w:rFonts w:ascii="Calibri" w:hAnsi="Calibri" w:cs="HelveticaNeueLT-BoldCond"/>
          <w:b/>
          <w:bCs/>
          <w:color w:val="C0504D" w:themeColor="accent2"/>
          <w:kern w:val="32"/>
          <w:sz w:val="44"/>
          <w:szCs w:val="44"/>
          <w:lang w:eastAsia="en-AU"/>
        </w:rPr>
        <w:br w:type="page"/>
      </w:r>
    </w:p>
    <w:p w:rsidR="005E33D3" w:rsidRPr="00312885" w:rsidRDefault="005E33D3" w:rsidP="00312885">
      <w:pPr>
        <w:keepNext/>
        <w:widowControl w:val="0"/>
        <w:tabs>
          <w:tab w:val="left" w:pos="1701"/>
        </w:tabs>
        <w:suppressAutoHyphens/>
        <w:autoSpaceDE w:val="0"/>
        <w:autoSpaceDN w:val="0"/>
        <w:adjustRightInd w:val="0"/>
        <w:spacing w:after="120"/>
        <w:outlineLvl w:val="0"/>
        <w:rPr>
          <w:rFonts w:ascii="Calibri" w:hAnsi="Calibri" w:cs="HelveticaNeueLT-BoldCond"/>
          <w:b/>
          <w:bCs/>
          <w:color w:val="C0504D" w:themeColor="accent2"/>
          <w:kern w:val="32"/>
          <w:sz w:val="44"/>
          <w:szCs w:val="44"/>
          <w:lang w:eastAsia="en-AU"/>
        </w:rPr>
      </w:pPr>
      <w:r w:rsidRPr="005E33D3">
        <w:rPr>
          <w:rFonts w:ascii="Calibri" w:hAnsi="Calibri" w:cs="HelveticaNeueLT-BoldCond"/>
          <w:b/>
          <w:bCs/>
          <w:color w:val="C0504D" w:themeColor="accent2"/>
          <w:kern w:val="32"/>
          <w:sz w:val="44"/>
          <w:szCs w:val="44"/>
          <w:lang w:eastAsia="en-AU"/>
        </w:rPr>
        <w:lastRenderedPageBreak/>
        <w:t>Business competitiveness and viability</w:t>
      </w:r>
      <w:bookmarkStart w:id="16" w:name="_Toc386711240"/>
      <w:bookmarkStart w:id="17" w:name="_Toc386712891"/>
      <w:bookmarkStart w:id="18" w:name="_Toc386711241"/>
      <w:bookmarkStart w:id="19" w:name="_Toc386712892"/>
      <w:bookmarkStart w:id="20" w:name="_Toc386711242"/>
      <w:bookmarkStart w:id="21" w:name="_Toc386712893"/>
      <w:bookmarkStart w:id="22" w:name="_Toc386711243"/>
      <w:bookmarkStart w:id="23" w:name="_Toc386712894"/>
      <w:bookmarkStart w:id="24" w:name="_Toc386711244"/>
      <w:bookmarkStart w:id="25" w:name="_Toc386712895"/>
      <w:bookmarkStart w:id="26" w:name="_Toc386711245"/>
      <w:bookmarkStart w:id="27" w:name="_Toc386712896"/>
      <w:bookmarkStart w:id="28" w:name="_Toc386711246"/>
      <w:bookmarkStart w:id="29" w:name="_Toc386712897"/>
      <w:bookmarkStart w:id="30" w:name="_Toc386711247"/>
      <w:bookmarkStart w:id="31" w:name="_Toc386712898"/>
      <w:bookmarkStart w:id="32" w:name="_Toc386711248"/>
      <w:bookmarkStart w:id="33" w:name="_Toc386712899"/>
      <w:bookmarkStart w:id="34" w:name="_Toc386711249"/>
      <w:bookmarkStart w:id="35" w:name="_Toc386712900"/>
      <w:bookmarkStart w:id="36" w:name="_Toc386711250"/>
      <w:bookmarkStart w:id="37" w:name="_Toc386712901"/>
      <w:bookmarkStart w:id="38" w:name="_Toc386711251"/>
      <w:bookmarkStart w:id="39" w:name="_Toc386712902"/>
      <w:bookmarkStart w:id="40" w:name="_Toc386711252"/>
      <w:bookmarkStart w:id="41" w:name="_Toc386712903"/>
      <w:bookmarkStart w:id="42" w:name="_Toc386711253"/>
      <w:bookmarkStart w:id="43" w:name="_Toc386712904"/>
      <w:bookmarkStart w:id="44" w:name="_Toc386711254"/>
      <w:bookmarkStart w:id="45" w:name="_Toc386712905"/>
      <w:bookmarkStart w:id="46" w:name="_Toc386722810"/>
      <w:bookmarkStart w:id="47" w:name="_Toc386726536"/>
      <w:bookmarkStart w:id="48" w:name="_Toc386722811"/>
      <w:bookmarkStart w:id="49" w:name="_Toc386726537"/>
      <w:bookmarkStart w:id="50" w:name="_Toc386722812"/>
      <w:bookmarkStart w:id="51" w:name="_Toc38672653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B2694" w:rsidRPr="00AE4668" w:rsidRDefault="003B2694" w:rsidP="003B2694">
      <w:pPr>
        <w:keepNext/>
        <w:suppressAutoHyphens/>
        <w:spacing w:before="240" w:after="60"/>
        <w:outlineLvl w:val="1"/>
      </w:pPr>
      <w:r w:rsidRPr="00AE4668">
        <w:rPr>
          <w:rFonts w:asciiTheme="minorHAnsi" w:hAnsiTheme="minorHAnsi"/>
          <w:b/>
          <w:color w:val="8064A2" w:themeColor="accent4"/>
          <w:sz w:val="36"/>
        </w:rPr>
        <w:t>Question 3.3</w:t>
      </w:r>
    </w:p>
    <w:p w:rsidR="003B2694" w:rsidRPr="00AE4668" w:rsidRDefault="003B2694" w:rsidP="003B2694">
      <w:pPr>
        <w:keepNext/>
        <w:keepLines/>
        <w:spacing w:before="200"/>
        <w:outlineLvl w:val="2"/>
        <w:rPr>
          <w:rFonts w:ascii="Calibri" w:hAnsi="Calibri"/>
          <w:b/>
          <w:color w:val="365F91" w:themeColor="accent1" w:themeShade="BF"/>
          <w:sz w:val="28"/>
        </w:rPr>
      </w:pPr>
      <w:r w:rsidRPr="00AE4668">
        <w:rPr>
          <w:rFonts w:ascii="Calibri" w:hAnsi="Calibri"/>
          <w:b/>
          <w:color w:val="365F91" w:themeColor="accent1" w:themeShade="BF"/>
          <w:sz w:val="28"/>
        </w:rPr>
        <w:t xml:space="preserve">Submissions on behalf of retail employers draw attention to subdued growth in retail prices. What information is available which sheds light on the cause of lesser growth in retail prices and the extent to which product cost to retailers is relevant? </w:t>
      </w:r>
    </w:p>
    <w:p w:rsidR="003B2694" w:rsidRPr="00AE4668" w:rsidRDefault="003B2694" w:rsidP="003B2694">
      <w:pPr>
        <w:pStyle w:val="FWCstyle"/>
      </w:pPr>
      <w:r w:rsidRPr="00AE4668">
        <w:t>Historically, through the year (</w:t>
      </w:r>
      <w:proofErr w:type="spellStart"/>
      <w:proofErr w:type="gramStart"/>
      <w:r w:rsidRPr="00AE4668">
        <w:t>tty</w:t>
      </w:r>
      <w:proofErr w:type="spellEnd"/>
      <w:proofErr w:type="gramEnd"/>
      <w:r w:rsidRPr="00AE4668">
        <w:t>) growth in retail prices tends to be lower than through the year growth in the consumer price index (see Figure 3 below).</w:t>
      </w:r>
    </w:p>
    <w:p w:rsidR="003B2694" w:rsidRPr="00AE4668" w:rsidRDefault="003B2694" w:rsidP="003B2694">
      <w:pPr>
        <w:pStyle w:val="FWCstyle"/>
      </w:pPr>
      <w:r w:rsidRPr="00AE4668">
        <w:t>The majority of industry subgroups that fall under retail trade are businesses that predominantly sell tradeable items. The ABS defines a commodity as a tradeable if a significant proportion of its domestic output is exported or if a significant proportion of its demand for domestic consumption is imported.  So most food items, clothing and footwear, appliances, and audio, visual and computing equipment are tradeable, while rent and dwelling purchases, utilities, health and dental services, education, and insurance and financial services are all examples of non-</w:t>
      </w:r>
      <w:proofErr w:type="spellStart"/>
      <w:r w:rsidRPr="00AE4668">
        <w:t>tradeables</w:t>
      </w:r>
      <w:proofErr w:type="spellEnd"/>
      <w:r w:rsidRPr="00AE4668">
        <w:t xml:space="preserve">. </w:t>
      </w:r>
    </w:p>
    <w:p w:rsidR="003B2694" w:rsidRPr="00AE4668" w:rsidRDefault="003B2694" w:rsidP="003B2694">
      <w:pPr>
        <w:pStyle w:val="FWCstyle"/>
      </w:pPr>
      <w:r w:rsidRPr="00AE4668">
        <w:t xml:space="preserve">The CPI is largely driven by price changes in non-tradable items, which account for approximately 58 per cent of the CPI by weight. CPI inflation is therefore influenced more by domestically sourced price pressures than retail prices, which reflect tradeable prices and are more influenced by international price pressures. </w:t>
      </w:r>
    </w:p>
    <w:p w:rsidR="003B2694" w:rsidRPr="00AE4668" w:rsidRDefault="003B2694" w:rsidP="003B2694">
      <w:pPr>
        <w:pStyle w:val="FWCstyle"/>
      </w:pPr>
      <w:r w:rsidRPr="00AE4668">
        <w:t>So while changes in retail prices may largely be due to changes in the cost of imports as inputs to Australian retailers the more pressing issue facing retailers is likely to be pressure on their margins. Treasury’s liaison program suggests that retail margins have been under pressure for some time.  Information on margins is specific to individual firms so it possible that the Australian National Retail Association may be able to provide more useful information on this issue.</w:t>
      </w:r>
    </w:p>
    <w:p w:rsidR="003B2694" w:rsidRPr="003B2694" w:rsidRDefault="003B2694" w:rsidP="003B2694">
      <w:pPr>
        <w:pStyle w:val="FWCstyle"/>
        <w:numPr>
          <w:ilvl w:val="0"/>
          <w:numId w:val="0"/>
        </w:numPr>
        <w:ind w:left="360"/>
        <w:rPr>
          <w:highlight w:val="yellow"/>
        </w:rPr>
      </w:pPr>
    </w:p>
    <w:p w:rsidR="003B2694" w:rsidRPr="003B2694" w:rsidRDefault="003B2694" w:rsidP="003B2694">
      <w:pPr>
        <w:pStyle w:val="FWCstyle"/>
        <w:numPr>
          <w:ilvl w:val="0"/>
          <w:numId w:val="0"/>
        </w:numPr>
        <w:ind w:left="360"/>
        <w:rPr>
          <w:highlight w:val="yellow"/>
        </w:rPr>
      </w:pPr>
    </w:p>
    <w:p w:rsidR="003B2694" w:rsidRPr="003B2694" w:rsidRDefault="003B2694" w:rsidP="003B2694">
      <w:pPr>
        <w:pStyle w:val="FWCstyle"/>
        <w:numPr>
          <w:ilvl w:val="0"/>
          <w:numId w:val="0"/>
        </w:numPr>
        <w:ind w:left="360"/>
        <w:rPr>
          <w:highlight w:val="yellow"/>
        </w:rPr>
      </w:pPr>
    </w:p>
    <w:p w:rsidR="003B2694" w:rsidRPr="003B2694" w:rsidRDefault="003B2694" w:rsidP="003B2694">
      <w:pPr>
        <w:pStyle w:val="FWCstyle"/>
        <w:numPr>
          <w:ilvl w:val="0"/>
          <w:numId w:val="0"/>
        </w:numPr>
        <w:ind w:left="360"/>
        <w:rPr>
          <w:highlight w:val="yellow"/>
        </w:rPr>
      </w:pPr>
    </w:p>
    <w:p w:rsidR="003B2694" w:rsidRPr="00C15352" w:rsidRDefault="003B2694" w:rsidP="00C15352">
      <w:pPr>
        <w:pStyle w:val="ListParagraph"/>
        <w:keepNext/>
        <w:ind w:left="0"/>
        <w:rPr>
          <w:rFonts w:asciiTheme="minorHAnsi" w:hAnsiTheme="minorHAnsi" w:cs="Arial"/>
          <w:b/>
          <w:bCs/>
          <w:i/>
          <w:sz w:val="24"/>
        </w:rPr>
      </w:pPr>
      <w:r w:rsidRPr="00AE4668">
        <w:rPr>
          <w:rFonts w:asciiTheme="minorHAnsi" w:hAnsiTheme="minorHAnsi"/>
          <w:b/>
          <w:i/>
          <w:sz w:val="24"/>
        </w:rPr>
        <w:lastRenderedPageBreak/>
        <w:t>Figure 3: Retail prices and CPI March 1986 – March 2014</w:t>
      </w:r>
    </w:p>
    <w:p w:rsidR="003B2694" w:rsidRPr="003B2694" w:rsidRDefault="003B2694" w:rsidP="003B2694">
      <w:pPr>
        <w:keepNext/>
        <w:keepLines/>
        <w:spacing w:before="200"/>
        <w:outlineLvl w:val="2"/>
        <w:rPr>
          <w:rFonts w:ascii="Calibri" w:hAnsi="Calibri" w:cs="Arial"/>
          <w:b/>
          <w:bCs/>
          <w:color w:val="365F91" w:themeColor="accent1" w:themeShade="BF"/>
          <w:sz w:val="28"/>
          <w:szCs w:val="28"/>
          <w:lang w:eastAsia="en-AU"/>
        </w:rPr>
      </w:pPr>
      <w:r w:rsidRPr="00AE4668">
        <w:rPr>
          <w:noProof/>
          <w:lang w:eastAsia="en-AU"/>
        </w:rPr>
        <w:drawing>
          <wp:inline distT="0" distB="0" distL="0" distR="0">
            <wp:extent cx="5581650" cy="3962400"/>
            <wp:effectExtent l="0" t="0" r="0" b="0"/>
            <wp:docPr id="3" name="Picture 3" descr="cid:image002.png@01CF6F8C.C73CD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6F8C.C73CD130"/>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3962400"/>
                    </a:xfrm>
                    <a:prstGeom prst="rect">
                      <a:avLst/>
                    </a:prstGeom>
                    <a:noFill/>
                    <a:ln>
                      <a:noFill/>
                    </a:ln>
                  </pic:spPr>
                </pic:pic>
              </a:graphicData>
            </a:graphic>
          </wp:inline>
        </w:drawing>
      </w:r>
    </w:p>
    <w:p w:rsidR="00C14B18" w:rsidRDefault="00C14B18" w:rsidP="00080933">
      <w:pPr>
        <w:keepNext/>
        <w:suppressAutoHyphens/>
        <w:spacing w:before="240" w:after="60"/>
        <w:outlineLvl w:val="1"/>
        <w:rPr>
          <w:rFonts w:asciiTheme="minorHAnsi" w:hAnsiTheme="minorHAnsi" w:cstheme="minorHAnsi"/>
          <w:b/>
          <w:bCs/>
          <w:iCs/>
          <w:color w:val="8064A2" w:themeColor="accent4"/>
          <w:sz w:val="36"/>
          <w:szCs w:val="32"/>
        </w:rPr>
      </w:pPr>
    </w:p>
    <w:p w:rsidR="00AE4668" w:rsidRDefault="00AE4668">
      <w:pPr>
        <w:rPr>
          <w:rFonts w:asciiTheme="minorHAnsi" w:hAnsiTheme="minorHAnsi" w:cstheme="minorHAnsi"/>
          <w:b/>
          <w:bCs/>
          <w:iCs/>
          <w:color w:val="8064A2" w:themeColor="accent4"/>
          <w:sz w:val="36"/>
          <w:szCs w:val="32"/>
        </w:rPr>
      </w:pPr>
      <w:r>
        <w:rPr>
          <w:rFonts w:asciiTheme="minorHAnsi" w:hAnsiTheme="minorHAnsi" w:cstheme="minorHAnsi"/>
          <w:b/>
          <w:bCs/>
          <w:iCs/>
          <w:color w:val="8064A2" w:themeColor="accent4"/>
          <w:sz w:val="36"/>
          <w:szCs w:val="32"/>
        </w:rPr>
        <w:br w:type="page"/>
      </w:r>
    </w:p>
    <w:p w:rsidR="00080933" w:rsidRPr="00736167" w:rsidRDefault="00080933" w:rsidP="00080933">
      <w:pPr>
        <w:keepNext/>
        <w:suppressAutoHyphens/>
        <w:spacing w:before="240" w:after="60"/>
        <w:outlineLvl w:val="1"/>
        <w:rPr>
          <w:rFonts w:asciiTheme="minorHAnsi" w:hAnsiTheme="minorHAnsi" w:cstheme="minorHAnsi"/>
          <w:b/>
          <w:bCs/>
          <w:iCs/>
          <w:color w:val="8064A2" w:themeColor="accent4"/>
          <w:sz w:val="36"/>
          <w:szCs w:val="32"/>
        </w:rPr>
      </w:pPr>
      <w:r w:rsidRPr="00736167">
        <w:rPr>
          <w:rFonts w:asciiTheme="minorHAnsi" w:hAnsiTheme="minorHAnsi" w:cstheme="minorHAnsi"/>
          <w:b/>
          <w:bCs/>
          <w:iCs/>
          <w:color w:val="8064A2" w:themeColor="accent4"/>
          <w:sz w:val="36"/>
          <w:szCs w:val="32"/>
        </w:rPr>
        <w:lastRenderedPageBreak/>
        <w:t>Question 3.4</w:t>
      </w:r>
    </w:p>
    <w:p w:rsidR="00080933" w:rsidRPr="00736167" w:rsidRDefault="00080933" w:rsidP="00080933">
      <w:pPr>
        <w:keepNext/>
        <w:keepLines/>
        <w:spacing w:before="200"/>
        <w:outlineLvl w:val="2"/>
        <w:rPr>
          <w:rFonts w:ascii="Calibri" w:hAnsi="Calibri" w:cs="Arial"/>
          <w:b/>
          <w:bCs/>
          <w:color w:val="365F91" w:themeColor="accent1" w:themeShade="BF"/>
          <w:sz w:val="28"/>
          <w:szCs w:val="28"/>
          <w:lang w:eastAsia="en-AU"/>
        </w:rPr>
      </w:pPr>
      <w:r w:rsidRPr="00736167">
        <w:rPr>
          <w:rFonts w:ascii="Calibri" w:hAnsi="Calibri" w:cs="Arial"/>
          <w:b/>
          <w:bCs/>
          <w:color w:val="365F91" w:themeColor="accent1" w:themeShade="BF"/>
          <w:sz w:val="28"/>
          <w:szCs w:val="28"/>
          <w:lang w:eastAsia="en-AU"/>
        </w:rPr>
        <w:t xml:space="preserve">Citing Dissolve—Business Stress Report March 2014, which we understand to be published by the insolvency practitioner Dissolve Pty Ltd, the R&amp;CA submit that </w:t>
      </w:r>
      <w:r w:rsidRPr="00736167">
        <w:rPr>
          <w:rFonts w:ascii="Calibri" w:hAnsi="Calibri" w:cs="Arial"/>
          <w:b/>
          <w:bCs/>
          <w:i/>
          <w:color w:val="365F91" w:themeColor="accent1" w:themeShade="BF"/>
          <w:sz w:val="28"/>
          <w:szCs w:val="28"/>
          <w:lang w:eastAsia="en-AU"/>
        </w:rPr>
        <w:t>“[c]</w:t>
      </w:r>
      <w:proofErr w:type="spellStart"/>
      <w:r w:rsidRPr="00736167">
        <w:rPr>
          <w:rFonts w:ascii="Calibri" w:hAnsi="Calibri" w:cs="Arial"/>
          <w:b/>
          <w:bCs/>
          <w:i/>
          <w:color w:val="365F91" w:themeColor="accent1" w:themeShade="BF"/>
          <w:sz w:val="28"/>
          <w:szCs w:val="28"/>
          <w:lang w:eastAsia="en-AU"/>
        </w:rPr>
        <w:t>ompany</w:t>
      </w:r>
      <w:proofErr w:type="spellEnd"/>
      <w:r w:rsidRPr="00736167">
        <w:rPr>
          <w:rFonts w:ascii="Calibri" w:hAnsi="Calibri" w:cs="Arial"/>
          <w:b/>
          <w:bCs/>
          <w:i/>
          <w:color w:val="365F91" w:themeColor="accent1" w:themeShade="BF"/>
          <w:sz w:val="28"/>
          <w:szCs w:val="28"/>
          <w:lang w:eastAsia="en-AU"/>
        </w:rPr>
        <w:t xml:space="preserve"> insolvencies were the highest on record in calendar year 2013 as illustrated in the table below with 10,821 businesses placed into external administration”.</w:t>
      </w:r>
    </w:p>
    <w:p w:rsidR="00080933" w:rsidRPr="00736167" w:rsidRDefault="00080933" w:rsidP="00080933">
      <w:pPr>
        <w:keepNext/>
        <w:keepLines/>
        <w:spacing w:before="200"/>
        <w:outlineLvl w:val="2"/>
        <w:rPr>
          <w:rFonts w:ascii="Calibri" w:hAnsi="Calibri" w:cs="Arial"/>
          <w:b/>
          <w:bCs/>
          <w:color w:val="365F91" w:themeColor="accent1" w:themeShade="BF"/>
          <w:sz w:val="28"/>
          <w:szCs w:val="28"/>
          <w:lang w:eastAsia="en-AU"/>
        </w:rPr>
      </w:pPr>
      <w:r w:rsidRPr="00736167">
        <w:rPr>
          <w:rFonts w:ascii="Calibri" w:hAnsi="Calibri" w:cs="Arial"/>
          <w:b/>
          <w:bCs/>
          <w:color w:val="365F91" w:themeColor="accent1" w:themeShade="BF"/>
          <w:sz w:val="28"/>
          <w:szCs w:val="28"/>
          <w:lang w:eastAsia="en-AU"/>
        </w:rPr>
        <w:t xml:space="preserve">Are the Dissolve figures based on data from the Australian Securities and Investment Commission (ASIC)? </w:t>
      </w:r>
      <w:proofErr w:type="gramStart"/>
      <w:r w:rsidRPr="00736167">
        <w:rPr>
          <w:rFonts w:ascii="Calibri" w:hAnsi="Calibri" w:cs="Arial"/>
          <w:b/>
          <w:bCs/>
          <w:color w:val="365F91" w:themeColor="accent1" w:themeShade="BF"/>
          <w:sz w:val="28"/>
          <w:szCs w:val="28"/>
          <w:lang w:eastAsia="en-AU"/>
        </w:rPr>
        <w:t>Is</w:t>
      </w:r>
      <w:proofErr w:type="gramEnd"/>
      <w:r w:rsidRPr="00736167">
        <w:rPr>
          <w:rFonts w:ascii="Calibri" w:hAnsi="Calibri" w:cs="Arial"/>
          <w:b/>
          <w:bCs/>
          <w:color w:val="365F91" w:themeColor="accent1" w:themeShade="BF"/>
          <w:sz w:val="28"/>
          <w:szCs w:val="28"/>
          <w:lang w:eastAsia="en-AU"/>
        </w:rPr>
        <w:t xml:space="preserve"> a higher absolute number of insolvencies to be expected as the absolute number of business registrations rises? Is the ratio of companies entering external administration (EXAD) relative to new incorporations in 2013 at a low level compared with the long term trend of 6 per cent, used by ASIC?</w:t>
      </w:r>
    </w:p>
    <w:p w:rsidR="00080933" w:rsidRDefault="00080933" w:rsidP="00080933">
      <w:pPr>
        <w:pStyle w:val="FWCstyle"/>
      </w:pPr>
      <w:r>
        <w:t xml:space="preserve">The Government has examined ASIC Australian insolvency statistics: series 2: insolvency appointments (released in May 2014).  These do not line up with the information from </w:t>
      </w:r>
      <w:r>
        <w:rPr>
          <w:i/>
          <w:iCs/>
        </w:rPr>
        <w:t>Citing Dissolve – Business Stress Report March 2014.</w:t>
      </w:r>
    </w:p>
    <w:p w:rsidR="00080933" w:rsidRDefault="00080933" w:rsidP="00080933">
      <w:pPr>
        <w:pStyle w:val="FWCstyle"/>
      </w:pPr>
      <w:r>
        <w:t>According to ASIC’s annual insolvency appointments statistics there were 13,013 external administration appointments in 2011-2012 and 13,274 external administration appointments in 2012-2013. This represents a 2 per cent increase in the number of external administration appointments. A break up of these numbers is provided below.</w:t>
      </w:r>
    </w:p>
    <w:p w:rsidR="00D37B12" w:rsidRPr="008D39BB" w:rsidRDefault="00D37B12" w:rsidP="008D39BB">
      <w:pPr>
        <w:pStyle w:val="ListParagraph"/>
        <w:keepNext/>
        <w:ind w:left="0"/>
        <w:rPr>
          <w:rFonts w:asciiTheme="minorHAnsi" w:hAnsiTheme="minorHAnsi" w:cs="Arial"/>
          <w:b/>
          <w:bCs/>
          <w:i/>
        </w:rPr>
      </w:pPr>
      <w:r w:rsidRPr="008D39BB">
        <w:rPr>
          <w:rFonts w:asciiTheme="minorHAnsi" w:hAnsiTheme="minorHAnsi" w:cs="Arial"/>
          <w:b/>
          <w:bCs/>
          <w:i/>
          <w:sz w:val="24"/>
        </w:rPr>
        <w:t xml:space="preserve">Table 2: </w:t>
      </w:r>
      <w:r>
        <w:rPr>
          <w:rFonts w:asciiTheme="minorHAnsi" w:hAnsiTheme="minorHAnsi" w:cs="Arial"/>
          <w:b/>
          <w:bCs/>
          <w:i/>
          <w:sz w:val="24"/>
        </w:rPr>
        <w:t>ASIC’s a</w:t>
      </w:r>
      <w:r w:rsidRPr="008D39BB">
        <w:rPr>
          <w:rFonts w:asciiTheme="minorHAnsi" w:hAnsiTheme="minorHAnsi" w:cs="Arial"/>
          <w:b/>
          <w:bCs/>
          <w:i/>
          <w:sz w:val="24"/>
        </w:rPr>
        <w:t>nnual insolvency appointments statistics</w:t>
      </w:r>
    </w:p>
    <w:tbl>
      <w:tblPr>
        <w:tblW w:w="0" w:type="auto"/>
        <w:tblCellMar>
          <w:left w:w="0" w:type="dxa"/>
          <w:right w:w="0" w:type="dxa"/>
        </w:tblCellMar>
        <w:tblLook w:val="04A0"/>
      </w:tblPr>
      <w:tblGrid>
        <w:gridCol w:w="4785"/>
        <w:gridCol w:w="4785"/>
      </w:tblGrid>
      <w:tr w:rsidR="00D37B12" w:rsidRPr="00D37B12" w:rsidTr="0008093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b/>
                <w:bCs/>
                <w:color w:val="000000" w:themeColor="text1"/>
              </w:rPr>
              <w:t>2011-2012</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b/>
                <w:bCs/>
                <w:color w:val="000000" w:themeColor="text1"/>
                <w:szCs w:val="22"/>
              </w:rPr>
            </w:pPr>
            <w:r w:rsidRPr="008D39BB">
              <w:rPr>
                <w:b/>
                <w:bCs/>
                <w:color w:val="000000" w:themeColor="text1"/>
              </w:rPr>
              <w:t>2012-2013</w:t>
            </w:r>
          </w:p>
        </w:tc>
      </w:tr>
      <w:tr w:rsidR="00D37B12" w:rsidRPr="00D37B12" w:rsidTr="0008093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color w:val="000000" w:themeColor="text1"/>
              </w:rPr>
              <w:t>Provisional winding up                                 28</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color w:val="000000" w:themeColor="text1"/>
              </w:rPr>
              <w:t>Provisional winding up                                 20</w:t>
            </w:r>
          </w:p>
        </w:tc>
      </w:tr>
      <w:tr w:rsidR="00D37B12" w:rsidRPr="00D37B12" w:rsidTr="0008093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933" w:rsidRPr="008D39BB" w:rsidRDefault="00080933" w:rsidP="0031565C">
            <w:pPr>
              <w:rPr>
                <w:rFonts w:ascii="Calibri" w:eastAsiaTheme="minorHAnsi" w:hAnsi="Calibri"/>
                <w:color w:val="000000" w:themeColor="text1"/>
                <w:szCs w:val="22"/>
              </w:rPr>
            </w:pPr>
            <w:r w:rsidRPr="008D39BB">
              <w:rPr>
                <w:color w:val="000000" w:themeColor="text1"/>
              </w:rPr>
              <w:t xml:space="preserve">Court winding </w:t>
            </w:r>
            <w:r w:rsidR="00E62B42">
              <w:rPr>
                <w:color w:val="000000" w:themeColor="text1"/>
              </w:rPr>
              <w:t>u</w:t>
            </w:r>
            <w:r w:rsidRPr="008D39BB">
              <w:rPr>
                <w:color w:val="000000" w:themeColor="text1"/>
              </w:rPr>
              <w:t>p                                      4000</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080933" w:rsidRPr="008D39BB" w:rsidRDefault="00080933">
            <w:pPr>
              <w:rPr>
                <w:rFonts w:ascii="Calibri" w:eastAsiaTheme="minorHAnsi" w:hAnsi="Calibri"/>
                <w:color w:val="000000" w:themeColor="text1"/>
                <w:szCs w:val="22"/>
              </w:rPr>
            </w:pPr>
            <w:r w:rsidRPr="008D39BB">
              <w:rPr>
                <w:color w:val="000000" w:themeColor="text1"/>
              </w:rPr>
              <w:t xml:space="preserve">Court winding </w:t>
            </w:r>
            <w:r w:rsidR="003A05B3">
              <w:rPr>
                <w:color w:val="000000" w:themeColor="text1"/>
              </w:rPr>
              <w:t>u</w:t>
            </w:r>
            <w:r w:rsidRPr="008D39BB">
              <w:rPr>
                <w:color w:val="000000" w:themeColor="text1"/>
              </w:rPr>
              <w:t>p                                       3494</w:t>
            </w:r>
          </w:p>
        </w:tc>
      </w:tr>
      <w:tr w:rsidR="00D37B12" w:rsidRPr="00D37B12" w:rsidTr="0008093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color w:val="000000" w:themeColor="text1"/>
              </w:rPr>
              <w:t>Creditor vol. winding up                       </w:t>
            </w:r>
            <w:r w:rsidR="00D37B12">
              <w:rPr>
                <w:color w:val="000000" w:themeColor="text1"/>
              </w:rPr>
              <w:t xml:space="preserve">  </w:t>
            </w:r>
            <w:r w:rsidRPr="008D39BB">
              <w:rPr>
                <w:color w:val="000000" w:themeColor="text1"/>
              </w:rPr>
              <w:t>   6818</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color w:val="000000" w:themeColor="text1"/>
              </w:rPr>
              <w:t>Creditor vol. winding up                       </w:t>
            </w:r>
            <w:r w:rsidR="00D37B12">
              <w:rPr>
                <w:color w:val="000000" w:themeColor="text1"/>
              </w:rPr>
              <w:t xml:space="preserve">  </w:t>
            </w:r>
            <w:r w:rsidRPr="008D39BB">
              <w:rPr>
                <w:color w:val="000000" w:themeColor="text1"/>
              </w:rPr>
              <w:t>   7698</w:t>
            </w:r>
          </w:p>
        </w:tc>
      </w:tr>
      <w:tr w:rsidR="00D37B12" w:rsidRPr="00D37B12" w:rsidTr="0008093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color w:val="000000" w:themeColor="text1"/>
              </w:rPr>
              <w:t>Voluntary administration                     </w:t>
            </w:r>
            <w:r w:rsidR="00D37B12">
              <w:rPr>
                <w:color w:val="000000" w:themeColor="text1"/>
              </w:rPr>
              <w:t xml:space="preserve">    </w:t>
            </w:r>
            <w:r w:rsidRPr="008D39BB">
              <w:rPr>
                <w:color w:val="000000" w:themeColor="text1"/>
              </w:rPr>
              <w:t>  1615</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color w:val="000000" w:themeColor="text1"/>
              </w:rPr>
              <w:t>Voluntary administration                   </w:t>
            </w:r>
            <w:r w:rsidR="00D37B12">
              <w:rPr>
                <w:color w:val="000000" w:themeColor="text1"/>
              </w:rPr>
              <w:t xml:space="preserve">    </w:t>
            </w:r>
            <w:r w:rsidRPr="008D39BB">
              <w:rPr>
                <w:color w:val="000000" w:themeColor="text1"/>
              </w:rPr>
              <w:t>    1644</w:t>
            </w:r>
          </w:p>
        </w:tc>
      </w:tr>
      <w:tr w:rsidR="00D37B12" w:rsidRPr="00D37B12" w:rsidTr="0008093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color w:val="000000" w:themeColor="text1"/>
              </w:rPr>
              <w:t>Deed of company arrangement          </w:t>
            </w:r>
            <w:r w:rsidR="00D37B12">
              <w:rPr>
                <w:color w:val="000000" w:themeColor="text1"/>
              </w:rPr>
              <w:t xml:space="preserve">       </w:t>
            </w:r>
            <w:r w:rsidRPr="008D39BB">
              <w:rPr>
                <w:color w:val="000000" w:themeColor="text1"/>
              </w:rPr>
              <w:t> 552</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080933" w:rsidRPr="008D39BB" w:rsidRDefault="00080933" w:rsidP="00080933">
            <w:pPr>
              <w:rPr>
                <w:rFonts w:ascii="Calibri" w:eastAsiaTheme="minorHAnsi" w:hAnsi="Calibri"/>
                <w:color w:val="000000" w:themeColor="text1"/>
                <w:szCs w:val="22"/>
              </w:rPr>
            </w:pPr>
            <w:r w:rsidRPr="008D39BB">
              <w:rPr>
                <w:color w:val="000000" w:themeColor="text1"/>
              </w:rPr>
              <w:t>Deed of company arrangement       </w:t>
            </w:r>
            <w:r w:rsidR="00D37B12">
              <w:rPr>
                <w:color w:val="000000" w:themeColor="text1"/>
              </w:rPr>
              <w:t xml:space="preserve">       </w:t>
            </w:r>
            <w:r w:rsidRPr="008D39BB">
              <w:rPr>
                <w:color w:val="000000" w:themeColor="text1"/>
              </w:rPr>
              <w:t>    418</w:t>
            </w:r>
          </w:p>
        </w:tc>
      </w:tr>
      <w:tr w:rsidR="00D37B12" w:rsidRPr="00D37B12" w:rsidTr="0008093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0933" w:rsidRPr="008D39BB" w:rsidRDefault="00080933">
            <w:pPr>
              <w:rPr>
                <w:rFonts w:ascii="Calibri" w:eastAsiaTheme="minorHAnsi" w:hAnsi="Calibri"/>
                <w:b/>
                <w:bCs/>
                <w:color w:val="000000" w:themeColor="text1"/>
                <w:szCs w:val="22"/>
              </w:rPr>
            </w:pPr>
            <w:r w:rsidRPr="008D39BB">
              <w:rPr>
                <w:b/>
                <w:bCs/>
                <w:color w:val="000000" w:themeColor="text1"/>
              </w:rPr>
              <w:t>Total                                                        13013</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080933" w:rsidRPr="008D39BB" w:rsidRDefault="00080933">
            <w:pPr>
              <w:rPr>
                <w:rFonts w:ascii="Calibri" w:eastAsiaTheme="minorHAnsi" w:hAnsi="Calibri"/>
                <w:color w:val="000000" w:themeColor="text1"/>
                <w:szCs w:val="22"/>
              </w:rPr>
            </w:pPr>
            <w:r w:rsidRPr="008D39BB">
              <w:rPr>
                <w:b/>
                <w:bCs/>
                <w:color w:val="000000" w:themeColor="text1"/>
              </w:rPr>
              <w:t>Total                                                        13274</w:t>
            </w:r>
          </w:p>
        </w:tc>
      </w:tr>
    </w:tbl>
    <w:p w:rsidR="00080933" w:rsidRDefault="00080933" w:rsidP="00080933">
      <w:pPr>
        <w:pStyle w:val="FWCstyle"/>
      </w:pPr>
      <w:r>
        <w:t>With regard to ASIC’s 2012 and 2013 new company registrations statistics, there were 184,894 new company registrations in 2012 and 202,378 new company registrations in 2013. This is a 9 per cent increase in new company registrations.</w:t>
      </w:r>
    </w:p>
    <w:p w:rsidR="00C14B18" w:rsidRDefault="00C14B18" w:rsidP="00AE4668">
      <w:pPr>
        <w:pStyle w:val="FWCstyle"/>
        <w:numPr>
          <w:ilvl w:val="0"/>
          <w:numId w:val="0"/>
        </w:numPr>
        <w:ind w:left="360"/>
      </w:pPr>
    </w:p>
    <w:p w:rsidR="00D94589" w:rsidRDefault="00D94589">
      <w:pPr>
        <w:rPr>
          <w:rFonts w:asciiTheme="minorHAnsi" w:hAnsiTheme="minorHAnsi"/>
          <w:b/>
          <w:color w:val="8064A2" w:themeColor="accent4"/>
          <w:sz w:val="36"/>
        </w:rPr>
      </w:pPr>
      <w:r>
        <w:rPr>
          <w:rFonts w:asciiTheme="minorHAnsi" w:hAnsiTheme="minorHAnsi"/>
          <w:b/>
          <w:color w:val="8064A2" w:themeColor="accent4"/>
          <w:sz w:val="36"/>
        </w:rPr>
        <w:br w:type="page"/>
      </w:r>
    </w:p>
    <w:p w:rsidR="00C14B18" w:rsidRPr="00BB20AB" w:rsidRDefault="00C14B18" w:rsidP="00C14B18">
      <w:pPr>
        <w:keepNext/>
        <w:suppressAutoHyphens/>
        <w:spacing w:before="240" w:after="60"/>
        <w:outlineLvl w:val="1"/>
        <w:rPr>
          <w:rFonts w:asciiTheme="minorHAnsi" w:hAnsiTheme="minorHAnsi"/>
          <w:b/>
          <w:color w:val="8064A2" w:themeColor="accent4"/>
          <w:sz w:val="36"/>
        </w:rPr>
      </w:pPr>
      <w:r w:rsidRPr="00BB20AB">
        <w:rPr>
          <w:rFonts w:asciiTheme="minorHAnsi" w:hAnsiTheme="minorHAnsi"/>
          <w:b/>
          <w:color w:val="8064A2" w:themeColor="accent4"/>
          <w:sz w:val="36"/>
        </w:rPr>
        <w:lastRenderedPageBreak/>
        <w:t xml:space="preserve">Question 3.8 </w:t>
      </w:r>
    </w:p>
    <w:p w:rsidR="00C14B18" w:rsidRPr="00BB20AB" w:rsidRDefault="00C14B18" w:rsidP="00C14B18">
      <w:pPr>
        <w:keepNext/>
        <w:keepLines/>
        <w:spacing w:before="200"/>
        <w:outlineLvl w:val="2"/>
        <w:rPr>
          <w:rFonts w:ascii="Calibri" w:hAnsi="Calibri"/>
          <w:b/>
          <w:color w:val="365F91" w:themeColor="accent1" w:themeShade="BF"/>
          <w:sz w:val="28"/>
        </w:rPr>
      </w:pPr>
      <w:r w:rsidRPr="00BB20AB">
        <w:rPr>
          <w:rFonts w:ascii="Calibri" w:hAnsi="Calibri"/>
          <w:b/>
          <w:color w:val="365F91" w:themeColor="accent1" w:themeShade="BF"/>
          <w:sz w:val="28"/>
        </w:rPr>
        <w:t>Several employer groups warned that increasing labour costs, particularly in Retail trade, will have an adverse impact on the viability of businesses and put employment at risk. However, foreign investment in Retail trade has continued to increase over each year. Parties are invited to comment on the reasons for why foreign companies are continuing to invest in Retail trade in Australia?</w:t>
      </w:r>
    </w:p>
    <w:p w:rsidR="00C14B18" w:rsidRPr="00BB20AB" w:rsidRDefault="0013242B" w:rsidP="00C14B18">
      <w:pPr>
        <w:pStyle w:val="FWCstyle"/>
        <w:ind w:left="425" w:hanging="425"/>
      </w:pPr>
      <w:r w:rsidRPr="00BB20AB">
        <w:t xml:space="preserve">It appears the </w:t>
      </w:r>
      <w:r w:rsidR="00D94589">
        <w:t xml:space="preserve">assessment </w:t>
      </w:r>
      <w:r w:rsidRPr="00BB20AB">
        <w:t xml:space="preserve">that foreign investment in retail trade </w:t>
      </w:r>
      <w:r w:rsidRPr="00A9335A">
        <w:rPr>
          <w:i/>
        </w:rPr>
        <w:t xml:space="preserve">“has continued to increase over each year” </w:t>
      </w:r>
      <w:r w:rsidRPr="00BB20AB">
        <w:t>is not supported by the data</w:t>
      </w:r>
      <w:r w:rsidR="00855C45">
        <w:t xml:space="preserve"> (given the Panel has not indicated the basis on which it makes this assertion, the Government has not been able to verify the accuracy of the conclusion the Panel has </w:t>
      </w:r>
      <w:r w:rsidR="00634A8A">
        <w:t>expressed in the question</w:t>
      </w:r>
      <w:r w:rsidR="00855C45">
        <w:t>)</w:t>
      </w:r>
      <w:r w:rsidRPr="00BB20AB">
        <w:t xml:space="preserve">.  The Australian Government </w:t>
      </w:r>
      <w:r w:rsidR="00855C45">
        <w:t xml:space="preserve">can indicate, however, </w:t>
      </w:r>
      <w:r w:rsidRPr="00BB20AB">
        <w:t>that according to the ABS data</w:t>
      </w:r>
      <w:r w:rsidR="008744B0">
        <w:rPr>
          <w:rStyle w:val="FootnoteReference"/>
        </w:rPr>
        <w:footnoteReference w:id="7"/>
      </w:r>
      <w:r w:rsidRPr="00BB20AB">
        <w:t>,</w:t>
      </w:r>
      <w:r w:rsidR="00BB20AB">
        <w:t xml:space="preserve"> </w:t>
      </w:r>
      <w:r w:rsidR="00C14B18" w:rsidRPr="00BB20AB">
        <w:t>the steady trend increase in total stock of foreign investment (liabilities) in Australian retail trade peaked at $15.6 billion during the March 2013 quarter</w:t>
      </w:r>
      <w:r w:rsidRPr="00BB20AB">
        <w:t>. It</w:t>
      </w:r>
      <w:r w:rsidR="00C14B18" w:rsidRPr="00BB20AB">
        <w:t xml:space="preserve"> has experienced a steady decline since. As of December 2013, the total stock of foreign liabilities was at $14.5 billion, a decrease of around 8.1 per cent.</w:t>
      </w:r>
      <w:r w:rsidR="00855C45">
        <w:t xml:space="preserve">  </w:t>
      </w:r>
    </w:p>
    <w:p w:rsidR="00AE4668" w:rsidRDefault="00AE4668">
      <w:pPr>
        <w:rPr>
          <w:rFonts w:asciiTheme="minorHAnsi" w:hAnsiTheme="minorHAnsi" w:cstheme="minorHAnsi"/>
          <w:b/>
          <w:bCs/>
          <w:iCs/>
          <w:color w:val="8064A2" w:themeColor="accent4"/>
          <w:sz w:val="36"/>
          <w:szCs w:val="32"/>
        </w:rPr>
      </w:pPr>
      <w:r>
        <w:rPr>
          <w:rFonts w:asciiTheme="minorHAnsi" w:hAnsiTheme="minorHAnsi" w:cstheme="minorHAnsi"/>
          <w:b/>
          <w:bCs/>
          <w:iCs/>
          <w:color w:val="8064A2" w:themeColor="accent4"/>
          <w:sz w:val="36"/>
          <w:szCs w:val="32"/>
        </w:rPr>
        <w:br w:type="page"/>
      </w:r>
    </w:p>
    <w:p w:rsidR="005E33D3" w:rsidRPr="00DB4C5E"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r w:rsidRPr="00DB4C5E">
        <w:rPr>
          <w:rFonts w:asciiTheme="minorHAnsi" w:hAnsiTheme="minorHAnsi" w:cstheme="minorHAnsi"/>
          <w:b/>
          <w:bCs/>
          <w:iCs/>
          <w:color w:val="8064A2" w:themeColor="accent4"/>
          <w:sz w:val="36"/>
          <w:szCs w:val="32"/>
        </w:rPr>
        <w:lastRenderedPageBreak/>
        <w:t xml:space="preserve">Question 3.9 </w:t>
      </w:r>
    </w:p>
    <w:p w:rsidR="005E33D3" w:rsidRPr="00DB4C5E" w:rsidRDefault="005E33D3" w:rsidP="000C407D">
      <w:pPr>
        <w:keepNext/>
        <w:keepLines/>
        <w:spacing w:before="200"/>
        <w:outlineLvl w:val="2"/>
        <w:rPr>
          <w:rFonts w:ascii="Calibri" w:hAnsi="Calibri" w:cs="Arial"/>
          <w:b/>
          <w:bCs/>
          <w:color w:val="365F91" w:themeColor="accent1" w:themeShade="BF"/>
          <w:sz w:val="28"/>
          <w:szCs w:val="28"/>
          <w:lang w:eastAsia="en-AU"/>
        </w:rPr>
      </w:pPr>
      <w:r w:rsidRPr="00DB4C5E">
        <w:rPr>
          <w:rFonts w:ascii="Calibri" w:hAnsi="Calibri" w:cs="Arial"/>
          <w:b/>
          <w:bCs/>
          <w:color w:val="365F91" w:themeColor="accent1" w:themeShade="BF"/>
          <w:sz w:val="28"/>
          <w:szCs w:val="28"/>
          <w:lang w:eastAsia="en-AU"/>
        </w:rPr>
        <w:t>The Australian Workplace Innovation &amp; Social Research Centre (</w:t>
      </w:r>
      <w:proofErr w:type="spellStart"/>
      <w:r w:rsidRPr="00DB4C5E">
        <w:rPr>
          <w:rFonts w:ascii="Calibri" w:hAnsi="Calibri" w:cs="Arial"/>
          <w:b/>
          <w:bCs/>
          <w:color w:val="365F91" w:themeColor="accent1" w:themeShade="BF"/>
          <w:sz w:val="28"/>
          <w:szCs w:val="28"/>
          <w:lang w:eastAsia="en-AU"/>
        </w:rPr>
        <w:t>WISeR</w:t>
      </w:r>
      <w:proofErr w:type="spellEnd"/>
      <w:r w:rsidRPr="00DB4C5E">
        <w:rPr>
          <w:rFonts w:ascii="Calibri" w:hAnsi="Calibri" w:cs="Arial"/>
          <w:b/>
          <w:bCs/>
          <w:color w:val="365F91" w:themeColor="accent1" w:themeShade="BF"/>
          <w:sz w:val="28"/>
          <w:szCs w:val="28"/>
          <w:lang w:eastAsia="en-AU"/>
        </w:rPr>
        <w:t>) commissioned a study by the National Institute of Economic and Industry Research (NIEIR) to assess the impact of the closure of the motor vehicle industry in Australia following announcements by General Motors Holden (GMH), Ford and Toyota that they will be ceasing production in the country. The report concludes that:</w:t>
      </w:r>
    </w:p>
    <w:p w:rsidR="005E33D3" w:rsidRPr="00DB4C5E" w:rsidRDefault="005E33D3" w:rsidP="000C407D">
      <w:pPr>
        <w:keepNext/>
        <w:keepLines/>
        <w:spacing w:before="200"/>
        <w:ind w:left="567"/>
        <w:outlineLvl w:val="2"/>
        <w:rPr>
          <w:rFonts w:ascii="Calibri" w:hAnsi="Calibri" w:cs="Arial"/>
          <w:b/>
          <w:bCs/>
          <w:i/>
          <w:color w:val="365F91" w:themeColor="accent1" w:themeShade="BF"/>
          <w:sz w:val="28"/>
          <w:szCs w:val="28"/>
          <w:lang w:eastAsia="en-AU"/>
        </w:rPr>
      </w:pPr>
      <w:r w:rsidRPr="00DB4C5E">
        <w:rPr>
          <w:rFonts w:ascii="Calibri" w:hAnsi="Calibri" w:cs="Arial"/>
          <w:b/>
          <w:bCs/>
          <w:i/>
          <w:color w:val="365F91" w:themeColor="accent1" w:themeShade="BF"/>
          <w:sz w:val="28"/>
          <w:szCs w:val="28"/>
          <w:lang w:eastAsia="en-AU"/>
        </w:rPr>
        <w:t>“The effects of the announced motor vehicle industry closures in Australia have already begun to be felt throughout the sector. Projections of the likely impact up until 2017, around the time production will cease in Australia, as modelled by the National Institute of Economic and Industry Research, demonstrate the significance the closures will have on both employment levels as well as on Gross Domestic Product. Close to 200,000 jobs are forecast to be lost as a direct impact of the facilities closure, with a fall in GDP of $29 billion or more, with Victoria, New South Wales, Queensland and South Australia estimated to bear the greatest brunt.”</w:t>
      </w:r>
    </w:p>
    <w:p w:rsidR="005E33D3" w:rsidRPr="00DB4C5E" w:rsidRDefault="005E33D3" w:rsidP="000C407D">
      <w:pPr>
        <w:keepNext/>
        <w:keepLines/>
        <w:spacing w:before="200"/>
        <w:outlineLvl w:val="2"/>
        <w:rPr>
          <w:rFonts w:ascii="Calibri" w:hAnsi="Calibri" w:cs="Arial"/>
          <w:b/>
          <w:bCs/>
          <w:color w:val="365F91" w:themeColor="accent1" w:themeShade="BF"/>
          <w:sz w:val="28"/>
          <w:szCs w:val="28"/>
          <w:lang w:eastAsia="en-AU"/>
        </w:rPr>
      </w:pPr>
      <w:r w:rsidRPr="00DB4C5E">
        <w:rPr>
          <w:rFonts w:ascii="Calibri" w:hAnsi="Calibri" w:cs="Arial"/>
          <w:b/>
          <w:bCs/>
          <w:color w:val="365F91" w:themeColor="accent1" w:themeShade="BF"/>
          <w:sz w:val="28"/>
          <w:szCs w:val="28"/>
          <w:lang w:eastAsia="en-AU"/>
        </w:rPr>
        <w:t>Do parties have any views on the report or any of the key findings?</w:t>
      </w:r>
    </w:p>
    <w:p w:rsidR="006952F1" w:rsidRPr="005A3796" w:rsidRDefault="00E62B42" w:rsidP="005A3796">
      <w:pPr>
        <w:pStyle w:val="FWCstyle"/>
        <w:ind w:left="425" w:hanging="425"/>
      </w:pPr>
      <w:r>
        <w:t>The Commonwealth</w:t>
      </w:r>
      <w:r w:rsidR="006952F1" w:rsidRPr="005A3796">
        <w:t xml:space="preserve"> estimates that the closure of Toyota</w:t>
      </w:r>
      <w:r w:rsidR="00CB7305">
        <w:t>,</w:t>
      </w:r>
      <w:r w:rsidR="006952F1" w:rsidRPr="005A3796">
        <w:t xml:space="preserve"> Ford and Holden automotive manufacturing facilities in Australia would result in 6,600 direct job losses. ABS data suggests that a further 37,600 jobs in automotive and automotive part manufacturing in Australia </w:t>
      </w:r>
      <w:r w:rsidR="00E72DBF">
        <w:t>may be consequentially affected</w:t>
      </w:r>
      <w:r w:rsidR="006952F1" w:rsidRPr="005A3796">
        <w:t xml:space="preserve">. </w:t>
      </w:r>
    </w:p>
    <w:p w:rsidR="006952F1" w:rsidRPr="005A3796" w:rsidRDefault="006952F1" w:rsidP="005A3796">
      <w:pPr>
        <w:pStyle w:val="FWCstyle"/>
        <w:ind w:left="425" w:hanging="425"/>
      </w:pPr>
      <w:r w:rsidRPr="005A3796">
        <w:t xml:space="preserve">Treasury is contributing technical assistance and peer review for the </w:t>
      </w:r>
      <w:r w:rsidRPr="0056758E">
        <w:t>Productivity Commission</w:t>
      </w:r>
      <w:r w:rsidR="00BF4736" w:rsidRPr="0056758E">
        <w:t>’s</w:t>
      </w:r>
      <w:r w:rsidRPr="005A3796">
        <w:t xml:space="preserve"> Inquiry into Australia’s Automotive and Manufacturing Industry and the Australian Government Economic Review of South Australia and Victoria. This inquiry was submitted to the Treasurer on 31 March 2014, and its economic modelling results will be presented as a supplement to the final report</w:t>
      </w:r>
      <w:r w:rsidR="00E72DBF">
        <w:t>.</w:t>
      </w:r>
      <w:r w:rsidRPr="005A3796">
        <w:t xml:space="preserve"> </w:t>
      </w:r>
    </w:p>
    <w:p w:rsidR="006952F1" w:rsidRPr="005A3796" w:rsidRDefault="006952F1" w:rsidP="005A3796">
      <w:pPr>
        <w:pStyle w:val="FWCstyle"/>
        <w:ind w:left="425" w:hanging="425"/>
      </w:pPr>
      <w:r w:rsidRPr="005A3796">
        <w:t xml:space="preserve">The model used by NIEIR assumes that the automotive manufacturing industry recovers significantly before it is shut down (15 per cent increase in employment due to a falling Australian dollar). </w:t>
      </w:r>
      <w:r w:rsidR="001220AE" w:rsidRPr="00642D3B">
        <w:rPr>
          <w:rFonts w:asciiTheme="minorHAnsi" w:hAnsiTheme="minorHAnsi"/>
        </w:rPr>
        <w:t xml:space="preserve">Given </w:t>
      </w:r>
      <w:r w:rsidR="00E72DBF">
        <w:rPr>
          <w:rFonts w:asciiTheme="minorHAnsi" w:hAnsiTheme="minorHAnsi"/>
        </w:rPr>
        <w:t xml:space="preserve">this assumption is speculative, the predicted impact on jobs and GDP may not be </w:t>
      </w:r>
      <w:proofErr w:type="spellStart"/>
      <w:proofErr w:type="gramStart"/>
      <w:r w:rsidR="0055722E">
        <w:rPr>
          <w:rFonts w:asciiTheme="minorHAnsi" w:hAnsiTheme="minorHAnsi"/>
        </w:rPr>
        <w:t>f</w:t>
      </w:r>
      <w:r w:rsidR="00E72DBF">
        <w:rPr>
          <w:rFonts w:asciiTheme="minorHAnsi" w:hAnsiTheme="minorHAnsi"/>
        </w:rPr>
        <w:t>o</w:t>
      </w:r>
      <w:proofErr w:type="spellEnd"/>
      <w:proofErr w:type="gramEnd"/>
      <w:r w:rsidR="00E72DBF">
        <w:rPr>
          <w:rFonts w:asciiTheme="minorHAnsi" w:hAnsiTheme="minorHAnsi"/>
        </w:rPr>
        <w:t xml:space="preserve"> the magnitude suggested by the model.  Other </w:t>
      </w:r>
      <w:r w:rsidRPr="005A3796">
        <w:t>baseline assumption</w:t>
      </w:r>
      <w:r w:rsidR="00E72DBF">
        <w:t xml:space="preserve">s, such as </w:t>
      </w:r>
      <w:r w:rsidRPr="005A3796">
        <w:t>that mining investment will decrease to $5.5 billion by 2017</w:t>
      </w:r>
      <w:r w:rsidR="00E72DBF">
        <w:t xml:space="preserve">, are speculative. </w:t>
      </w:r>
      <w:r w:rsidRPr="005A3796">
        <w:t xml:space="preserve"> </w:t>
      </w:r>
    </w:p>
    <w:p w:rsidR="00DC38F2" w:rsidRPr="00BE4A17" w:rsidRDefault="006952F1" w:rsidP="000E0315">
      <w:pPr>
        <w:pStyle w:val="FWCstyle"/>
        <w:ind w:left="425" w:hanging="425"/>
        <w:rPr>
          <w:u w:val="single"/>
        </w:rPr>
      </w:pPr>
      <w:r w:rsidRPr="005A3796">
        <w:t xml:space="preserve">Other recent analysis of the Australian automotive industry includes the September 2013 Allen Consulting Group report to the Federal Chamber of Automotive Industries on the Australian automotive manufacturing industry. </w:t>
      </w:r>
      <w:r w:rsidR="00CB7305">
        <w:t>That</w:t>
      </w:r>
      <w:r w:rsidR="00CB7305" w:rsidRPr="005A3796">
        <w:t xml:space="preserve"> </w:t>
      </w:r>
      <w:r w:rsidRPr="005A3796">
        <w:t>analysis suggests the cost of the combined decisions of Toyota, Ford and Holden to discontinue motor vehicle production in Australia is estimated to be $21.5 billion out to 2031, with direct and indirect job losses estimated at around 40,000 jobs.</w:t>
      </w:r>
      <w:r w:rsidR="00E72DBF">
        <w:t xml:space="preserve">  </w:t>
      </w:r>
    </w:p>
    <w:p w:rsidR="00DC38F2" w:rsidRDefault="00E72DBF" w:rsidP="00BE4A17">
      <w:pPr>
        <w:pStyle w:val="FWCstyle"/>
        <w:ind w:left="425" w:hanging="425"/>
      </w:pPr>
      <w:r>
        <w:t xml:space="preserve">Further, the </w:t>
      </w:r>
      <w:r w:rsidR="0055722E">
        <w:t xml:space="preserve">NIEIR </w:t>
      </w:r>
      <w:r>
        <w:t xml:space="preserve">modelling </w:t>
      </w:r>
      <w:r w:rsidR="003F1C5A">
        <w:t xml:space="preserve">will not have </w:t>
      </w:r>
      <w:r>
        <w:t xml:space="preserve">taken into account Government </w:t>
      </w:r>
      <w:r w:rsidR="00D10B1D">
        <w:t>announce</w:t>
      </w:r>
      <w:r w:rsidR="0055722E">
        <w:t>ments</w:t>
      </w:r>
      <w:r w:rsidR="00D10B1D">
        <w:t xml:space="preserve"> after the modelling was conducted which </w:t>
      </w:r>
      <w:r>
        <w:t xml:space="preserve">may impact upon the industry. </w:t>
      </w:r>
    </w:p>
    <w:p w:rsidR="005E33D3" w:rsidRPr="005E33D3" w:rsidRDefault="005E33D3" w:rsidP="005A3796">
      <w:pPr>
        <w:rPr>
          <w:rFonts w:ascii="Calibri" w:hAnsi="Calibri" w:cs="HelveticaNeueLT-BoldCond"/>
          <w:b/>
          <w:bCs/>
          <w:color w:val="C0504D" w:themeColor="accent2"/>
          <w:kern w:val="32"/>
          <w:sz w:val="44"/>
          <w:szCs w:val="44"/>
          <w:lang w:eastAsia="en-AU"/>
        </w:rPr>
      </w:pPr>
      <w:bookmarkStart w:id="52" w:name="_Toc386727434"/>
      <w:r w:rsidRPr="005E33D3">
        <w:rPr>
          <w:rFonts w:ascii="Calibri" w:hAnsi="Calibri" w:cs="HelveticaNeueLT-BoldCond"/>
          <w:b/>
          <w:bCs/>
          <w:color w:val="C0504D" w:themeColor="accent2"/>
          <w:kern w:val="32"/>
          <w:sz w:val="44"/>
          <w:szCs w:val="44"/>
          <w:lang w:eastAsia="en-AU"/>
        </w:rPr>
        <w:lastRenderedPageBreak/>
        <w:t>Relative living standards and needs of the low paid</w:t>
      </w:r>
      <w:bookmarkEnd w:id="52"/>
    </w:p>
    <w:p w:rsidR="005E33D3" w:rsidRPr="00AC4680"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bookmarkStart w:id="53" w:name="_Toc386727435"/>
      <w:r w:rsidRPr="00AE572B">
        <w:rPr>
          <w:rFonts w:asciiTheme="minorHAnsi" w:hAnsiTheme="minorHAnsi" w:cstheme="minorHAnsi"/>
          <w:b/>
          <w:bCs/>
          <w:iCs/>
          <w:color w:val="8064A2" w:themeColor="accent4"/>
          <w:sz w:val="36"/>
          <w:szCs w:val="32"/>
        </w:rPr>
        <w:t xml:space="preserve">Question </w:t>
      </w:r>
      <w:bookmarkEnd w:id="53"/>
      <w:r w:rsidRPr="00AE572B">
        <w:rPr>
          <w:rFonts w:asciiTheme="minorHAnsi" w:hAnsiTheme="minorHAnsi" w:cstheme="minorHAnsi"/>
          <w:b/>
          <w:bCs/>
          <w:iCs/>
          <w:color w:val="8064A2" w:themeColor="accent4"/>
          <w:sz w:val="36"/>
          <w:szCs w:val="32"/>
        </w:rPr>
        <w:t>4.1</w:t>
      </w:r>
    </w:p>
    <w:p w:rsidR="005E33D3" w:rsidRPr="00AC4680" w:rsidRDefault="005E33D3" w:rsidP="000C407D">
      <w:pPr>
        <w:keepNext/>
        <w:keepLines/>
        <w:spacing w:before="200"/>
        <w:outlineLvl w:val="2"/>
        <w:rPr>
          <w:rFonts w:ascii="Calibri" w:hAnsi="Calibri" w:cs="Arial"/>
          <w:b/>
          <w:bCs/>
          <w:color w:val="365F91" w:themeColor="accent1" w:themeShade="BF"/>
          <w:sz w:val="28"/>
          <w:szCs w:val="28"/>
          <w:lang w:eastAsia="en-AU"/>
        </w:rPr>
      </w:pPr>
      <w:r w:rsidRPr="00AC4680">
        <w:rPr>
          <w:rFonts w:ascii="Calibri" w:hAnsi="Calibri" w:cs="Arial"/>
          <w:b/>
          <w:bCs/>
          <w:color w:val="365F91" w:themeColor="accent1" w:themeShade="BF"/>
          <w:sz w:val="28"/>
          <w:szCs w:val="28"/>
          <w:lang w:eastAsia="en-AU"/>
        </w:rPr>
        <w:t xml:space="preserve">In its initial submission, ACCER submit that the Wage Price Index (WPI) is not </w:t>
      </w:r>
      <w:r w:rsidRPr="00AC4680">
        <w:rPr>
          <w:rFonts w:ascii="Calibri" w:hAnsi="Calibri" w:cs="Arial"/>
          <w:b/>
          <w:bCs/>
          <w:i/>
          <w:color w:val="365F91" w:themeColor="accent1" w:themeShade="BF"/>
          <w:sz w:val="28"/>
          <w:szCs w:val="28"/>
          <w:lang w:eastAsia="en-AU"/>
        </w:rPr>
        <w:t>“an appropriate benchmark for the setting of wages”</w:t>
      </w:r>
      <w:r w:rsidRPr="00AC4680">
        <w:rPr>
          <w:rFonts w:ascii="Calibri" w:hAnsi="Calibri" w:cs="Arial"/>
          <w:b/>
          <w:bCs/>
          <w:color w:val="365F91" w:themeColor="accent1" w:themeShade="BF"/>
          <w:sz w:val="28"/>
          <w:szCs w:val="28"/>
          <w:lang w:eastAsia="en-AU"/>
        </w:rPr>
        <w:t xml:space="preserve"> as the WPI “</w:t>
      </w:r>
      <w:r w:rsidRPr="00AC4680">
        <w:rPr>
          <w:rFonts w:ascii="Calibri" w:hAnsi="Calibri" w:cs="Arial"/>
          <w:b/>
          <w:bCs/>
          <w:i/>
          <w:color w:val="365F91" w:themeColor="accent1" w:themeShade="BF"/>
          <w:sz w:val="28"/>
          <w:szCs w:val="28"/>
          <w:lang w:eastAsia="en-AU"/>
        </w:rPr>
        <w:t>is designed to measure "pure price" changes in the costs of labour in work positions that are unchanged over time”</w:t>
      </w:r>
      <w:r w:rsidRPr="00AC4680">
        <w:rPr>
          <w:rFonts w:ascii="Calibri" w:hAnsi="Calibri" w:cs="Arial"/>
          <w:b/>
          <w:bCs/>
          <w:color w:val="365F91" w:themeColor="accent1" w:themeShade="BF"/>
          <w:sz w:val="28"/>
          <w:szCs w:val="28"/>
          <w:lang w:eastAsia="en-AU"/>
        </w:rPr>
        <w:t>. Further ACCER submitted that:</w:t>
      </w:r>
    </w:p>
    <w:p w:rsidR="005E33D3" w:rsidRPr="00AC4680" w:rsidRDefault="005E33D3" w:rsidP="000C407D">
      <w:pPr>
        <w:keepNext/>
        <w:keepLines/>
        <w:spacing w:before="200"/>
        <w:ind w:left="567"/>
        <w:outlineLvl w:val="2"/>
        <w:rPr>
          <w:rFonts w:ascii="Calibri" w:hAnsi="Calibri" w:cs="Arial"/>
          <w:b/>
          <w:bCs/>
          <w:i/>
          <w:color w:val="365F91" w:themeColor="accent1" w:themeShade="BF"/>
          <w:sz w:val="28"/>
          <w:szCs w:val="28"/>
          <w:lang w:eastAsia="en-AU"/>
        </w:rPr>
      </w:pPr>
      <w:r w:rsidRPr="00AC4680">
        <w:rPr>
          <w:rFonts w:ascii="Calibri" w:hAnsi="Calibri" w:cs="Arial"/>
          <w:b/>
          <w:bCs/>
          <w:i/>
          <w:color w:val="365F91" w:themeColor="accent1" w:themeShade="BF"/>
          <w:sz w:val="28"/>
          <w:szCs w:val="28"/>
          <w:lang w:eastAsia="en-AU"/>
        </w:rPr>
        <w:t>“The WPI is not concerned with award classifications, for which rates of pay are set by the FWC. Those classifications are typically broad-banded classifications that are designed to encompass a broad range of skills and responsibilities, unlike the narrowly-defined classifications of the award system prior to the 1990s. Work value changes, increases in productivity and re-designed positions are encompassed within the award classifications. To use pure price changes as measured by the WPI is inconsistent with the setting of wages for work classifications that are generally undergoing constant change. The WPI reflects the static, and not the dynamic aspects of a firm's operations and the work being performed by workers within the scope of broad-banded wage classifications. To set wages by reference to the WPI devalues the work being performed in a changing workplace and fails to properly value it.”</w:t>
      </w:r>
    </w:p>
    <w:p w:rsidR="005E33D3" w:rsidRPr="00AC4680" w:rsidRDefault="005E33D3" w:rsidP="000C407D">
      <w:pPr>
        <w:keepNext/>
        <w:keepLines/>
        <w:spacing w:before="200"/>
        <w:outlineLvl w:val="2"/>
        <w:rPr>
          <w:rFonts w:ascii="Calibri" w:hAnsi="Calibri" w:cs="Arial"/>
          <w:b/>
          <w:bCs/>
          <w:color w:val="365F91" w:themeColor="accent1" w:themeShade="BF"/>
          <w:sz w:val="28"/>
          <w:szCs w:val="28"/>
          <w:lang w:eastAsia="en-AU"/>
        </w:rPr>
      </w:pPr>
      <w:r w:rsidRPr="00AC4680">
        <w:rPr>
          <w:rFonts w:ascii="Calibri" w:hAnsi="Calibri" w:cs="Arial"/>
          <w:b/>
          <w:bCs/>
          <w:color w:val="365F91" w:themeColor="accent1" w:themeShade="BF"/>
          <w:sz w:val="28"/>
          <w:szCs w:val="28"/>
          <w:lang w:eastAsia="en-AU"/>
        </w:rPr>
        <w:t xml:space="preserve">ACCER also notes that the WPI </w:t>
      </w:r>
      <w:r w:rsidRPr="00AC4680">
        <w:rPr>
          <w:rFonts w:ascii="Calibri" w:hAnsi="Calibri" w:cs="Arial"/>
          <w:b/>
          <w:bCs/>
          <w:i/>
          <w:color w:val="365F91" w:themeColor="accent1" w:themeShade="BF"/>
          <w:sz w:val="28"/>
          <w:szCs w:val="28"/>
          <w:lang w:eastAsia="en-AU"/>
        </w:rPr>
        <w:t>“is partly determined by the FWC; and past wage decisions are reflected in the WPI to some extent. Extracting that part of the WPI index which is the product of safety net decisions would give a higher figure for those who are not safety net workers.”</w:t>
      </w:r>
    </w:p>
    <w:p w:rsidR="0050256E" w:rsidRPr="004664CA" w:rsidRDefault="005E33D3" w:rsidP="004664CA">
      <w:pPr>
        <w:keepNext/>
        <w:keepLines/>
        <w:spacing w:before="200"/>
        <w:outlineLvl w:val="2"/>
        <w:rPr>
          <w:rFonts w:ascii="Calibri" w:hAnsi="Calibri" w:cs="Arial"/>
          <w:b/>
          <w:bCs/>
          <w:color w:val="365F91" w:themeColor="accent1" w:themeShade="BF"/>
          <w:sz w:val="28"/>
          <w:szCs w:val="28"/>
          <w:lang w:eastAsia="en-AU"/>
        </w:rPr>
      </w:pPr>
      <w:r w:rsidRPr="00AC4680">
        <w:rPr>
          <w:rFonts w:ascii="Calibri" w:hAnsi="Calibri" w:cs="Arial"/>
          <w:b/>
          <w:bCs/>
          <w:color w:val="365F91" w:themeColor="accent1" w:themeShade="BF"/>
          <w:sz w:val="28"/>
          <w:szCs w:val="28"/>
          <w:lang w:eastAsia="en-AU"/>
        </w:rPr>
        <w:t>What are the views of parties on ACCER’s position?</w:t>
      </w:r>
      <w:bookmarkStart w:id="54" w:name="_Toc386727436"/>
    </w:p>
    <w:p w:rsidR="00EE0E44" w:rsidRPr="00184614" w:rsidRDefault="00EE0E44" w:rsidP="004664CA">
      <w:pPr>
        <w:pStyle w:val="FWCstyle"/>
      </w:pPr>
      <w:r w:rsidRPr="00184614">
        <w:t xml:space="preserve">The WPI measures changes in the price of labour and is therefore a suitable indicator for the Panel to consider in its minimum wage determination. As discussed in the Australian Government’s initial submission (para. 148), </w:t>
      </w:r>
      <w:r>
        <w:t xml:space="preserve">the </w:t>
      </w:r>
      <w:r w:rsidRPr="00184614">
        <w:t xml:space="preserve">forecast </w:t>
      </w:r>
      <w:r>
        <w:t xml:space="preserve">of </w:t>
      </w:r>
      <w:r w:rsidRPr="00184614">
        <w:t>below trend growth in WPI should be a consideration of the Panel</w:t>
      </w:r>
      <w:r>
        <w:t xml:space="preserve">. </w:t>
      </w:r>
    </w:p>
    <w:p w:rsidR="00EE0E44" w:rsidRPr="00184614" w:rsidRDefault="00EE0E44" w:rsidP="004664CA">
      <w:pPr>
        <w:pStyle w:val="FWCstyle"/>
      </w:pPr>
      <w:r w:rsidRPr="00184614">
        <w:t>The WPI measures within</w:t>
      </w:r>
      <w:r w:rsidRPr="00AF78D5">
        <w:noBreakHyphen/>
        <w:t>j</w:t>
      </w:r>
      <w:r w:rsidRPr="00184614">
        <w:t xml:space="preserve">ob wage changes. Likewise, an Annual Wage Review (AWR) decision changes the wage within an award classification and hence a specific job. As such, WPI changes are comparable </w:t>
      </w:r>
      <w:r>
        <w:t>with</w:t>
      </w:r>
      <w:r w:rsidRPr="00184614">
        <w:t xml:space="preserve"> AWR decisions. </w:t>
      </w:r>
    </w:p>
    <w:p w:rsidR="00EE0E44" w:rsidRDefault="00EE0E44" w:rsidP="004664CA">
      <w:pPr>
        <w:pStyle w:val="FWCstyle"/>
      </w:pPr>
      <w:r w:rsidRPr="00184614">
        <w:t xml:space="preserve">The Government agrees that the WPI is </w:t>
      </w:r>
      <w:r w:rsidR="00AE572B">
        <w:t>“</w:t>
      </w:r>
      <w:r w:rsidRPr="00184614">
        <w:t>partly determined</w:t>
      </w:r>
      <w:r w:rsidR="00AE572B">
        <w:t>”</w:t>
      </w:r>
      <w:r w:rsidRPr="00184614">
        <w:t xml:space="preserve"> by the Commission</w:t>
      </w:r>
      <w:r w:rsidR="00AE572B">
        <w:t xml:space="preserve"> through the </w:t>
      </w:r>
      <w:r w:rsidRPr="00184614">
        <w:t xml:space="preserve">minimum wage decision. However, most of this effect takes place in the September quarter of WPI data and the effect is likely to be small. </w:t>
      </w:r>
      <w:r w:rsidR="00AE572B">
        <w:t>The information</w:t>
      </w:r>
      <w:r w:rsidR="00AE572B" w:rsidRPr="00184614">
        <w:t xml:space="preserve"> </w:t>
      </w:r>
      <w:r w:rsidRPr="00184614">
        <w:t xml:space="preserve">presented in the Government’s initial submission (para. 115) </w:t>
      </w:r>
      <w:r w:rsidR="00396497" w:rsidRPr="00184614">
        <w:t>demonstrate</w:t>
      </w:r>
      <w:r w:rsidR="00396497">
        <w:t>s</w:t>
      </w:r>
      <w:r w:rsidR="00396497" w:rsidRPr="00184614">
        <w:t xml:space="preserve"> </w:t>
      </w:r>
      <w:r w:rsidRPr="00184614">
        <w:t xml:space="preserve">that the weekly cash earnings of award-reliant employees comprised 9.1 per cent of the total weekly wage bill in 2012. The Government </w:t>
      </w:r>
      <w:r w:rsidR="00396497" w:rsidRPr="00184614">
        <w:t>estimate</w:t>
      </w:r>
      <w:r w:rsidR="00396497">
        <w:t>s</w:t>
      </w:r>
      <w:r w:rsidR="00396497" w:rsidRPr="00184614">
        <w:t xml:space="preserve"> </w:t>
      </w:r>
      <w:r w:rsidRPr="00184614">
        <w:t xml:space="preserve">that the 2013 AWR decision would have increased the total wage bill by </w:t>
      </w:r>
      <w:r w:rsidR="00AE572B">
        <w:t xml:space="preserve">approximately </w:t>
      </w:r>
      <w:r w:rsidRPr="00184614">
        <w:t xml:space="preserve">0.2 per cent. </w:t>
      </w:r>
    </w:p>
    <w:p w:rsidR="005E33D3" w:rsidRPr="00EE0E44" w:rsidRDefault="005E33D3" w:rsidP="00EE0E44">
      <w:pPr>
        <w:rPr>
          <w:rFonts w:asciiTheme="minorHAnsi" w:hAnsiTheme="minorHAnsi" w:cstheme="minorHAnsi"/>
          <w:sz w:val="24"/>
        </w:rPr>
      </w:pPr>
      <w:r w:rsidRPr="006B7BC9">
        <w:rPr>
          <w:rFonts w:asciiTheme="minorHAnsi" w:hAnsiTheme="minorHAnsi" w:cstheme="minorHAnsi"/>
          <w:b/>
          <w:bCs/>
          <w:iCs/>
          <w:color w:val="8064A2" w:themeColor="accent4"/>
          <w:sz w:val="36"/>
          <w:szCs w:val="32"/>
        </w:rPr>
        <w:lastRenderedPageBreak/>
        <w:t xml:space="preserve">Question </w:t>
      </w:r>
      <w:bookmarkEnd w:id="54"/>
      <w:r w:rsidRPr="006B7BC9">
        <w:rPr>
          <w:rFonts w:asciiTheme="minorHAnsi" w:hAnsiTheme="minorHAnsi" w:cstheme="minorHAnsi"/>
          <w:b/>
          <w:bCs/>
          <w:iCs/>
          <w:color w:val="8064A2" w:themeColor="accent4"/>
          <w:sz w:val="36"/>
          <w:szCs w:val="32"/>
        </w:rPr>
        <w:t>4.2</w:t>
      </w:r>
    </w:p>
    <w:p w:rsidR="005E33D3" w:rsidRPr="00AC4680" w:rsidRDefault="005E33D3" w:rsidP="000C407D">
      <w:pPr>
        <w:keepNext/>
        <w:keepLines/>
        <w:spacing w:before="200"/>
        <w:outlineLvl w:val="2"/>
        <w:rPr>
          <w:rFonts w:ascii="Calibri" w:hAnsi="Calibri" w:cs="Arial"/>
          <w:b/>
          <w:bCs/>
          <w:color w:val="365F91" w:themeColor="accent1" w:themeShade="BF"/>
          <w:sz w:val="28"/>
          <w:szCs w:val="28"/>
          <w:lang w:eastAsia="en-AU"/>
        </w:rPr>
      </w:pPr>
      <w:r w:rsidRPr="00AC4680">
        <w:rPr>
          <w:rFonts w:ascii="Calibri" w:hAnsi="Calibri" w:cs="Arial"/>
          <w:b/>
          <w:bCs/>
          <w:color w:val="365F91" w:themeColor="accent1" w:themeShade="BF"/>
          <w:sz w:val="28"/>
          <w:szCs w:val="28"/>
          <w:lang w:eastAsia="en-AU"/>
        </w:rPr>
        <w:t xml:space="preserve">The Australian Government’s initial submission provides two definitions of low paid. The first is </w:t>
      </w:r>
      <w:r w:rsidRPr="00AC4680">
        <w:rPr>
          <w:rFonts w:ascii="Calibri" w:hAnsi="Calibri" w:cs="Arial"/>
          <w:b/>
          <w:bCs/>
          <w:i/>
          <w:color w:val="365F91" w:themeColor="accent1" w:themeShade="BF"/>
          <w:sz w:val="28"/>
          <w:szCs w:val="28"/>
          <w:lang w:eastAsia="en-AU"/>
        </w:rPr>
        <w:t>“less than two thirds of median hourly earnings (including junior rates)”</w:t>
      </w:r>
      <w:r w:rsidRPr="00AC4680">
        <w:rPr>
          <w:rFonts w:ascii="Calibri" w:hAnsi="Calibri" w:cs="Arial"/>
          <w:b/>
          <w:bCs/>
          <w:color w:val="365F91" w:themeColor="accent1" w:themeShade="BF"/>
          <w:sz w:val="28"/>
          <w:szCs w:val="28"/>
          <w:lang w:eastAsia="en-AU"/>
        </w:rPr>
        <w:t xml:space="preserve">, as measured by the ABS EEH 2012 data. This gives a figure of $17.35 per hour. The second defines low pay as equal to or less than two thirds of median hourly earnings in main job, using HILDA data for 2012. Separate low pay thresholds are set for juniors using ratios to the adult rate that are based on the relevant junior minimum wage rates. This gives a figure of $17.60 for adults. Both the Australian Government figures are lower than the </w:t>
      </w:r>
      <w:r w:rsidRPr="00312885">
        <w:rPr>
          <w:rFonts w:ascii="Calibri" w:hAnsi="Calibri" w:cs="Arial"/>
          <w:b/>
          <w:bCs/>
          <w:color w:val="365F91" w:themeColor="accent1" w:themeShade="BF"/>
          <w:sz w:val="28"/>
          <w:szCs w:val="28"/>
          <w:lang w:eastAsia="en-AU"/>
        </w:rPr>
        <w:t>more usual measure</w:t>
      </w:r>
      <w:r w:rsidRPr="00AC4680">
        <w:rPr>
          <w:rFonts w:ascii="Calibri" w:hAnsi="Calibri" w:cs="Arial"/>
          <w:b/>
          <w:bCs/>
          <w:color w:val="365F91" w:themeColor="accent1" w:themeShade="BF"/>
          <w:sz w:val="28"/>
          <w:szCs w:val="28"/>
          <w:lang w:eastAsia="en-AU"/>
        </w:rPr>
        <w:t xml:space="preserve"> of two thirds of median adult ordinary time earnings ($18.60 in May 2012, as calculated by the ACTU from the ABS EEH data), or between $19 (on the assumption of a 40 hour week) and $20 (on the assumption of a 38 hour week), based on the median earnings data contained in Table 8.1 of the Statistical Report for the Annual Wage Review 2013–14. The Australian Government then finds that 42 per cent of low paid employees are aged under 25.</w:t>
      </w:r>
    </w:p>
    <w:p w:rsidR="005E33D3" w:rsidRPr="00AC4680" w:rsidRDefault="005E33D3" w:rsidP="000C407D">
      <w:pPr>
        <w:keepNext/>
        <w:keepLines/>
        <w:spacing w:before="200"/>
        <w:outlineLvl w:val="2"/>
        <w:rPr>
          <w:rFonts w:ascii="Calibri" w:hAnsi="Calibri" w:cs="Arial"/>
          <w:b/>
          <w:bCs/>
          <w:color w:val="365F91" w:themeColor="accent1" w:themeShade="BF"/>
          <w:sz w:val="28"/>
          <w:szCs w:val="28"/>
          <w:lang w:eastAsia="en-AU"/>
        </w:rPr>
      </w:pPr>
      <w:r w:rsidRPr="00AC4680">
        <w:rPr>
          <w:rFonts w:ascii="Calibri" w:hAnsi="Calibri" w:cs="Arial"/>
          <w:b/>
          <w:bCs/>
          <w:color w:val="365F91" w:themeColor="accent1" w:themeShade="BF"/>
          <w:sz w:val="28"/>
          <w:szCs w:val="28"/>
          <w:lang w:eastAsia="en-AU"/>
        </w:rPr>
        <w:t>We would be assisted if the Australian Government could re-estimate the proportion of low paid employees who are aged under 25, using a figure such as $19 per hour.</w:t>
      </w:r>
    </w:p>
    <w:p w:rsidR="00EE0E44" w:rsidRDefault="00EE0E44" w:rsidP="004664CA">
      <w:pPr>
        <w:pStyle w:val="FWCstyle"/>
      </w:pPr>
      <w:bookmarkStart w:id="55" w:name="_Toc386727437"/>
      <w:r>
        <w:t xml:space="preserve">The Australian Government’s initial submission used two low pay thresholds, which are determined respectively by the two data sources examined (i.e. the ABS’s </w:t>
      </w:r>
      <w:r>
        <w:rPr>
          <w:i/>
        </w:rPr>
        <w:t xml:space="preserve">Employee Earnings and Hours </w:t>
      </w:r>
      <w:r w:rsidRPr="00AF78D5">
        <w:t>(EEH)</w:t>
      </w:r>
      <w:r>
        <w:t xml:space="preserve"> survey and the </w:t>
      </w:r>
      <w:r>
        <w:rPr>
          <w:i/>
        </w:rPr>
        <w:t xml:space="preserve">Household, Income and Labour Dynamics in Australia Survey </w:t>
      </w:r>
      <w:r w:rsidRPr="004639A0">
        <w:t>(HILDA)</w:t>
      </w:r>
      <w:r>
        <w:t xml:space="preserve">). </w:t>
      </w:r>
      <w:r w:rsidR="00AE572B">
        <w:t xml:space="preserve">The Commonwealth maintains that it </w:t>
      </w:r>
      <w:r>
        <w:t xml:space="preserve">is more appropriate to define </w:t>
      </w:r>
      <w:r w:rsidR="00AE572B">
        <w:t xml:space="preserve">a </w:t>
      </w:r>
      <w:r>
        <w:t xml:space="preserve">low pay threshold that is consistent with the survey used </w:t>
      </w:r>
      <w:r w:rsidR="00AE572B">
        <w:t xml:space="preserve">to gather the data </w:t>
      </w:r>
      <w:r>
        <w:t xml:space="preserve">than </w:t>
      </w:r>
      <w:r w:rsidR="00AE572B">
        <w:t xml:space="preserve">it is to </w:t>
      </w:r>
      <w:r>
        <w:t>introduc</w:t>
      </w:r>
      <w:r w:rsidR="00AE572B">
        <w:t>e</w:t>
      </w:r>
      <w:r>
        <w:t xml:space="preserve"> </w:t>
      </w:r>
      <w:r w:rsidR="00AE572B">
        <w:t xml:space="preserve">a </w:t>
      </w:r>
      <w:r>
        <w:t xml:space="preserve">threshold from outside. </w:t>
      </w:r>
      <w:r w:rsidR="00C550BE">
        <w:t xml:space="preserve">In addition to </w:t>
      </w:r>
      <w:r w:rsidR="00C550BE" w:rsidRPr="004664CA">
        <w:t xml:space="preserve">other factors </w:t>
      </w:r>
      <w:r w:rsidR="00DF477A" w:rsidRPr="004664CA">
        <w:t>(such as the two surveys</w:t>
      </w:r>
      <w:r w:rsidR="00C550BE" w:rsidRPr="004664CA">
        <w:t xml:space="preserve"> </w:t>
      </w:r>
      <w:r w:rsidR="00734C2C">
        <w:t xml:space="preserve">each have a </w:t>
      </w:r>
      <w:r w:rsidR="00C550BE" w:rsidRPr="004664CA">
        <w:t>different sample</w:t>
      </w:r>
      <w:r w:rsidR="00DF477A" w:rsidRPr="004664CA">
        <w:t>)</w:t>
      </w:r>
      <w:r w:rsidR="00C550BE" w:rsidRPr="004664CA">
        <w:t xml:space="preserve">, </w:t>
      </w:r>
      <w:r w:rsidRPr="004664CA">
        <w:t>there is a timing difference between the two surveys – EEH was for May 2012 and HILDA wave 12 collected most information during the fourth quarter of 2012</w:t>
      </w:r>
      <w:r w:rsidR="00715314">
        <w:t>.</w:t>
      </w:r>
    </w:p>
    <w:p w:rsidR="008B5F9C" w:rsidRPr="004664CA" w:rsidRDefault="008B5F9C" w:rsidP="004664CA">
      <w:pPr>
        <w:pStyle w:val="FWCstyle"/>
      </w:pPr>
      <w:r>
        <w:t>While two</w:t>
      </w:r>
      <w:r>
        <w:noBreakHyphen/>
        <w:t>thirds of median earnings is conceptually a well-accepted definition of low pay thresholds</w:t>
      </w:r>
      <w:r w:rsidR="00021CC2">
        <w:t xml:space="preserve"> (e.g. FWC’s 2013 Annual Wage Review Decision and Table 8.1 of FWC’s Statistical Report)</w:t>
      </w:r>
      <w:r>
        <w:t xml:space="preserve">, in practice median earnings and consequently the low pay </w:t>
      </w:r>
      <w:r w:rsidR="00021CC2">
        <w:t xml:space="preserve">dollar </w:t>
      </w:r>
      <w:r>
        <w:t xml:space="preserve">threshold vary depending on the samples used and the inclusion or exclusion of certain groups of employees (such as part-time and/or junior employees) in the sample. That is, there is not a usual measure of low pay definition in practice.  </w:t>
      </w:r>
      <w:r w:rsidR="00336122">
        <w:t>When assessing the incidence of low paid workers, the Government has examined all workers, not just adult workers. This is because younger employees are one of the main groups affected by the Panel’s decision.</w:t>
      </w:r>
    </w:p>
    <w:p w:rsidR="00EE0E44" w:rsidRPr="005A3796" w:rsidRDefault="00021CC2" w:rsidP="004664CA">
      <w:pPr>
        <w:pStyle w:val="FWCstyle"/>
      </w:pPr>
      <w:r>
        <w:t xml:space="preserve">The Australian Government’s initial submission used EEH data (e.g. Table 1.1 for the overall picture of workers) because this is the only reliable dataset that provides information on methods of setting pay. It also </w:t>
      </w:r>
      <w:r w:rsidR="00EE0E44" w:rsidRPr="004664CA">
        <w:t xml:space="preserve">used </w:t>
      </w:r>
      <w:r w:rsidR="002D332D">
        <w:t xml:space="preserve">the </w:t>
      </w:r>
      <w:r w:rsidR="00734C2C">
        <w:t xml:space="preserve">2012 </w:t>
      </w:r>
      <w:r w:rsidR="002D332D">
        <w:t>HILDA data since it provides more detailed information on employee characteristics. For example, information on employee ages is available in HILDA, but not in EEH. Th</w:t>
      </w:r>
      <w:r w:rsidR="00734C2C">
        <w:t>erefore</w:t>
      </w:r>
      <w:r w:rsidR="002D332D">
        <w:t>, EEH cannot be used to estimate the number of low paid employees who are aged under</w:t>
      </w:r>
      <w:r w:rsidR="00FE345A">
        <w:noBreakHyphen/>
      </w:r>
      <w:r w:rsidR="002D332D">
        <w:t xml:space="preserve">25. The </w:t>
      </w:r>
      <w:r w:rsidR="002D332D" w:rsidRPr="004664CA">
        <w:t xml:space="preserve">Australian Government’s initial </w:t>
      </w:r>
      <w:r w:rsidR="002D332D" w:rsidRPr="004664CA">
        <w:lastRenderedPageBreak/>
        <w:t>submission used</w:t>
      </w:r>
      <w:r w:rsidR="002D332D">
        <w:t xml:space="preserve"> </w:t>
      </w:r>
      <w:r w:rsidR="00EE0E44" w:rsidRPr="004664CA">
        <w:t xml:space="preserve">an </w:t>
      </w:r>
      <w:r w:rsidR="00EE0E44" w:rsidRPr="006F6F75">
        <w:t>adult</w:t>
      </w:r>
      <w:r w:rsidR="00EE0E44" w:rsidRPr="004664CA">
        <w:t xml:space="preserve"> low paid threshold of $17.60 for HILDA 2012 data. Appendix A of the Government’s initial submission explains and justifies the methodology used to calculate this threshold. This methodology is comprehensive and has been adopted elsewhere in academic research. </w:t>
      </w:r>
    </w:p>
    <w:p w:rsidR="006B7BC9" w:rsidRDefault="00EE0E44" w:rsidP="004664CA">
      <w:pPr>
        <w:pStyle w:val="FWCstyle"/>
      </w:pPr>
      <w:r w:rsidRPr="004664CA">
        <w:t>By adjusting</w:t>
      </w:r>
      <w:r w:rsidRPr="00184614">
        <w:t xml:space="preserve"> the adult low paid threshold to $19.00 per hour and subsequently adjusting low paid thresholds for juniors </w:t>
      </w:r>
      <w:r w:rsidR="001135C9">
        <w:t>using the same approach as in the Government’s initial submission (the adjusted low pay thresholds for junior</w:t>
      </w:r>
      <w:r w:rsidR="00DC54F4">
        <w:t>s</w:t>
      </w:r>
      <w:r w:rsidR="001135C9">
        <w:t xml:space="preserve"> are in </w:t>
      </w:r>
      <w:r w:rsidR="007B4D93">
        <w:t>T</w:t>
      </w:r>
      <w:r w:rsidRPr="00184614">
        <w:t xml:space="preserve">able </w:t>
      </w:r>
      <w:r w:rsidR="007B4D93">
        <w:t>3</w:t>
      </w:r>
      <w:r w:rsidRPr="00184614">
        <w:t>)</w:t>
      </w:r>
      <w:r w:rsidR="001135C9">
        <w:t>,</w:t>
      </w:r>
      <w:r w:rsidRPr="00184614">
        <w:t xml:space="preserve"> the Government </w:t>
      </w:r>
      <w:r w:rsidR="006B7BC9">
        <w:t xml:space="preserve">estimates </w:t>
      </w:r>
      <w:r w:rsidRPr="00184614">
        <w:t>that there were about 2.0 million low paid employees in 2012, comprising 22.7</w:t>
      </w:r>
      <w:r w:rsidR="00FE345A">
        <w:t> </w:t>
      </w:r>
      <w:r w:rsidRPr="00184614">
        <w:t>per cent of all employees. Based on these figures, the Government finds that 38.7</w:t>
      </w:r>
      <w:r w:rsidR="00FE345A">
        <w:t> </w:t>
      </w:r>
      <w:r w:rsidRPr="00184614">
        <w:t>per</w:t>
      </w:r>
      <w:r w:rsidR="00FE345A">
        <w:t> </w:t>
      </w:r>
      <w:r w:rsidRPr="00184614">
        <w:t>cent of all low paid workers were aged under</w:t>
      </w:r>
      <w:r w:rsidR="00E85FEA">
        <w:noBreakHyphen/>
      </w:r>
      <w:r w:rsidRPr="00184614">
        <w:t>25.</w:t>
      </w:r>
      <w:r w:rsidRPr="00184614">
        <w:rPr>
          <w:rStyle w:val="FootnoteReference"/>
          <w:rFonts w:asciiTheme="minorHAnsi" w:hAnsiTheme="minorHAnsi" w:cstheme="minorHAnsi"/>
        </w:rPr>
        <w:footnoteReference w:id="8"/>
      </w:r>
      <w:r w:rsidRPr="00184614">
        <w:t xml:space="preserve"> This is similar to the figure of 41.7 per cent obtained using the Government’s low paid adult threshold of $17.60. </w:t>
      </w:r>
    </w:p>
    <w:p w:rsidR="00EE0E44" w:rsidRPr="00184614" w:rsidRDefault="006B7BC9" w:rsidP="004664CA">
      <w:pPr>
        <w:pStyle w:val="FWCstyle"/>
      </w:pPr>
      <w:r>
        <w:t xml:space="preserve">That is, the Commonwealth submits </w:t>
      </w:r>
      <w:r w:rsidR="00327204">
        <w:t>that its use of the low pay definition is appropriate for the purposes of the AWR</w:t>
      </w:r>
      <w:r w:rsidR="008B5F9C">
        <w:t>, considering availability and limitation of data sources used</w:t>
      </w:r>
      <w:r>
        <w:t xml:space="preserve">.  </w:t>
      </w:r>
      <w:r w:rsidR="00C10F57">
        <w:t>Nevertheless</w:t>
      </w:r>
      <w:r>
        <w:t xml:space="preserve">, even where a higher threshold is used, the difference in the proportion of workers under the age of 25 that are under this </w:t>
      </w:r>
      <w:proofErr w:type="gramStart"/>
      <w:r>
        <w:t>threshold,</w:t>
      </w:r>
      <w:proofErr w:type="gramEnd"/>
      <w:r>
        <w:t xml:space="preserve"> is only marginally lower (38.7</w:t>
      </w:r>
      <w:r w:rsidR="00FE345A">
        <w:t> </w:t>
      </w:r>
      <w:r w:rsidR="00734C2C">
        <w:t>per</w:t>
      </w:r>
      <w:r w:rsidR="00FE345A">
        <w:t> </w:t>
      </w:r>
      <w:r w:rsidR="00734C2C">
        <w:t xml:space="preserve">cent </w:t>
      </w:r>
      <w:proofErr w:type="spellStart"/>
      <w:r w:rsidR="00734C2C">
        <w:t>vs</w:t>
      </w:r>
      <w:proofErr w:type="spellEnd"/>
      <w:r>
        <w:t xml:space="preserve"> 41.7 per cent)</w:t>
      </w:r>
      <w:r w:rsidR="00F867F2">
        <w:t>.</w:t>
      </w:r>
    </w:p>
    <w:p w:rsidR="002A7C17" w:rsidRDefault="002A7C17"/>
    <w:tbl>
      <w:tblPr>
        <w:tblW w:w="8646" w:type="dxa"/>
        <w:tblInd w:w="93" w:type="dxa"/>
        <w:tblLook w:val="04A0"/>
      </w:tblPr>
      <w:tblGrid>
        <w:gridCol w:w="2590"/>
        <w:gridCol w:w="2611"/>
        <w:gridCol w:w="2612"/>
        <w:gridCol w:w="833"/>
      </w:tblGrid>
      <w:tr w:rsidR="009005AD" w:rsidRPr="00184614" w:rsidTr="004664CA">
        <w:trPr>
          <w:trHeight w:val="332"/>
        </w:trPr>
        <w:tc>
          <w:tcPr>
            <w:tcW w:w="8646" w:type="dxa"/>
            <w:gridSpan w:val="4"/>
            <w:tcBorders>
              <w:top w:val="nil"/>
              <w:left w:val="nil"/>
              <w:bottom w:val="nil"/>
              <w:right w:val="nil"/>
            </w:tcBorders>
            <w:shd w:val="clear" w:color="auto" w:fill="auto"/>
            <w:noWrap/>
            <w:vAlign w:val="center"/>
            <w:hideMark/>
          </w:tcPr>
          <w:p w:rsidR="009005AD" w:rsidRPr="00184614" w:rsidRDefault="009005AD" w:rsidP="004664CA">
            <w:pPr>
              <w:rPr>
                <w:rFonts w:asciiTheme="minorHAnsi" w:hAnsiTheme="minorHAnsi" w:cstheme="minorHAnsi"/>
                <w:b/>
                <w:bCs/>
                <w:i/>
                <w:iCs/>
                <w:color w:val="000000"/>
                <w:sz w:val="24"/>
                <w:szCs w:val="24"/>
              </w:rPr>
            </w:pPr>
            <w:r w:rsidRPr="00184614">
              <w:rPr>
                <w:rFonts w:asciiTheme="minorHAnsi" w:hAnsiTheme="minorHAnsi" w:cstheme="minorHAnsi"/>
                <w:b/>
                <w:bCs/>
                <w:i/>
                <w:iCs/>
                <w:color w:val="000000"/>
                <w:sz w:val="24"/>
                <w:szCs w:val="24"/>
              </w:rPr>
              <w:t>Table</w:t>
            </w:r>
            <w:r w:rsidR="006615BA">
              <w:rPr>
                <w:rFonts w:asciiTheme="minorHAnsi" w:hAnsiTheme="minorHAnsi" w:cstheme="minorHAnsi"/>
                <w:b/>
                <w:bCs/>
                <w:i/>
                <w:iCs/>
                <w:color w:val="000000"/>
                <w:sz w:val="24"/>
                <w:szCs w:val="24"/>
              </w:rPr>
              <w:t xml:space="preserve"> </w:t>
            </w:r>
            <w:r w:rsidR="007B4D93">
              <w:rPr>
                <w:rFonts w:asciiTheme="minorHAnsi" w:hAnsiTheme="minorHAnsi" w:cstheme="minorHAnsi"/>
                <w:b/>
                <w:bCs/>
                <w:i/>
                <w:iCs/>
                <w:color w:val="000000"/>
                <w:sz w:val="24"/>
                <w:szCs w:val="24"/>
              </w:rPr>
              <w:t>3</w:t>
            </w:r>
            <w:r w:rsidRPr="00184614">
              <w:rPr>
                <w:rFonts w:asciiTheme="minorHAnsi" w:hAnsiTheme="minorHAnsi" w:cstheme="minorHAnsi"/>
                <w:b/>
                <w:bCs/>
                <w:i/>
                <w:iCs/>
                <w:color w:val="000000"/>
                <w:sz w:val="24"/>
                <w:szCs w:val="24"/>
              </w:rPr>
              <w:t>: Low pay thresholds</w:t>
            </w:r>
            <w:r w:rsidR="004664CA">
              <w:rPr>
                <w:rFonts w:asciiTheme="minorHAnsi" w:hAnsiTheme="minorHAnsi" w:cstheme="minorHAnsi"/>
                <w:b/>
                <w:bCs/>
                <w:i/>
                <w:iCs/>
                <w:color w:val="000000"/>
                <w:sz w:val="24"/>
                <w:szCs w:val="24"/>
              </w:rPr>
              <w:t xml:space="preserve"> for juniors </w:t>
            </w:r>
            <w:r w:rsidR="00577904">
              <w:rPr>
                <w:rFonts w:asciiTheme="minorHAnsi" w:hAnsiTheme="minorHAnsi" w:cstheme="minorHAnsi"/>
                <w:b/>
                <w:bCs/>
                <w:i/>
                <w:iCs/>
                <w:color w:val="000000"/>
                <w:sz w:val="24"/>
                <w:szCs w:val="24"/>
              </w:rPr>
              <w:t>adjusted from</w:t>
            </w:r>
            <w:r w:rsidR="004664CA">
              <w:rPr>
                <w:rFonts w:asciiTheme="minorHAnsi" w:hAnsiTheme="minorHAnsi" w:cstheme="minorHAnsi"/>
                <w:b/>
                <w:bCs/>
                <w:i/>
                <w:iCs/>
                <w:color w:val="000000"/>
                <w:sz w:val="24"/>
                <w:szCs w:val="24"/>
              </w:rPr>
              <w:t xml:space="preserve"> adult threshold of $19.00 per hour</w:t>
            </w:r>
          </w:p>
        </w:tc>
      </w:tr>
      <w:tr w:rsidR="004664CA" w:rsidRPr="00184614" w:rsidTr="004664CA">
        <w:trPr>
          <w:gridAfter w:val="1"/>
          <w:wAfter w:w="833" w:type="dxa"/>
          <w:trHeight w:val="733"/>
        </w:trPr>
        <w:tc>
          <w:tcPr>
            <w:tcW w:w="2590" w:type="dxa"/>
            <w:tcBorders>
              <w:top w:val="single" w:sz="8" w:space="0" w:color="auto"/>
              <w:left w:val="nil"/>
              <w:bottom w:val="single" w:sz="8" w:space="0" w:color="auto"/>
              <w:right w:val="nil"/>
            </w:tcBorders>
            <w:shd w:val="clear" w:color="auto" w:fill="auto"/>
            <w:vAlign w:val="center"/>
            <w:hideMark/>
          </w:tcPr>
          <w:p w:rsidR="004664CA" w:rsidRPr="00184614" w:rsidRDefault="004664CA" w:rsidP="000F0D93">
            <w:pPr>
              <w:rPr>
                <w:rFonts w:asciiTheme="minorHAnsi" w:hAnsiTheme="minorHAnsi" w:cstheme="minorHAnsi"/>
                <w:color w:val="000000"/>
                <w:szCs w:val="24"/>
              </w:rPr>
            </w:pPr>
            <w:r w:rsidRPr="00184614">
              <w:rPr>
                <w:rFonts w:asciiTheme="minorHAnsi" w:hAnsiTheme="minorHAnsi" w:cstheme="minorHAnsi"/>
                <w:color w:val="000000"/>
                <w:szCs w:val="24"/>
              </w:rPr>
              <w:t> </w:t>
            </w:r>
          </w:p>
        </w:tc>
        <w:tc>
          <w:tcPr>
            <w:tcW w:w="2611" w:type="dxa"/>
            <w:tcBorders>
              <w:top w:val="single" w:sz="8" w:space="0" w:color="auto"/>
              <w:left w:val="nil"/>
              <w:bottom w:val="single" w:sz="8" w:space="0" w:color="auto"/>
              <w:right w:val="nil"/>
            </w:tcBorders>
            <w:shd w:val="clear" w:color="auto" w:fill="auto"/>
            <w:vAlign w:val="center"/>
            <w:hideMark/>
          </w:tcPr>
          <w:p w:rsidR="004664CA" w:rsidRPr="005A3796" w:rsidRDefault="004664CA" w:rsidP="000F0D93">
            <w:pPr>
              <w:jc w:val="center"/>
              <w:rPr>
                <w:rFonts w:asciiTheme="minorHAnsi" w:hAnsiTheme="minorHAnsi" w:cstheme="minorHAnsi"/>
                <w:b/>
                <w:bCs/>
                <w:color w:val="000000"/>
                <w:szCs w:val="24"/>
                <w:vertAlign w:val="superscript"/>
              </w:rPr>
            </w:pPr>
            <w:r w:rsidRPr="00184614">
              <w:rPr>
                <w:rFonts w:asciiTheme="minorHAnsi" w:hAnsiTheme="minorHAnsi" w:cstheme="minorHAnsi"/>
                <w:b/>
                <w:bCs/>
                <w:color w:val="000000"/>
                <w:szCs w:val="24"/>
                <w:lang w:val="en-US"/>
              </w:rPr>
              <w:t>Percentage of NMW (%)</w:t>
            </w:r>
            <w:r w:rsidR="00577904">
              <w:rPr>
                <w:rFonts w:asciiTheme="minorHAnsi" w:hAnsiTheme="minorHAnsi" w:cstheme="minorHAnsi"/>
                <w:b/>
                <w:bCs/>
                <w:color w:val="000000"/>
                <w:szCs w:val="24"/>
                <w:vertAlign w:val="superscript"/>
                <w:lang w:val="en-US"/>
              </w:rPr>
              <w:t>*</w:t>
            </w:r>
          </w:p>
        </w:tc>
        <w:tc>
          <w:tcPr>
            <w:tcW w:w="2612" w:type="dxa"/>
            <w:tcBorders>
              <w:top w:val="single" w:sz="8" w:space="0" w:color="auto"/>
              <w:left w:val="nil"/>
              <w:bottom w:val="single" w:sz="8" w:space="0" w:color="auto"/>
              <w:right w:val="nil"/>
            </w:tcBorders>
            <w:shd w:val="clear" w:color="auto" w:fill="auto"/>
            <w:vAlign w:val="center"/>
            <w:hideMark/>
          </w:tcPr>
          <w:p w:rsidR="004664CA" w:rsidRPr="00184614" w:rsidRDefault="004664CA" w:rsidP="000F0D93">
            <w:pPr>
              <w:jc w:val="center"/>
              <w:rPr>
                <w:rFonts w:asciiTheme="minorHAnsi" w:hAnsiTheme="minorHAnsi" w:cstheme="minorHAnsi"/>
                <w:b/>
                <w:bCs/>
                <w:color w:val="000000"/>
                <w:szCs w:val="24"/>
              </w:rPr>
            </w:pPr>
            <w:r w:rsidRPr="00184614">
              <w:rPr>
                <w:rFonts w:asciiTheme="minorHAnsi" w:hAnsiTheme="minorHAnsi" w:cstheme="minorHAnsi"/>
                <w:b/>
                <w:bCs/>
                <w:color w:val="000000"/>
                <w:szCs w:val="24"/>
                <w:lang w:val="en-US"/>
              </w:rPr>
              <w:t xml:space="preserve">Low paid threshold ($) </w:t>
            </w:r>
            <w:r w:rsidRPr="00184614">
              <w:rPr>
                <w:rFonts w:asciiTheme="minorHAnsi" w:hAnsiTheme="minorHAnsi" w:cstheme="minorHAnsi"/>
                <w:b/>
                <w:bCs/>
                <w:i/>
                <w:color w:val="000000"/>
                <w:szCs w:val="24"/>
                <w:lang w:val="en-US"/>
              </w:rPr>
              <w:t>FWC request</w:t>
            </w:r>
          </w:p>
        </w:tc>
      </w:tr>
      <w:tr w:rsidR="004664CA" w:rsidRPr="00184614" w:rsidTr="004664CA">
        <w:trPr>
          <w:gridAfter w:val="1"/>
          <w:wAfter w:w="833" w:type="dxa"/>
          <w:trHeight w:val="317"/>
        </w:trPr>
        <w:tc>
          <w:tcPr>
            <w:tcW w:w="2590" w:type="dxa"/>
            <w:tcBorders>
              <w:top w:val="nil"/>
              <w:left w:val="nil"/>
              <w:bottom w:val="nil"/>
              <w:right w:val="nil"/>
            </w:tcBorders>
            <w:shd w:val="clear" w:color="000000" w:fill="D3DFEE"/>
            <w:vAlign w:val="center"/>
            <w:hideMark/>
          </w:tcPr>
          <w:p w:rsidR="004664CA" w:rsidRPr="00184614" w:rsidRDefault="004664CA" w:rsidP="000F0D93">
            <w:pPr>
              <w:rPr>
                <w:rFonts w:asciiTheme="minorHAnsi" w:hAnsiTheme="minorHAnsi" w:cstheme="minorHAnsi"/>
                <w:b/>
                <w:bCs/>
                <w:color w:val="000000"/>
                <w:szCs w:val="24"/>
              </w:rPr>
            </w:pPr>
            <w:r w:rsidRPr="00184614">
              <w:rPr>
                <w:rFonts w:asciiTheme="minorHAnsi" w:hAnsiTheme="minorHAnsi" w:cstheme="minorHAnsi"/>
                <w:b/>
                <w:bCs/>
                <w:color w:val="000000"/>
                <w:szCs w:val="24"/>
                <w:lang w:val="en-US"/>
              </w:rPr>
              <w:t>Adult (21 years and over)</w:t>
            </w:r>
          </w:p>
        </w:tc>
        <w:tc>
          <w:tcPr>
            <w:tcW w:w="2611" w:type="dxa"/>
            <w:tcBorders>
              <w:top w:val="nil"/>
              <w:left w:val="nil"/>
              <w:bottom w:val="nil"/>
              <w:right w:val="nil"/>
            </w:tcBorders>
            <w:shd w:val="clear" w:color="000000" w:fill="D3DFEE"/>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lang w:val="en-US"/>
              </w:rPr>
              <w:t>100.0</w:t>
            </w:r>
          </w:p>
        </w:tc>
        <w:tc>
          <w:tcPr>
            <w:tcW w:w="2612" w:type="dxa"/>
            <w:tcBorders>
              <w:top w:val="nil"/>
              <w:left w:val="nil"/>
              <w:bottom w:val="nil"/>
              <w:right w:val="nil"/>
            </w:tcBorders>
            <w:shd w:val="clear" w:color="000000" w:fill="D3DFEE"/>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rPr>
              <w:t>19.00</w:t>
            </w:r>
          </w:p>
        </w:tc>
      </w:tr>
      <w:tr w:rsidR="004664CA" w:rsidRPr="00184614" w:rsidTr="004664CA">
        <w:trPr>
          <w:gridAfter w:val="1"/>
          <w:wAfter w:w="833" w:type="dxa"/>
          <w:trHeight w:val="347"/>
        </w:trPr>
        <w:tc>
          <w:tcPr>
            <w:tcW w:w="2590" w:type="dxa"/>
            <w:tcBorders>
              <w:top w:val="nil"/>
              <w:left w:val="nil"/>
              <w:bottom w:val="nil"/>
              <w:right w:val="nil"/>
            </w:tcBorders>
            <w:shd w:val="clear" w:color="auto" w:fill="auto"/>
            <w:vAlign w:val="center"/>
            <w:hideMark/>
          </w:tcPr>
          <w:p w:rsidR="004664CA" w:rsidRPr="00184614" w:rsidRDefault="004664CA" w:rsidP="000F0D93">
            <w:pPr>
              <w:rPr>
                <w:rFonts w:asciiTheme="minorHAnsi" w:hAnsiTheme="minorHAnsi" w:cstheme="minorHAnsi"/>
                <w:b/>
                <w:bCs/>
                <w:color w:val="000000"/>
                <w:szCs w:val="24"/>
              </w:rPr>
            </w:pPr>
            <w:r w:rsidRPr="00184614">
              <w:rPr>
                <w:rFonts w:asciiTheme="minorHAnsi" w:hAnsiTheme="minorHAnsi" w:cstheme="minorHAnsi"/>
                <w:b/>
                <w:bCs/>
                <w:color w:val="000000"/>
                <w:szCs w:val="24"/>
                <w:lang w:val="en-US"/>
              </w:rPr>
              <w:t>20 year old</w:t>
            </w:r>
          </w:p>
        </w:tc>
        <w:tc>
          <w:tcPr>
            <w:tcW w:w="2611" w:type="dxa"/>
            <w:tcBorders>
              <w:top w:val="nil"/>
              <w:left w:val="nil"/>
              <w:bottom w:val="nil"/>
              <w:right w:val="nil"/>
            </w:tcBorders>
            <w:shd w:val="clear" w:color="auto" w:fill="auto"/>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lang w:val="en-US"/>
              </w:rPr>
              <w:t>97.7</w:t>
            </w:r>
          </w:p>
        </w:tc>
        <w:tc>
          <w:tcPr>
            <w:tcW w:w="2612" w:type="dxa"/>
            <w:tcBorders>
              <w:top w:val="nil"/>
              <w:left w:val="nil"/>
              <w:bottom w:val="nil"/>
              <w:right w:val="nil"/>
            </w:tcBorders>
            <w:shd w:val="clear" w:color="auto" w:fill="auto"/>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rPr>
              <w:t>18.56</w:t>
            </w:r>
          </w:p>
        </w:tc>
      </w:tr>
      <w:tr w:rsidR="004664CA" w:rsidRPr="00184614" w:rsidTr="004664CA">
        <w:trPr>
          <w:gridAfter w:val="1"/>
          <w:wAfter w:w="833" w:type="dxa"/>
          <w:trHeight w:val="347"/>
        </w:trPr>
        <w:tc>
          <w:tcPr>
            <w:tcW w:w="2590" w:type="dxa"/>
            <w:tcBorders>
              <w:top w:val="nil"/>
              <w:left w:val="nil"/>
              <w:bottom w:val="nil"/>
              <w:right w:val="nil"/>
            </w:tcBorders>
            <w:shd w:val="clear" w:color="000000" w:fill="D3DFEE"/>
            <w:vAlign w:val="center"/>
            <w:hideMark/>
          </w:tcPr>
          <w:p w:rsidR="004664CA" w:rsidRPr="00184614" w:rsidRDefault="004664CA" w:rsidP="000F0D93">
            <w:pPr>
              <w:rPr>
                <w:rFonts w:asciiTheme="minorHAnsi" w:hAnsiTheme="minorHAnsi" w:cstheme="minorHAnsi"/>
                <w:b/>
                <w:bCs/>
                <w:color w:val="000000"/>
                <w:szCs w:val="24"/>
              </w:rPr>
            </w:pPr>
            <w:r w:rsidRPr="00184614">
              <w:rPr>
                <w:rFonts w:asciiTheme="minorHAnsi" w:hAnsiTheme="minorHAnsi" w:cstheme="minorHAnsi"/>
                <w:b/>
                <w:bCs/>
                <w:color w:val="000000"/>
                <w:szCs w:val="24"/>
                <w:lang w:val="en-US"/>
              </w:rPr>
              <w:t>19 year old</w:t>
            </w:r>
          </w:p>
        </w:tc>
        <w:tc>
          <w:tcPr>
            <w:tcW w:w="2611" w:type="dxa"/>
            <w:tcBorders>
              <w:top w:val="nil"/>
              <w:left w:val="nil"/>
              <w:bottom w:val="nil"/>
              <w:right w:val="nil"/>
            </w:tcBorders>
            <w:shd w:val="clear" w:color="000000" w:fill="D3DFEE"/>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lang w:val="en-US"/>
              </w:rPr>
              <w:t>82.5</w:t>
            </w:r>
          </w:p>
        </w:tc>
        <w:tc>
          <w:tcPr>
            <w:tcW w:w="2612" w:type="dxa"/>
            <w:tcBorders>
              <w:top w:val="nil"/>
              <w:left w:val="nil"/>
              <w:bottom w:val="nil"/>
              <w:right w:val="nil"/>
            </w:tcBorders>
            <w:shd w:val="clear" w:color="000000" w:fill="D3DFEE"/>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rPr>
              <w:t>15.68</w:t>
            </w:r>
          </w:p>
        </w:tc>
      </w:tr>
      <w:tr w:rsidR="004664CA" w:rsidRPr="00184614" w:rsidTr="004664CA">
        <w:trPr>
          <w:gridAfter w:val="1"/>
          <w:wAfter w:w="833" w:type="dxa"/>
          <w:trHeight w:val="347"/>
        </w:trPr>
        <w:tc>
          <w:tcPr>
            <w:tcW w:w="2590" w:type="dxa"/>
            <w:tcBorders>
              <w:top w:val="nil"/>
              <w:left w:val="nil"/>
              <w:bottom w:val="nil"/>
              <w:right w:val="nil"/>
            </w:tcBorders>
            <w:shd w:val="clear" w:color="auto" w:fill="auto"/>
            <w:vAlign w:val="center"/>
            <w:hideMark/>
          </w:tcPr>
          <w:p w:rsidR="004664CA" w:rsidRPr="00184614" w:rsidRDefault="004664CA" w:rsidP="000F0D93">
            <w:pPr>
              <w:rPr>
                <w:rFonts w:asciiTheme="minorHAnsi" w:hAnsiTheme="minorHAnsi" w:cstheme="minorHAnsi"/>
                <w:b/>
                <w:bCs/>
                <w:color w:val="000000"/>
                <w:szCs w:val="24"/>
              </w:rPr>
            </w:pPr>
            <w:r w:rsidRPr="00184614">
              <w:rPr>
                <w:rFonts w:asciiTheme="minorHAnsi" w:hAnsiTheme="minorHAnsi" w:cstheme="minorHAnsi"/>
                <w:b/>
                <w:bCs/>
                <w:color w:val="000000"/>
                <w:szCs w:val="24"/>
                <w:lang w:val="en-US"/>
              </w:rPr>
              <w:t>18 year old</w:t>
            </w:r>
          </w:p>
        </w:tc>
        <w:tc>
          <w:tcPr>
            <w:tcW w:w="2611" w:type="dxa"/>
            <w:tcBorders>
              <w:top w:val="nil"/>
              <w:left w:val="nil"/>
              <w:bottom w:val="nil"/>
              <w:right w:val="nil"/>
            </w:tcBorders>
            <w:shd w:val="clear" w:color="auto" w:fill="auto"/>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lang w:val="en-US"/>
              </w:rPr>
              <w:t>68.3</w:t>
            </w:r>
          </w:p>
        </w:tc>
        <w:tc>
          <w:tcPr>
            <w:tcW w:w="2612" w:type="dxa"/>
            <w:tcBorders>
              <w:top w:val="nil"/>
              <w:left w:val="nil"/>
              <w:bottom w:val="nil"/>
              <w:right w:val="nil"/>
            </w:tcBorders>
            <w:shd w:val="clear" w:color="auto" w:fill="auto"/>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rPr>
              <w:t>12.98</w:t>
            </w:r>
          </w:p>
        </w:tc>
      </w:tr>
      <w:tr w:rsidR="004664CA" w:rsidRPr="00184614" w:rsidTr="004664CA">
        <w:trPr>
          <w:gridAfter w:val="1"/>
          <w:wAfter w:w="833" w:type="dxa"/>
          <w:trHeight w:val="347"/>
        </w:trPr>
        <w:tc>
          <w:tcPr>
            <w:tcW w:w="2590" w:type="dxa"/>
            <w:tcBorders>
              <w:top w:val="nil"/>
              <w:left w:val="nil"/>
              <w:bottom w:val="nil"/>
              <w:right w:val="nil"/>
            </w:tcBorders>
            <w:shd w:val="clear" w:color="000000" w:fill="D3DFEE"/>
            <w:vAlign w:val="center"/>
            <w:hideMark/>
          </w:tcPr>
          <w:p w:rsidR="004664CA" w:rsidRPr="00184614" w:rsidRDefault="004664CA" w:rsidP="000F0D93">
            <w:pPr>
              <w:rPr>
                <w:rFonts w:asciiTheme="minorHAnsi" w:hAnsiTheme="minorHAnsi" w:cstheme="minorHAnsi"/>
                <w:b/>
                <w:bCs/>
                <w:color w:val="000000"/>
                <w:szCs w:val="24"/>
              </w:rPr>
            </w:pPr>
            <w:r w:rsidRPr="00184614">
              <w:rPr>
                <w:rFonts w:asciiTheme="minorHAnsi" w:hAnsiTheme="minorHAnsi" w:cstheme="minorHAnsi"/>
                <w:b/>
                <w:bCs/>
                <w:color w:val="000000"/>
                <w:szCs w:val="24"/>
                <w:lang w:val="en-US"/>
              </w:rPr>
              <w:t>17 year old</w:t>
            </w:r>
          </w:p>
        </w:tc>
        <w:tc>
          <w:tcPr>
            <w:tcW w:w="2611" w:type="dxa"/>
            <w:tcBorders>
              <w:top w:val="nil"/>
              <w:left w:val="nil"/>
              <w:bottom w:val="nil"/>
              <w:right w:val="nil"/>
            </w:tcBorders>
            <w:shd w:val="clear" w:color="000000" w:fill="D3DFEE"/>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lang w:val="en-US"/>
              </w:rPr>
              <w:t>57.8</w:t>
            </w:r>
          </w:p>
        </w:tc>
        <w:tc>
          <w:tcPr>
            <w:tcW w:w="2612" w:type="dxa"/>
            <w:tcBorders>
              <w:top w:val="nil"/>
              <w:left w:val="nil"/>
              <w:bottom w:val="nil"/>
              <w:right w:val="nil"/>
            </w:tcBorders>
            <w:shd w:val="clear" w:color="000000" w:fill="D3DFEE"/>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rPr>
              <w:t>10.98</w:t>
            </w:r>
          </w:p>
        </w:tc>
      </w:tr>
      <w:tr w:rsidR="004664CA" w:rsidRPr="00184614" w:rsidTr="004664CA">
        <w:trPr>
          <w:gridAfter w:val="1"/>
          <w:wAfter w:w="833" w:type="dxa"/>
          <w:trHeight w:val="347"/>
        </w:trPr>
        <w:tc>
          <w:tcPr>
            <w:tcW w:w="2590" w:type="dxa"/>
            <w:tcBorders>
              <w:top w:val="nil"/>
              <w:left w:val="nil"/>
              <w:bottom w:val="nil"/>
              <w:right w:val="nil"/>
            </w:tcBorders>
            <w:shd w:val="clear" w:color="auto" w:fill="auto"/>
            <w:vAlign w:val="center"/>
            <w:hideMark/>
          </w:tcPr>
          <w:p w:rsidR="004664CA" w:rsidRPr="00184614" w:rsidRDefault="004664CA" w:rsidP="000F0D93">
            <w:pPr>
              <w:rPr>
                <w:rFonts w:asciiTheme="minorHAnsi" w:hAnsiTheme="minorHAnsi" w:cstheme="minorHAnsi"/>
                <w:b/>
                <w:bCs/>
                <w:color w:val="000000"/>
                <w:szCs w:val="24"/>
              </w:rPr>
            </w:pPr>
            <w:r w:rsidRPr="00184614">
              <w:rPr>
                <w:rFonts w:asciiTheme="minorHAnsi" w:hAnsiTheme="minorHAnsi" w:cstheme="minorHAnsi"/>
                <w:b/>
                <w:bCs/>
                <w:color w:val="000000"/>
                <w:szCs w:val="24"/>
                <w:lang w:val="en-US"/>
              </w:rPr>
              <w:t>16 year old</w:t>
            </w:r>
          </w:p>
        </w:tc>
        <w:tc>
          <w:tcPr>
            <w:tcW w:w="2611" w:type="dxa"/>
            <w:tcBorders>
              <w:top w:val="nil"/>
              <w:left w:val="nil"/>
              <w:bottom w:val="nil"/>
              <w:right w:val="nil"/>
            </w:tcBorders>
            <w:shd w:val="clear" w:color="auto" w:fill="auto"/>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lang w:val="en-US"/>
              </w:rPr>
              <w:t>47.3</w:t>
            </w:r>
          </w:p>
        </w:tc>
        <w:tc>
          <w:tcPr>
            <w:tcW w:w="2612" w:type="dxa"/>
            <w:tcBorders>
              <w:top w:val="nil"/>
              <w:left w:val="nil"/>
              <w:bottom w:val="nil"/>
              <w:right w:val="nil"/>
            </w:tcBorders>
            <w:shd w:val="clear" w:color="auto" w:fill="auto"/>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rPr>
              <w:t>8.99</w:t>
            </w:r>
          </w:p>
        </w:tc>
      </w:tr>
      <w:tr w:rsidR="004664CA" w:rsidRPr="00184614" w:rsidTr="004664CA">
        <w:trPr>
          <w:gridAfter w:val="1"/>
          <w:wAfter w:w="833" w:type="dxa"/>
          <w:trHeight w:val="347"/>
        </w:trPr>
        <w:tc>
          <w:tcPr>
            <w:tcW w:w="2590" w:type="dxa"/>
            <w:tcBorders>
              <w:top w:val="nil"/>
              <w:left w:val="nil"/>
              <w:bottom w:val="single" w:sz="8" w:space="0" w:color="auto"/>
              <w:right w:val="nil"/>
            </w:tcBorders>
            <w:shd w:val="clear" w:color="000000" w:fill="D3DFEE"/>
            <w:vAlign w:val="center"/>
            <w:hideMark/>
          </w:tcPr>
          <w:p w:rsidR="004664CA" w:rsidRPr="00184614" w:rsidRDefault="004664CA" w:rsidP="000F0D93">
            <w:pPr>
              <w:rPr>
                <w:rFonts w:asciiTheme="minorHAnsi" w:hAnsiTheme="minorHAnsi" w:cstheme="minorHAnsi"/>
                <w:b/>
                <w:bCs/>
                <w:color w:val="000000"/>
                <w:szCs w:val="24"/>
              </w:rPr>
            </w:pPr>
            <w:r w:rsidRPr="00184614">
              <w:rPr>
                <w:rFonts w:asciiTheme="minorHAnsi" w:hAnsiTheme="minorHAnsi" w:cstheme="minorHAnsi"/>
                <w:b/>
                <w:bCs/>
                <w:color w:val="000000"/>
                <w:szCs w:val="24"/>
                <w:lang w:val="en-US"/>
              </w:rPr>
              <w:t>15 year old</w:t>
            </w:r>
          </w:p>
        </w:tc>
        <w:tc>
          <w:tcPr>
            <w:tcW w:w="2611" w:type="dxa"/>
            <w:tcBorders>
              <w:top w:val="nil"/>
              <w:left w:val="nil"/>
              <w:bottom w:val="single" w:sz="8" w:space="0" w:color="auto"/>
              <w:right w:val="nil"/>
            </w:tcBorders>
            <w:shd w:val="clear" w:color="000000" w:fill="D3DFEE"/>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lang w:val="en-US"/>
              </w:rPr>
              <w:t>36.8</w:t>
            </w:r>
          </w:p>
        </w:tc>
        <w:tc>
          <w:tcPr>
            <w:tcW w:w="2612" w:type="dxa"/>
            <w:tcBorders>
              <w:top w:val="nil"/>
              <w:left w:val="nil"/>
              <w:bottom w:val="single" w:sz="8" w:space="0" w:color="auto"/>
              <w:right w:val="nil"/>
            </w:tcBorders>
            <w:shd w:val="clear" w:color="000000" w:fill="D3DFEE"/>
            <w:vAlign w:val="center"/>
            <w:hideMark/>
          </w:tcPr>
          <w:p w:rsidR="004664CA" w:rsidRPr="00184614" w:rsidRDefault="004664CA" w:rsidP="000F0D93">
            <w:pPr>
              <w:jc w:val="center"/>
              <w:rPr>
                <w:rFonts w:asciiTheme="minorHAnsi" w:hAnsiTheme="minorHAnsi" w:cstheme="minorHAnsi"/>
                <w:color w:val="000000"/>
                <w:szCs w:val="24"/>
              </w:rPr>
            </w:pPr>
            <w:r w:rsidRPr="00184614">
              <w:rPr>
                <w:rFonts w:asciiTheme="minorHAnsi" w:hAnsiTheme="minorHAnsi" w:cstheme="minorHAnsi"/>
                <w:color w:val="000000"/>
                <w:szCs w:val="24"/>
              </w:rPr>
              <w:t>6.99</w:t>
            </w:r>
          </w:p>
        </w:tc>
      </w:tr>
    </w:tbl>
    <w:p w:rsidR="005E33D3" w:rsidRPr="005A3796" w:rsidRDefault="006A2BCA" w:rsidP="005A3796">
      <w:pPr>
        <w:rPr>
          <w:rFonts w:asciiTheme="minorHAnsi" w:hAnsiTheme="minorHAnsi" w:cstheme="minorHAnsi"/>
        </w:rPr>
      </w:pPr>
      <w:r>
        <w:rPr>
          <w:rFonts w:asciiTheme="minorHAnsi" w:hAnsiTheme="minorHAnsi" w:cstheme="minorHAnsi"/>
          <w:sz w:val="20"/>
        </w:rPr>
        <w:t>Note</w:t>
      </w:r>
      <w:r w:rsidR="002C1370" w:rsidRPr="005A3796">
        <w:rPr>
          <w:rFonts w:asciiTheme="minorHAnsi" w:hAnsiTheme="minorHAnsi" w:cstheme="minorHAnsi"/>
          <w:sz w:val="20"/>
        </w:rPr>
        <w:t xml:space="preserve">: </w:t>
      </w:r>
      <w:r w:rsidR="00577904">
        <w:rPr>
          <w:rFonts w:asciiTheme="minorHAnsi" w:hAnsiTheme="minorHAnsi" w:cstheme="minorHAnsi"/>
          <w:sz w:val="20"/>
        </w:rPr>
        <w:t xml:space="preserve">* The percentage figures were used in the </w:t>
      </w:r>
      <w:r w:rsidR="002C1370" w:rsidRPr="005A3796">
        <w:rPr>
          <w:rFonts w:asciiTheme="minorHAnsi" w:hAnsiTheme="minorHAnsi" w:cstheme="minorHAnsi"/>
          <w:sz w:val="20"/>
        </w:rPr>
        <w:t>Government’s initial submission</w:t>
      </w:r>
      <w:r w:rsidR="00577904">
        <w:rPr>
          <w:rFonts w:asciiTheme="minorHAnsi" w:hAnsiTheme="minorHAnsi" w:cstheme="minorHAnsi"/>
          <w:sz w:val="20"/>
        </w:rPr>
        <w:t xml:space="preserve"> (i.e.Table A.1, A</w:t>
      </w:r>
      <w:r w:rsidR="00577904" w:rsidRPr="00BF3972">
        <w:rPr>
          <w:rFonts w:asciiTheme="minorHAnsi" w:hAnsiTheme="minorHAnsi" w:cstheme="minorHAnsi"/>
          <w:sz w:val="20"/>
        </w:rPr>
        <w:t>ppendix A</w:t>
      </w:r>
      <w:r w:rsidR="00577904">
        <w:rPr>
          <w:rFonts w:asciiTheme="minorHAnsi" w:hAnsiTheme="minorHAnsi" w:cstheme="minorHAnsi"/>
          <w:sz w:val="20"/>
        </w:rPr>
        <w:t>) to derive low pay thresholds for juniors.</w:t>
      </w:r>
      <w:r w:rsidR="009005AD" w:rsidRPr="005A3796">
        <w:rPr>
          <w:rFonts w:asciiTheme="minorHAnsi" w:hAnsiTheme="minorHAnsi" w:cstheme="minorHAnsi"/>
        </w:rPr>
        <w:br w:type="page"/>
      </w:r>
    </w:p>
    <w:p w:rsidR="005E33D3" w:rsidRPr="005A3796"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r w:rsidRPr="00312885">
        <w:rPr>
          <w:rFonts w:asciiTheme="minorHAnsi" w:hAnsiTheme="minorHAnsi" w:cstheme="minorHAnsi"/>
          <w:b/>
          <w:bCs/>
          <w:iCs/>
          <w:color w:val="8064A2" w:themeColor="accent4"/>
          <w:sz w:val="36"/>
          <w:szCs w:val="32"/>
        </w:rPr>
        <w:lastRenderedPageBreak/>
        <w:t xml:space="preserve">Question </w:t>
      </w:r>
      <w:bookmarkEnd w:id="55"/>
      <w:r w:rsidRPr="00312885">
        <w:rPr>
          <w:rFonts w:asciiTheme="minorHAnsi" w:hAnsiTheme="minorHAnsi" w:cstheme="minorHAnsi"/>
          <w:b/>
          <w:bCs/>
          <w:iCs/>
          <w:color w:val="8064A2" w:themeColor="accent4"/>
          <w:sz w:val="36"/>
          <w:szCs w:val="32"/>
        </w:rPr>
        <w:t>4.3</w:t>
      </w:r>
    </w:p>
    <w:p w:rsidR="005E33D3" w:rsidRPr="005A3796" w:rsidRDefault="005E33D3" w:rsidP="005E33D3">
      <w:pPr>
        <w:keepNext/>
        <w:keepLines/>
        <w:spacing w:before="200"/>
        <w:outlineLvl w:val="2"/>
        <w:rPr>
          <w:rFonts w:ascii="Calibri" w:hAnsi="Calibri" w:cs="Arial"/>
          <w:b/>
          <w:bCs/>
          <w:color w:val="365F91" w:themeColor="accent1" w:themeShade="BF"/>
          <w:sz w:val="28"/>
          <w:szCs w:val="28"/>
          <w:lang w:eastAsia="en-AU"/>
        </w:rPr>
      </w:pPr>
      <w:r w:rsidRPr="005A3796">
        <w:rPr>
          <w:rFonts w:ascii="Calibri" w:hAnsi="Calibri" w:cs="Arial"/>
          <w:b/>
          <w:bCs/>
          <w:color w:val="365F91" w:themeColor="accent1" w:themeShade="BF"/>
          <w:sz w:val="28"/>
          <w:szCs w:val="28"/>
          <w:lang w:eastAsia="en-AU"/>
        </w:rPr>
        <w:t xml:space="preserve">The Australian Government’s initial submission urges the Panel to </w:t>
      </w:r>
      <w:r w:rsidRPr="005A3796">
        <w:rPr>
          <w:rFonts w:ascii="Calibri" w:hAnsi="Calibri" w:cs="Arial"/>
          <w:b/>
          <w:bCs/>
          <w:i/>
          <w:color w:val="365F91" w:themeColor="accent1" w:themeShade="BF"/>
          <w:sz w:val="28"/>
          <w:szCs w:val="28"/>
          <w:lang w:eastAsia="en-AU"/>
        </w:rPr>
        <w:t>“…have regard to the role of wage flexibility during this period of economic transition”</w:t>
      </w:r>
      <w:r w:rsidRPr="005A3796">
        <w:rPr>
          <w:rFonts w:ascii="Calibri" w:hAnsi="Calibri" w:cs="Arial"/>
          <w:b/>
          <w:bCs/>
          <w:color w:val="365F91" w:themeColor="accent1" w:themeShade="BF"/>
          <w:sz w:val="28"/>
          <w:szCs w:val="28"/>
          <w:lang w:eastAsia="en-AU"/>
        </w:rPr>
        <w:t xml:space="preserve">. Could the Government inform the Panel if it has in mind any particular forms of wage flexibility, other than </w:t>
      </w:r>
      <w:r w:rsidRPr="005A3796">
        <w:rPr>
          <w:rFonts w:ascii="Calibri" w:hAnsi="Calibri" w:cs="Arial"/>
          <w:b/>
          <w:bCs/>
          <w:i/>
          <w:color w:val="365F91" w:themeColor="accent1" w:themeShade="BF"/>
          <w:sz w:val="28"/>
          <w:szCs w:val="28"/>
          <w:lang w:eastAsia="en-AU"/>
        </w:rPr>
        <w:t>“wages growth below trend”</w:t>
      </w:r>
      <w:r w:rsidRPr="005A3796">
        <w:rPr>
          <w:rFonts w:ascii="Calibri" w:hAnsi="Calibri" w:cs="Arial"/>
          <w:b/>
          <w:bCs/>
          <w:color w:val="365F91" w:themeColor="accent1" w:themeShade="BF"/>
          <w:sz w:val="28"/>
          <w:szCs w:val="28"/>
          <w:lang w:eastAsia="en-AU"/>
        </w:rPr>
        <w:t>?</w:t>
      </w:r>
    </w:p>
    <w:p w:rsidR="00AA7B69" w:rsidRPr="00FF235A" w:rsidRDefault="00E62B42" w:rsidP="00AA7B69">
      <w:pPr>
        <w:pStyle w:val="FWCstyle"/>
      </w:pPr>
      <w:r>
        <w:t xml:space="preserve">The Australian Government’s initial submission focussed on the role of wage flexibility rather than the method of wage flexibility. </w:t>
      </w:r>
      <w:r w:rsidR="00AA7B69" w:rsidRPr="00F507F1">
        <w:t xml:space="preserve">The ability of an employer, or industry more broadly, to adjust wage offerings </w:t>
      </w:r>
      <w:r w:rsidR="00AA7B69">
        <w:t>(including relative to other employers and industries)</w:t>
      </w:r>
      <w:r w:rsidR="00AA7B69" w:rsidRPr="00F507F1">
        <w:t xml:space="preserve"> over time commensurate with the economic conditions being experienced by that employer or industry is important for supporting employment and growth. </w:t>
      </w:r>
      <w:r w:rsidR="00AA7B69">
        <w:t xml:space="preserve">This is particularly the case during periods of economic transition.  </w:t>
      </w:r>
    </w:p>
    <w:p w:rsidR="00906720" w:rsidRDefault="00906720">
      <w:pPr>
        <w:rPr>
          <w:rFonts w:ascii="Calibri" w:hAnsi="Calibri" w:cs="HelveticaNeueLT-BoldCond"/>
          <w:b/>
          <w:bCs/>
          <w:color w:val="C0504D" w:themeColor="accent2"/>
          <w:kern w:val="32"/>
          <w:sz w:val="44"/>
          <w:szCs w:val="44"/>
          <w:lang w:eastAsia="en-AU"/>
        </w:rPr>
      </w:pPr>
      <w:bookmarkStart w:id="56" w:name="_Toc386443356"/>
      <w:bookmarkStart w:id="57" w:name="_Toc386443889"/>
      <w:bookmarkStart w:id="58" w:name="_Toc386447748"/>
      <w:bookmarkStart w:id="59" w:name="_Toc386448994"/>
      <w:bookmarkStart w:id="60" w:name="_Toc386449561"/>
      <w:bookmarkStart w:id="61" w:name="_Toc386450573"/>
      <w:bookmarkStart w:id="62" w:name="_Toc385414082"/>
      <w:bookmarkStart w:id="63" w:name="_Toc385341655"/>
      <w:bookmarkStart w:id="64" w:name="_Toc386727439"/>
      <w:bookmarkEnd w:id="56"/>
      <w:bookmarkEnd w:id="57"/>
      <w:bookmarkEnd w:id="58"/>
      <w:bookmarkEnd w:id="59"/>
      <w:bookmarkEnd w:id="60"/>
      <w:bookmarkEnd w:id="61"/>
      <w:bookmarkEnd w:id="62"/>
      <w:r>
        <w:rPr>
          <w:rFonts w:ascii="Calibri" w:hAnsi="Calibri" w:cs="HelveticaNeueLT-BoldCond"/>
          <w:b/>
          <w:bCs/>
          <w:color w:val="C0504D" w:themeColor="accent2"/>
          <w:kern w:val="32"/>
          <w:sz w:val="44"/>
          <w:szCs w:val="44"/>
          <w:highlight w:val="yellow"/>
          <w:lang w:eastAsia="en-AU"/>
        </w:rPr>
        <w:br w:type="page"/>
      </w:r>
      <w:bookmarkStart w:id="65" w:name="_Toc386727441"/>
      <w:bookmarkStart w:id="66" w:name="_Toc385341657"/>
      <w:bookmarkEnd w:id="63"/>
      <w:bookmarkEnd w:id="64"/>
    </w:p>
    <w:p w:rsidR="005E33D3" w:rsidRPr="005E33D3" w:rsidRDefault="005E33D3" w:rsidP="005E33D3">
      <w:pPr>
        <w:keepNext/>
        <w:widowControl w:val="0"/>
        <w:tabs>
          <w:tab w:val="left" w:pos="1701"/>
        </w:tabs>
        <w:suppressAutoHyphens/>
        <w:autoSpaceDE w:val="0"/>
        <w:autoSpaceDN w:val="0"/>
        <w:adjustRightInd w:val="0"/>
        <w:spacing w:after="120"/>
        <w:outlineLvl w:val="0"/>
        <w:rPr>
          <w:rFonts w:ascii="Calibri" w:hAnsi="Calibri" w:cs="HelveticaNeueLT-BoldCond"/>
          <w:b/>
          <w:bCs/>
          <w:color w:val="C0504D" w:themeColor="accent2"/>
          <w:kern w:val="32"/>
          <w:sz w:val="44"/>
          <w:szCs w:val="44"/>
          <w:lang w:eastAsia="en-AU"/>
        </w:rPr>
      </w:pPr>
      <w:r w:rsidRPr="005E33D3">
        <w:rPr>
          <w:rFonts w:ascii="Calibri" w:hAnsi="Calibri" w:cs="HelveticaNeueLT-BoldCond"/>
          <w:b/>
          <w:bCs/>
          <w:color w:val="C0504D" w:themeColor="accent2"/>
          <w:kern w:val="32"/>
          <w:sz w:val="44"/>
          <w:szCs w:val="44"/>
          <w:lang w:eastAsia="en-AU"/>
        </w:rPr>
        <w:lastRenderedPageBreak/>
        <w:t>Labour market transitions</w:t>
      </w:r>
      <w:bookmarkEnd w:id="65"/>
    </w:p>
    <w:p w:rsidR="005E33D3" w:rsidRPr="005E33D3"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bookmarkStart w:id="67" w:name="_Toc386727442"/>
      <w:r w:rsidRPr="005E33D3">
        <w:rPr>
          <w:rFonts w:asciiTheme="minorHAnsi" w:hAnsiTheme="minorHAnsi" w:cstheme="minorHAnsi"/>
          <w:b/>
          <w:bCs/>
          <w:iCs/>
          <w:color w:val="8064A2" w:themeColor="accent4"/>
          <w:sz w:val="36"/>
          <w:szCs w:val="32"/>
        </w:rPr>
        <w:t>Question</w:t>
      </w:r>
      <w:bookmarkEnd w:id="67"/>
      <w:r w:rsidRPr="005E33D3">
        <w:rPr>
          <w:rFonts w:asciiTheme="minorHAnsi" w:hAnsiTheme="minorHAnsi" w:cstheme="minorHAnsi"/>
          <w:b/>
          <w:bCs/>
          <w:iCs/>
          <w:color w:val="8064A2" w:themeColor="accent4"/>
          <w:sz w:val="36"/>
          <w:szCs w:val="32"/>
        </w:rPr>
        <w:t xml:space="preserve"> 6.1</w:t>
      </w:r>
    </w:p>
    <w:p w:rsidR="005E33D3" w:rsidRPr="00FF235A" w:rsidRDefault="005E33D3" w:rsidP="005E33D3">
      <w:pPr>
        <w:keepNext/>
        <w:keepLines/>
        <w:spacing w:before="200"/>
        <w:outlineLvl w:val="2"/>
        <w:rPr>
          <w:rFonts w:ascii="Calibri" w:hAnsi="Calibri" w:cs="Arial"/>
          <w:b/>
          <w:bCs/>
          <w:color w:val="365F91" w:themeColor="accent1" w:themeShade="BF"/>
          <w:sz w:val="28"/>
          <w:szCs w:val="28"/>
          <w:lang w:eastAsia="en-AU"/>
        </w:rPr>
      </w:pPr>
      <w:r w:rsidRPr="005E33D3">
        <w:rPr>
          <w:rFonts w:ascii="Calibri" w:hAnsi="Calibri" w:cs="Arial"/>
          <w:b/>
          <w:bCs/>
          <w:color w:val="365F91" w:themeColor="accent1" w:themeShade="BF"/>
          <w:sz w:val="28"/>
          <w:szCs w:val="28"/>
          <w:lang w:eastAsia="en-AU"/>
        </w:rPr>
        <w:t xml:space="preserve">The Australian Government submission provides some recent data on the number of retrenchments across the Australian labour force. Is the Australian Government able to expand on this, to provide additional information about typical levels of retrenchment, variation by industry, trends over recent years, for </w:t>
      </w:r>
      <w:r w:rsidRPr="00FF235A">
        <w:rPr>
          <w:rFonts w:ascii="Calibri" w:hAnsi="Calibri" w:cs="Arial"/>
          <w:b/>
          <w:bCs/>
          <w:color w:val="365F91" w:themeColor="accent1" w:themeShade="BF"/>
          <w:sz w:val="28"/>
          <w:szCs w:val="28"/>
          <w:lang w:eastAsia="en-AU"/>
        </w:rPr>
        <w:t>example?</w:t>
      </w:r>
    </w:p>
    <w:p w:rsidR="006B1F7A" w:rsidRDefault="004D083C" w:rsidP="004664CA">
      <w:pPr>
        <w:pStyle w:val="FWCstyle"/>
      </w:pPr>
      <w:r>
        <w:t>Figure</w:t>
      </w:r>
      <w:r w:rsidR="006B1F7A">
        <w:t xml:space="preserve"> </w:t>
      </w:r>
      <w:r w:rsidR="00774E66">
        <w:t>4</w:t>
      </w:r>
      <w:r w:rsidR="006B1F7A">
        <w:t xml:space="preserve"> below shows that the annual number of retrenchments declined over the years from 1994 to 2008. </w:t>
      </w:r>
      <w:r w:rsidR="00E62B42">
        <w:t xml:space="preserve">This trend was arrested by </w:t>
      </w:r>
      <w:r w:rsidR="006B1F7A">
        <w:t>the Global Financial Crisis</w:t>
      </w:r>
      <w:r w:rsidR="00E62B42">
        <w:t>.</w:t>
      </w:r>
    </w:p>
    <w:p w:rsidR="006B1F7A" w:rsidRPr="005A3796" w:rsidRDefault="006615BA" w:rsidP="006B1F7A">
      <w:pPr>
        <w:pStyle w:val="ListParagraph"/>
        <w:keepNext/>
        <w:ind w:left="0"/>
        <w:rPr>
          <w:rFonts w:asciiTheme="minorHAnsi" w:hAnsiTheme="minorHAnsi" w:cs="Arial"/>
          <w:b/>
          <w:bCs/>
          <w:i/>
          <w:sz w:val="24"/>
        </w:rPr>
      </w:pPr>
      <w:r>
        <w:rPr>
          <w:rFonts w:asciiTheme="minorHAnsi" w:hAnsiTheme="minorHAnsi" w:cs="Arial"/>
          <w:b/>
          <w:bCs/>
          <w:i/>
          <w:sz w:val="24"/>
        </w:rPr>
        <w:t>Figure</w:t>
      </w:r>
      <w:r w:rsidRPr="005A3796">
        <w:rPr>
          <w:rFonts w:asciiTheme="minorHAnsi" w:hAnsiTheme="minorHAnsi" w:cs="Arial"/>
          <w:b/>
          <w:bCs/>
          <w:i/>
          <w:sz w:val="24"/>
        </w:rPr>
        <w:t xml:space="preserve"> </w:t>
      </w:r>
      <w:r w:rsidR="00774E66">
        <w:rPr>
          <w:rFonts w:asciiTheme="minorHAnsi" w:hAnsiTheme="minorHAnsi" w:cs="Arial"/>
          <w:b/>
          <w:bCs/>
          <w:i/>
          <w:sz w:val="24"/>
        </w:rPr>
        <w:t>4</w:t>
      </w:r>
      <w:r w:rsidR="006B1F7A" w:rsidRPr="005A3796">
        <w:rPr>
          <w:rFonts w:asciiTheme="minorHAnsi" w:hAnsiTheme="minorHAnsi" w:cs="Arial"/>
          <w:b/>
          <w:bCs/>
          <w:i/>
          <w:sz w:val="24"/>
        </w:rPr>
        <w:t>: Number of employees retrenched, 1994 to 2013</w:t>
      </w:r>
    </w:p>
    <w:p w:rsidR="006B1F7A" w:rsidRDefault="006B1F7A" w:rsidP="006B1F7A">
      <w:r>
        <w:rPr>
          <w:noProof/>
          <w:lang w:eastAsia="en-AU"/>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1F7A" w:rsidRDefault="006B1F7A" w:rsidP="006B1F7A">
      <w:pPr>
        <w:pStyle w:val="ListParagraph"/>
        <w:keepNext/>
        <w:ind w:left="0"/>
        <w:rPr>
          <w:rFonts w:asciiTheme="minorHAnsi" w:hAnsiTheme="minorHAnsi" w:cs="Arial"/>
          <w:bCs/>
          <w:sz w:val="20"/>
        </w:rPr>
      </w:pPr>
      <w:r>
        <w:rPr>
          <w:rFonts w:asciiTheme="minorHAnsi" w:hAnsiTheme="minorHAnsi" w:cs="Arial"/>
          <w:bCs/>
          <w:sz w:val="20"/>
        </w:rPr>
        <w:t>Note: data in Feb 1994 and 1996 included retrenched employees only.</w:t>
      </w:r>
    </w:p>
    <w:p w:rsidR="006B1F7A" w:rsidRDefault="006B1F7A" w:rsidP="006B1F7A">
      <w:pPr>
        <w:pStyle w:val="ListParagraph"/>
        <w:keepNext/>
        <w:ind w:left="0"/>
        <w:rPr>
          <w:rFonts w:asciiTheme="minorHAnsi" w:hAnsiTheme="minorHAnsi" w:cs="Arial"/>
          <w:bCs/>
          <w:sz w:val="20"/>
        </w:rPr>
      </w:pPr>
      <w:r>
        <w:rPr>
          <w:rFonts w:asciiTheme="minorHAnsi" w:hAnsiTheme="minorHAnsi" w:cs="Arial"/>
          <w:bCs/>
          <w:sz w:val="20"/>
        </w:rPr>
        <w:t>Source: ABS Labour Mobility, Australia (Cat. No. 6209.0)</w:t>
      </w:r>
    </w:p>
    <w:p w:rsidR="006B1F7A" w:rsidRDefault="006B1F7A" w:rsidP="004664CA">
      <w:pPr>
        <w:pStyle w:val="FWCstyle"/>
      </w:pPr>
      <w:r>
        <w:t xml:space="preserve">The Department of Employment’s quarterly estimates of retrenchments, provided in the Australian Government initial submission, have been revised, based on the latest ABS population benchmarks from the 2011 Census. </w:t>
      </w:r>
    </w:p>
    <w:p w:rsidR="00517A25" w:rsidRDefault="006B1F7A" w:rsidP="004664CA">
      <w:pPr>
        <w:pStyle w:val="FWCstyle"/>
      </w:pPr>
      <w:r>
        <w:t xml:space="preserve">The latest estimate is that there were 82 000 retrenchments in the March quarter 2014, a rise of 9.1 per cent over the year. </w:t>
      </w:r>
    </w:p>
    <w:p w:rsidR="006B1F7A" w:rsidRDefault="006B1F7A" w:rsidP="004664CA">
      <w:pPr>
        <w:pStyle w:val="FWCstyle"/>
      </w:pPr>
      <w:r>
        <w:t xml:space="preserve">Retrenchments tend to spike upwards </w:t>
      </w:r>
      <w:r w:rsidR="00517A25" w:rsidRPr="005A3796">
        <w:t xml:space="preserve">in economic recessions, but then fall more slowly when good economic and labour market conditions return. </w:t>
      </w:r>
      <w:r w:rsidR="009260C6">
        <w:t>R</w:t>
      </w:r>
      <w:r w:rsidR="00517A25" w:rsidRPr="005A3796">
        <w:t>ecessions lead to substantial pressures on businesses to make staff redundant in order for the business to survive</w:t>
      </w:r>
      <w:r w:rsidR="009260C6">
        <w:t>.  Conversely</w:t>
      </w:r>
      <w:r w:rsidR="00517A25" w:rsidRPr="005A3796">
        <w:t xml:space="preserve">, </w:t>
      </w:r>
      <w:r w:rsidR="009260C6">
        <w:t xml:space="preserve">during periods where </w:t>
      </w:r>
      <w:r w:rsidR="00517A25" w:rsidRPr="005A3796">
        <w:t xml:space="preserve">economic growth </w:t>
      </w:r>
      <w:r w:rsidR="009260C6">
        <w:t xml:space="preserve">is </w:t>
      </w:r>
      <w:r w:rsidR="00517A25" w:rsidRPr="005A3796">
        <w:t xml:space="preserve">above </w:t>
      </w:r>
      <w:r w:rsidR="009260C6">
        <w:t xml:space="preserve">a </w:t>
      </w:r>
      <w:r w:rsidR="00517A25" w:rsidRPr="005A3796">
        <w:t>satisfactory rate</w:t>
      </w:r>
      <w:r w:rsidR="009260C6">
        <w:t xml:space="preserve">, there is a </w:t>
      </w:r>
      <w:r w:rsidR="00517A25" w:rsidRPr="005A3796">
        <w:t>lesser influence on the retrenchment rate. This, in turn, is because there is a baseline retrenchment even in very good economic times as a result of technical change, industry restructuring and the normal process</w:t>
      </w:r>
      <w:r w:rsidR="00E903F7">
        <w:t>es</w:t>
      </w:r>
      <w:r w:rsidR="00517A25" w:rsidRPr="005A3796">
        <w:t xml:space="preserve"> of job creation and </w:t>
      </w:r>
      <w:r w:rsidR="00E903F7">
        <w:t>alteration</w:t>
      </w:r>
      <w:r w:rsidR="00517A25" w:rsidRPr="005A3796">
        <w:t>.</w:t>
      </w:r>
      <w:r>
        <w:t xml:space="preserve"> The ABS does not release information on retrenchments by industry in its Labour Mobility publication, nor does the Department of Employment have any estimate of retrenchments by industry.</w:t>
      </w:r>
    </w:p>
    <w:p w:rsidR="006B1F7A" w:rsidRDefault="006B1F7A" w:rsidP="004664CA">
      <w:pPr>
        <w:pStyle w:val="FWCstyle"/>
      </w:pPr>
      <w:r>
        <w:lastRenderedPageBreak/>
        <w:t xml:space="preserve">However, the Department </w:t>
      </w:r>
      <w:r w:rsidR="00231CA9">
        <w:t xml:space="preserve">of Employment </w:t>
      </w:r>
      <w:r>
        <w:t>has Labour Force Survey data on unemployment by reason (with retrenchment being one of the reasons for unemployment), in original terms, from the ABS. The latest data, shown in the table below, are for adult civilians who have been retrenched within the last two years and are still unemployed as of February 2014.</w:t>
      </w:r>
    </w:p>
    <w:p w:rsidR="006B1F7A" w:rsidRDefault="006B1F7A" w:rsidP="006B1F7A">
      <w:pPr>
        <w:pStyle w:val="ListParagraph"/>
        <w:keepNext/>
        <w:ind w:left="0"/>
        <w:rPr>
          <w:rFonts w:asciiTheme="minorHAnsi" w:hAnsiTheme="minorHAnsi" w:cs="Arial"/>
          <w:b/>
          <w:bCs/>
          <w:i/>
          <w:sz w:val="24"/>
        </w:rPr>
      </w:pPr>
      <w:r w:rsidRPr="005A3796">
        <w:rPr>
          <w:rFonts w:asciiTheme="minorHAnsi" w:hAnsiTheme="minorHAnsi" w:cs="Arial"/>
          <w:b/>
          <w:bCs/>
          <w:i/>
          <w:sz w:val="24"/>
        </w:rPr>
        <w:t xml:space="preserve">Table </w:t>
      </w:r>
      <w:r w:rsidR="007B4D93">
        <w:rPr>
          <w:rFonts w:asciiTheme="minorHAnsi" w:hAnsiTheme="minorHAnsi" w:cs="Arial"/>
          <w:b/>
          <w:bCs/>
          <w:i/>
          <w:sz w:val="24"/>
        </w:rPr>
        <w:t>4</w:t>
      </w:r>
      <w:r w:rsidRPr="005A3796">
        <w:rPr>
          <w:rFonts w:asciiTheme="minorHAnsi" w:hAnsiTheme="minorHAnsi" w:cs="Arial"/>
          <w:b/>
          <w:bCs/>
          <w:i/>
          <w:sz w:val="24"/>
        </w:rPr>
        <w:t>: Unemployed retrenchees by industry, February 2014 (% of total)</w:t>
      </w:r>
    </w:p>
    <w:tbl>
      <w:tblPr>
        <w:tblW w:w="0" w:type="auto"/>
        <w:tblInd w:w="-30" w:type="dxa"/>
        <w:tblCellMar>
          <w:left w:w="0" w:type="dxa"/>
          <w:right w:w="0" w:type="dxa"/>
        </w:tblCellMar>
        <w:tblLook w:val="04A0"/>
      </w:tblPr>
      <w:tblGrid>
        <w:gridCol w:w="4470"/>
        <w:gridCol w:w="3039"/>
      </w:tblGrid>
      <w:tr w:rsidR="00AA7B69" w:rsidTr="00C14B18">
        <w:trPr>
          <w:trHeight w:val="262"/>
        </w:trPr>
        <w:tc>
          <w:tcPr>
            <w:tcW w:w="4470" w:type="dxa"/>
            <w:tcBorders>
              <w:top w:val="single" w:sz="4" w:space="0" w:color="auto"/>
              <w:left w:val="nil"/>
              <w:bottom w:val="single" w:sz="4" w:space="0" w:color="auto"/>
              <w:right w:val="nil"/>
            </w:tcBorders>
            <w:tcMar>
              <w:top w:w="0" w:type="dxa"/>
              <w:left w:w="108" w:type="dxa"/>
              <w:bottom w:w="0" w:type="dxa"/>
              <w:right w:w="108" w:type="dxa"/>
            </w:tcMar>
            <w:hideMark/>
          </w:tcPr>
          <w:p w:rsidR="00AA7B69" w:rsidRDefault="00AA7B69" w:rsidP="00C14B18">
            <w:pPr>
              <w:pStyle w:val="ListParagraph"/>
              <w:keepNext/>
              <w:ind w:left="0"/>
              <w:rPr>
                <w:rFonts w:asciiTheme="minorHAnsi" w:hAnsiTheme="minorHAnsi" w:cstheme="minorHAnsi"/>
                <w:b/>
                <w:bCs/>
                <w:szCs w:val="22"/>
              </w:rPr>
            </w:pPr>
            <w:r>
              <w:rPr>
                <w:rFonts w:asciiTheme="minorHAnsi" w:hAnsiTheme="minorHAnsi" w:cstheme="minorHAnsi"/>
                <w:b/>
                <w:bCs/>
                <w:szCs w:val="22"/>
              </w:rPr>
              <w:t>Industry</w:t>
            </w:r>
          </w:p>
        </w:tc>
        <w:tc>
          <w:tcPr>
            <w:tcW w:w="3039" w:type="dxa"/>
            <w:tcBorders>
              <w:top w:val="single" w:sz="4" w:space="0" w:color="auto"/>
              <w:left w:val="nil"/>
              <w:bottom w:val="single" w:sz="4" w:space="0" w:color="auto"/>
              <w:right w:val="nil"/>
            </w:tcBorders>
            <w:tcMar>
              <w:top w:w="0" w:type="dxa"/>
              <w:left w:w="108" w:type="dxa"/>
              <w:bottom w:w="0" w:type="dxa"/>
              <w:right w:w="108" w:type="dxa"/>
            </w:tcMar>
            <w:hideMark/>
          </w:tcPr>
          <w:p w:rsidR="00AA7B69" w:rsidRDefault="00AA7B69" w:rsidP="00C14B18">
            <w:pPr>
              <w:pStyle w:val="ListParagraph"/>
              <w:keepNext/>
              <w:ind w:left="0"/>
              <w:jc w:val="center"/>
              <w:rPr>
                <w:rFonts w:asciiTheme="minorHAnsi" w:hAnsiTheme="minorHAnsi" w:cstheme="minorHAnsi"/>
                <w:b/>
                <w:bCs/>
                <w:szCs w:val="22"/>
              </w:rPr>
            </w:pPr>
            <w:r>
              <w:rPr>
                <w:rFonts w:asciiTheme="minorHAnsi" w:hAnsiTheme="minorHAnsi" w:cstheme="minorHAnsi"/>
                <w:b/>
                <w:bCs/>
                <w:szCs w:val="22"/>
              </w:rPr>
              <w:t>Share of retrenched by industry (%)</w:t>
            </w:r>
          </w:p>
        </w:tc>
      </w:tr>
      <w:tr w:rsidR="00AA7B69" w:rsidTr="00C14B18">
        <w:trPr>
          <w:trHeight w:val="247"/>
        </w:trPr>
        <w:tc>
          <w:tcPr>
            <w:tcW w:w="4470" w:type="dxa"/>
            <w:tcBorders>
              <w:top w:val="single" w:sz="4" w:space="0" w:color="auto"/>
              <w:left w:val="nil"/>
              <w:bottom w:val="nil"/>
              <w:right w:val="nil"/>
            </w:tcBorders>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Retail Trade</w:t>
            </w:r>
          </w:p>
        </w:tc>
        <w:tc>
          <w:tcPr>
            <w:tcW w:w="3039" w:type="dxa"/>
            <w:tcBorders>
              <w:top w:val="single" w:sz="4" w:space="0" w:color="auto"/>
              <w:left w:val="nil"/>
              <w:bottom w:val="nil"/>
              <w:right w:val="nil"/>
            </w:tcBorders>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14.6</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Manufacturing</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13.0</w:t>
            </w:r>
          </w:p>
        </w:tc>
      </w:tr>
      <w:tr w:rsidR="00AA7B69" w:rsidTr="00C14B18">
        <w:trPr>
          <w:trHeight w:val="247"/>
        </w:trPr>
        <w:tc>
          <w:tcPr>
            <w:tcW w:w="4470"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Construction</w:t>
            </w:r>
          </w:p>
        </w:tc>
        <w:tc>
          <w:tcPr>
            <w:tcW w:w="3039"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12.8</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Accommodation and Food Services</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9.7</w:t>
            </w:r>
          </w:p>
        </w:tc>
      </w:tr>
      <w:tr w:rsidR="00AA7B69" w:rsidTr="00C14B18">
        <w:trPr>
          <w:trHeight w:val="247"/>
        </w:trPr>
        <w:tc>
          <w:tcPr>
            <w:tcW w:w="4470"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Professional, Scientific and Technical Services</w:t>
            </w:r>
          </w:p>
        </w:tc>
        <w:tc>
          <w:tcPr>
            <w:tcW w:w="3039"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7.7</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Transport, Postal and Warehousing</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4.5</w:t>
            </w:r>
          </w:p>
        </w:tc>
      </w:tr>
      <w:tr w:rsidR="00AA7B69" w:rsidTr="00C14B18">
        <w:trPr>
          <w:trHeight w:val="247"/>
        </w:trPr>
        <w:tc>
          <w:tcPr>
            <w:tcW w:w="4470"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Administrative and Support Services</w:t>
            </w:r>
          </w:p>
        </w:tc>
        <w:tc>
          <w:tcPr>
            <w:tcW w:w="3039"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4.3</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Mining</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4.1</w:t>
            </w:r>
          </w:p>
        </w:tc>
      </w:tr>
      <w:tr w:rsidR="00AA7B69" w:rsidTr="00C14B18">
        <w:trPr>
          <w:trHeight w:val="247"/>
        </w:trPr>
        <w:tc>
          <w:tcPr>
            <w:tcW w:w="4470"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Health Care and Social Assistance</w:t>
            </w:r>
          </w:p>
        </w:tc>
        <w:tc>
          <w:tcPr>
            <w:tcW w:w="3039"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4.0</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Public Administration and Safety</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3.9</w:t>
            </w:r>
          </w:p>
        </w:tc>
      </w:tr>
      <w:tr w:rsidR="00AA7B69" w:rsidTr="00C14B18">
        <w:trPr>
          <w:trHeight w:val="247"/>
        </w:trPr>
        <w:tc>
          <w:tcPr>
            <w:tcW w:w="4470"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Other Services</w:t>
            </w:r>
          </w:p>
        </w:tc>
        <w:tc>
          <w:tcPr>
            <w:tcW w:w="3039"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3.6</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Information Media and Telecommunications</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3.5</w:t>
            </w:r>
          </w:p>
        </w:tc>
      </w:tr>
      <w:tr w:rsidR="00AA7B69" w:rsidTr="00C14B18">
        <w:trPr>
          <w:trHeight w:val="247"/>
        </w:trPr>
        <w:tc>
          <w:tcPr>
            <w:tcW w:w="4470"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Wholesale Trade</w:t>
            </w:r>
          </w:p>
        </w:tc>
        <w:tc>
          <w:tcPr>
            <w:tcW w:w="3039"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3.3</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Financial and Insurance Services</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3.2</w:t>
            </w:r>
          </w:p>
        </w:tc>
      </w:tr>
      <w:tr w:rsidR="00AA7B69" w:rsidTr="00C14B18">
        <w:trPr>
          <w:trHeight w:val="247"/>
        </w:trPr>
        <w:tc>
          <w:tcPr>
            <w:tcW w:w="4470"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Education and Training</w:t>
            </w:r>
          </w:p>
        </w:tc>
        <w:tc>
          <w:tcPr>
            <w:tcW w:w="3039"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2.7</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Arts and Recreation Services</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1.9</w:t>
            </w:r>
          </w:p>
        </w:tc>
      </w:tr>
      <w:tr w:rsidR="00AA7B69" w:rsidTr="00C14B18">
        <w:trPr>
          <w:trHeight w:val="247"/>
        </w:trPr>
        <w:tc>
          <w:tcPr>
            <w:tcW w:w="4470"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Agriculture, Forestry and Fishing</w:t>
            </w:r>
          </w:p>
        </w:tc>
        <w:tc>
          <w:tcPr>
            <w:tcW w:w="3039" w:type="dxa"/>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1.6</w:t>
            </w:r>
          </w:p>
        </w:tc>
      </w:tr>
      <w:tr w:rsidR="00AA7B69" w:rsidTr="00C14B18">
        <w:trPr>
          <w:trHeight w:val="247"/>
        </w:trPr>
        <w:tc>
          <w:tcPr>
            <w:tcW w:w="4470" w:type="dxa"/>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Electricity, Gas, Water and Waste Services</w:t>
            </w:r>
          </w:p>
        </w:tc>
        <w:tc>
          <w:tcPr>
            <w:tcW w:w="3039" w:type="dxa"/>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1.0</w:t>
            </w:r>
          </w:p>
        </w:tc>
      </w:tr>
      <w:tr w:rsidR="00AA7B69" w:rsidTr="00C14B18">
        <w:trPr>
          <w:trHeight w:val="247"/>
        </w:trPr>
        <w:tc>
          <w:tcPr>
            <w:tcW w:w="4470" w:type="dxa"/>
            <w:tcBorders>
              <w:top w:val="nil"/>
              <w:left w:val="nil"/>
              <w:bottom w:val="single" w:sz="4" w:space="0" w:color="auto"/>
              <w:right w:val="nil"/>
            </w:tcBorders>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rPr>
                <w:rFonts w:asciiTheme="minorHAnsi" w:hAnsiTheme="minorHAnsi" w:cstheme="minorHAnsi"/>
                <w:bCs/>
                <w:szCs w:val="22"/>
              </w:rPr>
            </w:pPr>
            <w:r>
              <w:rPr>
                <w:rFonts w:asciiTheme="minorHAnsi" w:hAnsiTheme="minorHAnsi" w:cstheme="minorHAnsi"/>
                <w:bCs/>
                <w:szCs w:val="22"/>
              </w:rPr>
              <w:t>Rental, Hiring and Real Estate Services</w:t>
            </w:r>
          </w:p>
        </w:tc>
        <w:tc>
          <w:tcPr>
            <w:tcW w:w="3039" w:type="dxa"/>
            <w:tcBorders>
              <w:top w:val="nil"/>
              <w:left w:val="nil"/>
              <w:bottom w:val="single" w:sz="4" w:space="0" w:color="auto"/>
              <w:right w:val="nil"/>
            </w:tcBorders>
            <w:shd w:val="clear" w:color="auto" w:fill="DBE5F1" w:themeFill="accent1" w:themeFillTint="33"/>
            <w:tcMar>
              <w:top w:w="0" w:type="dxa"/>
              <w:left w:w="108" w:type="dxa"/>
              <w:bottom w:w="0" w:type="dxa"/>
              <w:right w:w="108" w:type="dxa"/>
            </w:tcMar>
          </w:tcPr>
          <w:p w:rsidR="00AA7B69" w:rsidRDefault="00AA7B69" w:rsidP="00C14B18">
            <w:pPr>
              <w:pStyle w:val="ListParagraph"/>
              <w:keepNext/>
              <w:ind w:left="0"/>
              <w:jc w:val="center"/>
              <w:rPr>
                <w:rFonts w:asciiTheme="minorHAnsi" w:hAnsiTheme="minorHAnsi" w:cstheme="minorHAnsi"/>
                <w:bCs/>
                <w:szCs w:val="22"/>
              </w:rPr>
            </w:pPr>
            <w:r>
              <w:rPr>
                <w:rFonts w:asciiTheme="minorHAnsi" w:hAnsiTheme="minorHAnsi" w:cstheme="minorHAnsi"/>
                <w:bCs/>
                <w:szCs w:val="22"/>
              </w:rPr>
              <w:t>0.7</w:t>
            </w:r>
          </w:p>
        </w:tc>
      </w:tr>
      <w:tr w:rsidR="00AA7B69" w:rsidTr="00C14B18">
        <w:trPr>
          <w:trHeight w:val="247"/>
        </w:trPr>
        <w:tc>
          <w:tcPr>
            <w:tcW w:w="4470" w:type="dxa"/>
            <w:tcBorders>
              <w:top w:val="single" w:sz="4" w:space="0" w:color="auto"/>
              <w:left w:val="nil"/>
              <w:bottom w:val="single" w:sz="4" w:space="0" w:color="auto"/>
              <w:right w:val="nil"/>
            </w:tcBorders>
            <w:tcMar>
              <w:top w:w="0" w:type="dxa"/>
              <w:left w:w="108" w:type="dxa"/>
              <w:bottom w:w="0" w:type="dxa"/>
              <w:right w:w="108" w:type="dxa"/>
            </w:tcMar>
            <w:hideMark/>
          </w:tcPr>
          <w:p w:rsidR="00AA7B69" w:rsidRDefault="00AA7B69" w:rsidP="00C14B18">
            <w:pPr>
              <w:pStyle w:val="ListParagraph"/>
              <w:ind w:left="0"/>
              <w:rPr>
                <w:rFonts w:asciiTheme="minorHAnsi" w:hAnsiTheme="minorHAnsi" w:cstheme="minorHAnsi"/>
                <w:bCs/>
                <w:szCs w:val="22"/>
              </w:rPr>
            </w:pPr>
            <w:r>
              <w:rPr>
                <w:rFonts w:asciiTheme="minorHAnsi" w:hAnsiTheme="minorHAnsi" w:cstheme="minorHAnsi"/>
                <w:bCs/>
                <w:szCs w:val="22"/>
              </w:rPr>
              <w:t>Total</w:t>
            </w:r>
          </w:p>
        </w:tc>
        <w:tc>
          <w:tcPr>
            <w:tcW w:w="3039" w:type="dxa"/>
            <w:tcBorders>
              <w:top w:val="single" w:sz="4" w:space="0" w:color="auto"/>
              <w:left w:val="nil"/>
              <w:bottom w:val="single" w:sz="4" w:space="0" w:color="auto"/>
              <w:right w:val="nil"/>
            </w:tcBorders>
            <w:tcMar>
              <w:top w:w="0" w:type="dxa"/>
              <w:left w:w="108" w:type="dxa"/>
              <w:bottom w:w="0" w:type="dxa"/>
              <w:right w:w="108" w:type="dxa"/>
            </w:tcMar>
            <w:hideMark/>
          </w:tcPr>
          <w:p w:rsidR="00AA7B69" w:rsidRDefault="00AA7B69" w:rsidP="00C14B18">
            <w:pPr>
              <w:pStyle w:val="ListParagraph"/>
              <w:ind w:left="0"/>
              <w:jc w:val="center"/>
              <w:rPr>
                <w:rFonts w:asciiTheme="minorHAnsi" w:hAnsiTheme="minorHAnsi" w:cstheme="minorHAnsi"/>
                <w:bCs/>
                <w:szCs w:val="22"/>
              </w:rPr>
            </w:pPr>
            <w:r>
              <w:rPr>
                <w:rFonts w:asciiTheme="minorHAnsi" w:hAnsiTheme="minorHAnsi" w:cstheme="minorHAnsi"/>
                <w:bCs/>
                <w:szCs w:val="22"/>
              </w:rPr>
              <w:t>100.0</w:t>
            </w:r>
          </w:p>
        </w:tc>
      </w:tr>
    </w:tbl>
    <w:p w:rsidR="006B1F7A" w:rsidRDefault="006B1F7A" w:rsidP="006B1F7A">
      <w:pPr>
        <w:tabs>
          <w:tab w:val="left" w:pos="1701"/>
        </w:tabs>
        <w:spacing w:after="120"/>
        <w:rPr>
          <w:rFonts w:ascii="Calibri" w:hAnsi="Calibri" w:cs="Calibri"/>
          <w:sz w:val="20"/>
          <w:lang w:eastAsia="en-AU"/>
        </w:rPr>
      </w:pPr>
      <w:r>
        <w:rPr>
          <w:rFonts w:ascii="Calibri" w:hAnsi="Calibri" w:cs="Calibri"/>
          <w:sz w:val="20"/>
          <w:lang w:eastAsia="en-AU"/>
        </w:rPr>
        <w:t xml:space="preserve">Source: </w:t>
      </w:r>
      <w:r w:rsidR="007B4D93">
        <w:rPr>
          <w:rFonts w:ascii="Calibri" w:hAnsi="Calibri" w:cs="Calibri"/>
          <w:sz w:val="20"/>
          <w:lang w:eastAsia="en-AU"/>
        </w:rPr>
        <w:t xml:space="preserve">ABS </w:t>
      </w:r>
      <w:r>
        <w:rPr>
          <w:rFonts w:ascii="Calibri" w:hAnsi="Calibri" w:cs="Calibri"/>
          <w:sz w:val="20"/>
          <w:lang w:eastAsia="en-AU"/>
        </w:rPr>
        <w:t>Labour Mobility, unpublished data</w:t>
      </w:r>
      <w:r w:rsidR="007B4D93">
        <w:rPr>
          <w:rFonts w:ascii="Calibri" w:hAnsi="Calibri" w:cs="Calibri"/>
          <w:sz w:val="20"/>
          <w:lang w:eastAsia="en-AU"/>
        </w:rPr>
        <w:t>.</w:t>
      </w:r>
    </w:p>
    <w:p w:rsidR="006B1F7A" w:rsidRDefault="006B1F7A" w:rsidP="004664CA">
      <w:pPr>
        <w:pStyle w:val="FWCstyle"/>
      </w:pPr>
      <w:r>
        <w:t>A noticeable feature of the statistics in the table above is that two of the most award</w:t>
      </w:r>
      <w:r w:rsidR="00D4081A">
        <w:noBreakHyphen/>
      </w:r>
      <w:r>
        <w:t xml:space="preserve">reliant industries together account for almost a quarter of the </w:t>
      </w:r>
      <w:r w:rsidRPr="00D8172A">
        <w:t>total number of people who have been retrenched within the last two years and are still unemployed</w:t>
      </w:r>
      <w:r w:rsidR="00E903F7">
        <w:t xml:space="preserve"> (Retail Trade with the highest share of 14.6 per cent and Accommodation and Food Services with almost 10</w:t>
      </w:r>
      <w:r w:rsidR="00FE345A">
        <w:t> </w:t>
      </w:r>
      <w:r w:rsidR="00E903F7">
        <w:t>per</w:t>
      </w:r>
      <w:r w:rsidR="00FE345A">
        <w:t> </w:t>
      </w:r>
      <w:r w:rsidR="00E903F7">
        <w:t>cent of the total)</w:t>
      </w:r>
      <w:r w:rsidR="000E0315">
        <w:t>.</w:t>
      </w:r>
    </w:p>
    <w:p w:rsidR="006B1F7A" w:rsidRDefault="00E903F7" w:rsidP="004664CA">
      <w:pPr>
        <w:pStyle w:val="FWCstyle"/>
      </w:pPr>
      <w:r>
        <w:t xml:space="preserve">Note further </w:t>
      </w:r>
      <w:r w:rsidR="006B1F7A" w:rsidRPr="006B1F7A">
        <w:t xml:space="preserve">that there is high sampling variability in these estimates, particularly for industries with a small employment base such as Electricity, Gas, Water and Waste Services. </w:t>
      </w:r>
    </w:p>
    <w:p w:rsidR="003A5A9D" w:rsidRDefault="003A5A9D" w:rsidP="000027F1">
      <w:pPr>
        <w:pStyle w:val="FWCstyle"/>
        <w:numPr>
          <w:ilvl w:val="0"/>
          <w:numId w:val="0"/>
        </w:numPr>
        <w:ind w:left="360"/>
      </w:pPr>
    </w:p>
    <w:p w:rsidR="00BC659B" w:rsidRDefault="00BC659B">
      <w:pPr>
        <w:rPr>
          <w:rFonts w:ascii="Calibri" w:hAnsi="Calibri" w:cs="Calibri"/>
          <w:sz w:val="24"/>
          <w:szCs w:val="24"/>
          <w:lang w:eastAsia="en-AU"/>
        </w:rPr>
      </w:pPr>
      <w:r>
        <w:rPr>
          <w:rFonts w:ascii="Calibri" w:hAnsi="Calibri" w:cs="Calibri"/>
          <w:sz w:val="24"/>
          <w:szCs w:val="24"/>
          <w:lang w:eastAsia="en-AU"/>
        </w:rPr>
        <w:br w:type="page"/>
      </w:r>
    </w:p>
    <w:p w:rsidR="005E33D3" w:rsidRPr="00DD51A5"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bookmarkStart w:id="68" w:name="_Toc386727443"/>
      <w:r w:rsidRPr="00DD51A5">
        <w:rPr>
          <w:rFonts w:asciiTheme="minorHAnsi" w:hAnsiTheme="minorHAnsi" w:cstheme="minorHAnsi"/>
          <w:b/>
          <w:bCs/>
          <w:iCs/>
          <w:color w:val="8064A2" w:themeColor="accent4"/>
          <w:sz w:val="36"/>
          <w:szCs w:val="32"/>
        </w:rPr>
        <w:lastRenderedPageBreak/>
        <w:t xml:space="preserve">Question </w:t>
      </w:r>
      <w:bookmarkEnd w:id="68"/>
      <w:r w:rsidRPr="00DD51A5">
        <w:rPr>
          <w:rFonts w:asciiTheme="minorHAnsi" w:hAnsiTheme="minorHAnsi" w:cstheme="minorHAnsi"/>
          <w:b/>
          <w:bCs/>
          <w:iCs/>
          <w:color w:val="8064A2" w:themeColor="accent4"/>
          <w:sz w:val="36"/>
          <w:szCs w:val="32"/>
        </w:rPr>
        <w:t>6.2</w:t>
      </w:r>
    </w:p>
    <w:p w:rsidR="0096262E" w:rsidRPr="004664CA" w:rsidRDefault="005E33D3" w:rsidP="004664CA">
      <w:pPr>
        <w:keepNext/>
        <w:keepLines/>
        <w:spacing w:before="200"/>
        <w:outlineLvl w:val="2"/>
        <w:rPr>
          <w:rFonts w:ascii="Calibri" w:hAnsi="Calibri" w:cs="Arial"/>
          <w:b/>
          <w:bCs/>
          <w:color w:val="365F91" w:themeColor="accent1" w:themeShade="BF"/>
          <w:sz w:val="28"/>
          <w:szCs w:val="28"/>
          <w:lang w:eastAsia="en-AU"/>
        </w:rPr>
      </w:pPr>
      <w:r w:rsidRPr="00DD51A5">
        <w:rPr>
          <w:rFonts w:ascii="Calibri" w:hAnsi="Calibri" w:cs="Arial"/>
          <w:b/>
          <w:bCs/>
          <w:color w:val="365F91" w:themeColor="accent1" w:themeShade="BF"/>
          <w:sz w:val="28"/>
          <w:szCs w:val="28"/>
          <w:lang w:eastAsia="en-AU"/>
        </w:rPr>
        <w:t xml:space="preserve">The Australian Government submission concludes, on the basis of Table 5.1, that </w:t>
      </w:r>
      <w:r w:rsidRPr="00DD51A5">
        <w:rPr>
          <w:rFonts w:ascii="Calibri" w:hAnsi="Calibri" w:cs="Arial"/>
          <w:b/>
          <w:bCs/>
          <w:i/>
          <w:color w:val="365F91" w:themeColor="accent1" w:themeShade="BF"/>
          <w:sz w:val="28"/>
          <w:szCs w:val="28"/>
          <w:lang w:eastAsia="en-AU"/>
        </w:rPr>
        <w:t>“…many of those who enter employment for the first time or are re-entering the workforce are more likely to earn low pay”</w:t>
      </w:r>
      <w:r w:rsidRPr="00DD51A5">
        <w:rPr>
          <w:rFonts w:ascii="Calibri" w:hAnsi="Calibri" w:cs="Arial"/>
          <w:b/>
          <w:bCs/>
          <w:color w:val="365F91" w:themeColor="accent1" w:themeShade="BF"/>
          <w:sz w:val="28"/>
          <w:szCs w:val="28"/>
          <w:lang w:eastAsia="en-AU"/>
        </w:rPr>
        <w:t>. The Australian Government is asked to expand on how it comes to this conclusion.</w:t>
      </w:r>
    </w:p>
    <w:p w:rsidR="00EE0E44" w:rsidRPr="00184614" w:rsidRDefault="00BC73AD" w:rsidP="004664CA">
      <w:pPr>
        <w:pStyle w:val="FWCstyle"/>
      </w:pPr>
      <w:r>
        <w:t>T</w:t>
      </w:r>
      <w:r w:rsidR="00EE0E44" w:rsidRPr="00184614">
        <w:t xml:space="preserve">he Australian Government </w:t>
      </w:r>
      <w:r>
        <w:t xml:space="preserve">relies on the HILDA data to support its conclusion that </w:t>
      </w:r>
      <w:r w:rsidR="00EE0E44" w:rsidRPr="00184614">
        <w:t xml:space="preserve">many people entering employment for the first time or re-entering employment are more likely to earn low pay </w:t>
      </w:r>
      <w:r w:rsidR="0096262E">
        <w:t xml:space="preserve">than </w:t>
      </w:r>
      <w:r w:rsidR="00EE0E44" w:rsidRPr="00184614">
        <w:t xml:space="preserve">those already in employment. </w:t>
      </w:r>
      <w:r w:rsidR="002F48E7">
        <w:t>T</w:t>
      </w:r>
      <w:r w:rsidR="00EE0E44" w:rsidRPr="00184614">
        <w:t xml:space="preserve">able </w:t>
      </w:r>
      <w:r w:rsidR="007B4D93">
        <w:t>5</w:t>
      </w:r>
      <w:r w:rsidR="00E875BE">
        <w:t xml:space="preserve"> </w:t>
      </w:r>
      <w:r w:rsidR="00EE0E44" w:rsidRPr="00184614">
        <w:t>below (Table 5.1, p</w:t>
      </w:r>
      <w:r w:rsidR="00EE0E44">
        <w:t>a</w:t>
      </w:r>
      <w:r w:rsidR="00EE0E44" w:rsidRPr="00184614">
        <w:t>g</w:t>
      </w:r>
      <w:r w:rsidR="00EE0E44">
        <w:t>e</w:t>
      </w:r>
      <w:r w:rsidR="00EE0E44" w:rsidRPr="00184614">
        <w:t xml:space="preserve"> 49 of the Government’s initial submission</w:t>
      </w:r>
      <w:r w:rsidR="00EE0E44">
        <w:t>, copied below</w:t>
      </w:r>
      <w:r w:rsidR="00EE0E44" w:rsidRPr="00184614">
        <w:t xml:space="preserve">) </w:t>
      </w:r>
      <w:r w:rsidR="002F48E7">
        <w:t xml:space="preserve">indicates </w:t>
      </w:r>
      <w:r w:rsidR="00EE0E44" w:rsidRPr="00184614">
        <w:t>that 35.7 per cent</w:t>
      </w:r>
      <w:r w:rsidR="00EE0E44" w:rsidRPr="00184614">
        <w:rPr>
          <w:rStyle w:val="FootnoteReference"/>
          <w:rFonts w:asciiTheme="minorHAnsi" w:hAnsiTheme="minorHAnsi" w:cstheme="minorHAnsi"/>
        </w:rPr>
        <w:footnoteReference w:id="9"/>
      </w:r>
      <w:r w:rsidR="00EE0E44" w:rsidRPr="00184614">
        <w:t xml:space="preserve"> of people who entered employment did so through taking a low paid job</w:t>
      </w:r>
      <w:r w:rsidR="0096262E">
        <w:t>.</w:t>
      </w:r>
      <w:r w:rsidR="00E875BE">
        <w:rPr>
          <w:rStyle w:val="FootnoteReference"/>
        </w:rPr>
        <w:footnoteReference w:id="10"/>
      </w:r>
      <w:r w:rsidR="0096262E">
        <w:t xml:space="preserve"> How</w:t>
      </w:r>
      <w:r w:rsidR="00EE0E44" w:rsidRPr="00184614">
        <w:t>ever, 14.0 per cent</w:t>
      </w:r>
      <w:r w:rsidR="00EE0E44" w:rsidRPr="00184614">
        <w:rPr>
          <w:rStyle w:val="FootnoteReference"/>
          <w:rFonts w:asciiTheme="minorHAnsi" w:hAnsiTheme="minorHAnsi" w:cstheme="minorHAnsi"/>
        </w:rPr>
        <w:footnoteReference w:id="11"/>
      </w:r>
      <w:r w:rsidR="00EE0E44" w:rsidRPr="00184614">
        <w:t xml:space="preserve"> of people who were in ongoing employment were low paid. This suggests that low paid entry level jobs are an important step into employment for </w:t>
      </w:r>
      <w:r w:rsidR="00EE0E44">
        <w:t>many</w:t>
      </w:r>
      <w:r w:rsidR="00EE0E44" w:rsidRPr="00184614">
        <w:t xml:space="preserve"> people.</w:t>
      </w:r>
    </w:p>
    <w:p w:rsidR="009005AD" w:rsidRPr="00184614" w:rsidRDefault="009005AD" w:rsidP="009005AD">
      <w:pPr>
        <w:pStyle w:val="TableChartHeading"/>
        <w:rPr>
          <w:rFonts w:asciiTheme="minorHAnsi" w:hAnsiTheme="minorHAnsi" w:cstheme="minorHAnsi"/>
          <w:szCs w:val="24"/>
        </w:rPr>
      </w:pPr>
      <w:r w:rsidRPr="00184614">
        <w:rPr>
          <w:rFonts w:asciiTheme="minorHAnsi" w:hAnsiTheme="minorHAnsi" w:cstheme="minorHAnsi"/>
          <w:szCs w:val="24"/>
        </w:rPr>
        <w:t>Table</w:t>
      </w:r>
      <w:r w:rsidR="00D1627D">
        <w:rPr>
          <w:rFonts w:asciiTheme="minorHAnsi" w:hAnsiTheme="minorHAnsi" w:cstheme="minorHAnsi"/>
          <w:szCs w:val="24"/>
        </w:rPr>
        <w:t xml:space="preserve"> </w:t>
      </w:r>
      <w:r w:rsidR="007B4D93">
        <w:rPr>
          <w:rFonts w:asciiTheme="minorHAnsi" w:hAnsiTheme="minorHAnsi" w:cstheme="minorHAnsi"/>
          <w:szCs w:val="24"/>
        </w:rPr>
        <w:t>5</w:t>
      </w:r>
      <w:r w:rsidRPr="00184614">
        <w:rPr>
          <w:rFonts w:asciiTheme="minorHAnsi" w:hAnsiTheme="minorHAnsi" w:cstheme="minorHAnsi"/>
          <w:szCs w:val="24"/>
        </w:rPr>
        <w:t>: Year-on-year transitions of employment/low pay status (a)(row percentage)</w:t>
      </w:r>
    </w:p>
    <w:tbl>
      <w:tblPr>
        <w:tblW w:w="9315" w:type="dxa"/>
        <w:tblBorders>
          <w:top w:val="single" w:sz="8" w:space="0" w:color="4F81BD"/>
          <w:bottom w:val="single" w:sz="8" w:space="0" w:color="4F81BD"/>
        </w:tblBorders>
        <w:tblLayout w:type="fixed"/>
        <w:tblLook w:val="04A0"/>
      </w:tblPr>
      <w:tblGrid>
        <w:gridCol w:w="1385"/>
        <w:gridCol w:w="1619"/>
        <w:gridCol w:w="1276"/>
        <w:gridCol w:w="1276"/>
        <w:gridCol w:w="1276"/>
        <w:gridCol w:w="1277"/>
        <w:gridCol w:w="1206"/>
      </w:tblGrid>
      <w:tr w:rsidR="009005AD" w:rsidRPr="002C1370" w:rsidTr="000F0D93">
        <w:trPr>
          <w:trHeight w:val="227"/>
        </w:trPr>
        <w:tc>
          <w:tcPr>
            <w:tcW w:w="3004" w:type="dxa"/>
            <w:gridSpan w:val="2"/>
            <w:vMerge w:val="restart"/>
            <w:tcBorders>
              <w:top w:val="single" w:sz="4" w:space="0" w:color="auto"/>
              <w:left w:val="nil"/>
              <w:bottom w:val="single" w:sz="4" w:space="0" w:color="auto"/>
              <w:right w:val="nil"/>
            </w:tcBorders>
            <w:shd w:val="clear" w:color="auto" w:fill="auto"/>
          </w:tcPr>
          <w:p w:rsidR="009005AD" w:rsidRPr="005A3796" w:rsidRDefault="009005AD" w:rsidP="000F0D93">
            <w:pPr>
              <w:keepNext/>
              <w:suppressAutoHyphens/>
              <w:jc w:val="center"/>
              <w:rPr>
                <w:rFonts w:asciiTheme="minorHAnsi" w:hAnsiTheme="minorHAnsi" w:cstheme="minorHAnsi"/>
                <w:b/>
                <w:bCs/>
                <w:szCs w:val="22"/>
              </w:rPr>
            </w:pPr>
          </w:p>
        </w:tc>
        <w:tc>
          <w:tcPr>
            <w:tcW w:w="5105" w:type="dxa"/>
            <w:gridSpan w:val="4"/>
            <w:tcBorders>
              <w:top w:val="single" w:sz="4" w:space="0" w:color="auto"/>
              <w:left w:val="nil"/>
              <w:bottom w:val="single" w:sz="4" w:space="0" w:color="auto"/>
              <w:right w:val="nil"/>
            </w:tcBorders>
            <w:shd w:val="clear" w:color="auto" w:fill="auto"/>
          </w:tcPr>
          <w:p w:rsidR="009005AD" w:rsidRPr="005A3796" w:rsidRDefault="009005AD" w:rsidP="000F0D93">
            <w:pPr>
              <w:keepNext/>
              <w:suppressAutoHyphens/>
              <w:jc w:val="center"/>
              <w:rPr>
                <w:rFonts w:asciiTheme="minorHAnsi" w:hAnsiTheme="minorHAnsi" w:cstheme="minorHAnsi"/>
                <w:b/>
                <w:bCs/>
                <w:szCs w:val="22"/>
              </w:rPr>
            </w:pPr>
            <w:r w:rsidRPr="005A3796">
              <w:rPr>
                <w:rFonts w:asciiTheme="minorHAnsi" w:hAnsiTheme="minorHAnsi" w:cstheme="minorHAnsi"/>
                <w:b/>
                <w:bCs/>
                <w:szCs w:val="22"/>
              </w:rPr>
              <w:t>Employment status, year t+1 (%)</w:t>
            </w:r>
          </w:p>
        </w:tc>
        <w:tc>
          <w:tcPr>
            <w:tcW w:w="1206" w:type="dxa"/>
            <w:vMerge w:val="restart"/>
            <w:tcBorders>
              <w:top w:val="single" w:sz="4" w:space="0" w:color="auto"/>
              <w:left w:val="nil"/>
              <w:right w:val="nil"/>
            </w:tcBorders>
            <w:shd w:val="clear" w:color="auto" w:fill="auto"/>
            <w:vAlign w:val="center"/>
          </w:tcPr>
          <w:p w:rsidR="009005AD" w:rsidRPr="005A3796" w:rsidRDefault="009005AD" w:rsidP="000F0D93">
            <w:pPr>
              <w:keepNext/>
              <w:suppressAutoHyphens/>
              <w:jc w:val="center"/>
              <w:rPr>
                <w:rFonts w:asciiTheme="minorHAnsi" w:hAnsiTheme="minorHAnsi" w:cstheme="minorHAnsi"/>
                <w:b/>
                <w:bCs/>
                <w:szCs w:val="22"/>
              </w:rPr>
            </w:pPr>
            <w:r w:rsidRPr="005A3796">
              <w:rPr>
                <w:rFonts w:asciiTheme="minorHAnsi" w:hAnsiTheme="minorHAnsi" w:cstheme="minorHAnsi"/>
                <w:b/>
                <w:bCs/>
                <w:szCs w:val="22"/>
              </w:rPr>
              <w:t>Sample size (n)</w:t>
            </w:r>
          </w:p>
        </w:tc>
      </w:tr>
      <w:tr w:rsidR="009005AD" w:rsidRPr="002C1370" w:rsidTr="000F0D93">
        <w:trPr>
          <w:trHeight w:val="667"/>
        </w:trPr>
        <w:tc>
          <w:tcPr>
            <w:tcW w:w="3004" w:type="dxa"/>
            <w:gridSpan w:val="2"/>
            <w:vMerge/>
            <w:tcBorders>
              <w:top w:val="single" w:sz="4" w:space="0" w:color="auto"/>
              <w:left w:val="nil"/>
              <w:bottom w:val="single" w:sz="4" w:space="0" w:color="auto"/>
              <w:right w:val="nil"/>
            </w:tcBorders>
            <w:shd w:val="clear" w:color="auto" w:fill="auto"/>
          </w:tcPr>
          <w:p w:rsidR="009005AD" w:rsidRPr="005A3796" w:rsidRDefault="009005AD" w:rsidP="000F0D93">
            <w:pPr>
              <w:keepNext/>
              <w:suppressAutoHyphens/>
              <w:jc w:val="center"/>
              <w:rPr>
                <w:rFonts w:asciiTheme="minorHAnsi" w:hAnsiTheme="minorHAnsi" w:cstheme="minorHAnsi"/>
                <w:b/>
                <w:bCs/>
                <w:szCs w:val="22"/>
              </w:rPr>
            </w:pPr>
          </w:p>
        </w:tc>
        <w:tc>
          <w:tcPr>
            <w:tcW w:w="1276" w:type="dxa"/>
            <w:tcBorders>
              <w:top w:val="single" w:sz="4" w:space="0" w:color="auto"/>
              <w:left w:val="nil"/>
              <w:bottom w:val="single" w:sz="4" w:space="0" w:color="auto"/>
              <w:right w:val="nil"/>
            </w:tcBorders>
            <w:shd w:val="clear" w:color="auto" w:fill="auto"/>
          </w:tcPr>
          <w:p w:rsidR="009005AD" w:rsidRPr="005A3796" w:rsidRDefault="009005AD" w:rsidP="000F0D93">
            <w:pPr>
              <w:keepNext/>
              <w:suppressAutoHyphens/>
              <w:jc w:val="center"/>
              <w:rPr>
                <w:rFonts w:asciiTheme="minorHAnsi" w:hAnsiTheme="minorHAnsi" w:cstheme="minorHAnsi"/>
                <w:i/>
                <w:szCs w:val="22"/>
              </w:rPr>
            </w:pPr>
            <w:r w:rsidRPr="005A3796">
              <w:rPr>
                <w:rFonts w:asciiTheme="minorHAnsi" w:hAnsiTheme="minorHAnsi" w:cstheme="minorHAnsi"/>
                <w:i/>
                <w:szCs w:val="22"/>
              </w:rPr>
              <w:t>Not employed</w:t>
            </w:r>
          </w:p>
        </w:tc>
        <w:tc>
          <w:tcPr>
            <w:tcW w:w="1276" w:type="dxa"/>
            <w:tcBorders>
              <w:top w:val="single" w:sz="4" w:space="0" w:color="auto"/>
              <w:left w:val="nil"/>
              <w:bottom w:val="single" w:sz="4" w:space="0" w:color="auto"/>
              <w:right w:val="nil"/>
            </w:tcBorders>
            <w:shd w:val="clear" w:color="auto" w:fill="auto"/>
          </w:tcPr>
          <w:p w:rsidR="009005AD" w:rsidRPr="005A3796" w:rsidRDefault="009005AD" w:rsidP="000F0D93">
            <w:pPr>
              <w:keepNext/>
              <w:suppressAutoHyphens/>
              <w:jc w:val="center"/>
              <w:rPr>
                <w:rFonts w:asciiTheme="minorHAnsi" w:hAnsiTheme="minorHAnsi" w:cstheme="minorHAnsi"/>
                <w:szCs w:val="22"/>
              </w:rPr>
            </w:pPr>
            <w:r w:rsidRPr="005A3796">
              <w:rPr>
                <w:rFonts w:asciiTheme="minorHAnsi" w:hAnsiTheme="minorHAnsi" w:cstheme="minorHAnsi"/>
                <w:szCs w:val="22"/>
              </w:rPr>
              <w:t>Low paid</w:t>
            </w:r>
          </w:p>
        </w:tc>
        <w:tc>
          <w:tcPr>
            <w:tcW w:w="1276" w:type="dxa"/>
            <w:tcBorders>
              <w:top w:val="single" w:sz="4" w:space="0" w:color="auto"/>
              <w:left w:val="nil"/>
              <w:bottom w:val="single" w:sz="4" w:space="0" w:color="auto"/>
              <w:right w:val="nil"/>
            </w:tcBorders>
            <w:shd w:val="clear" w:color="auto" w:fill="auto"/>
          </w:tcPr>
          <w:p w:rsidR="009005AD" w:rsidRPr="005A3796" w:rsidRDefault="009005AD" w:rsidP="000F0D93">
            <w:pPr>
              <w:keepNext/>
              <w:suppressAutoHyphens/>
              <w:jc w:val="center"/>
              <w:rPr>
                <w:rFonts w:asciiTheme="minorHAnsi" w:hAnsiTheme="minorHAnsi" w:cstheme="minorHAnsi"/>
                <w:szCs w:val="22"/>
              </w:rPr>
            </w:pPr>
            <w:r w:rsidRPr="005A3796">
              <w:rPr>
                <w:rFonts w:asciiTheme="minorHAnsi" w:hAnsiTheme="minorHAnsi" w:cstheme="minorHAnsi"/>
                <w:szCs w:val="22"/>
              </w:rPr>
              <w:t>Higher paid</w:t>
            </w:r>
          </w:p>
        </w:tc>
        <w:tc>
          <w:tcPr>
            <w:tcW w:w="1277" w:type="dxa"/>
            <w:tcBorders>
              <w:top w:val="single" w:sz="4" w:space="0" w:color="auto"/>
              <w:left w:val="nil"/>
              <w:bottom w:val="single" w:sz="4" w:space="0" w:color="auto"/>
              <w:right w:val="nil"/>
            </w:tcBorders>
            <w:shd w:val="clear" w:color="auto" w:fill="auto"/>
          </w:tcPr>
          <w:p w:rsidR="009005AD" w:rsidRPr="005A3796" w:rsidRDefault="009005AD" w:rsidP="000F0D93">
            <w:pPr>
              <w:keepNext/>
              <w:suppressAutoHyphens/>
              <w:jc w:val="center"/>
              <w:rPr>
                <w:rFonts w:asciiTheme="minorHAnsi" w:hAnsiTheme="minorHAnsi" w:cstheme="minorHAnsi"/>
                <w:i/>
                <w:szCs w:val="22"/>
              </w:rPr>
            </w:pPr>
            <w:r w:rsidRPr="005A3796">
              <w:rPr>
                <w:rFonts w:asciiTheme="minorHAnsi" w:hAnsiTheme="minorHAnsi" w:cstheme="minorHAnsi"/>
                <w:i/>
                <w:szCs w:val="22"/>
              </w:rPr>
              <w:t>Total employed</w:t>
            </w:r>
          </w:p>
        </w:tc>
        <w:tc>
          <w:tcPr>
            <w:tcW w:w="1206" w:type="dxa"/>
            <w:vMerge/>
            <w:tcBorders>
              <w:left w:val="nil"/>
              <w:bottom w:val="single" w:sz="4" w:space="0" w:color="auto"/>
              <w:right w:val="nil"/>
            </w:tcBorders>
            <w:shd w:val="clear" w:color="auto" w:fill="auto"/>
          </w:tcPr>
          <w:p w:rsidR="009005AD" w:rsidRPr="005A3796" w:rsidRDefault="009005AD" w:rsidP="000F0D93">
            <w:pPr>
              <w:keepNext/>
              <w:suppressAutoHyphens/>
              <w:jc w:val="center"/>
              <w:rPr>
                <w:rFonts w:asciiTheme="minorHAnsi" w:hAnsiTheme="minorHAnsi" w:cstheme="minorHAnsi"/>
                <w:szCs w:val="22"/>
              </w:rPr>
            </w:pPr>
          </w:p>
        </w:tc>
      </w:tr>
      <w:tr w:rsidR="009005AD" w:rsidRPr="002C1370" w:rsidTr="000F0D93">
        <w:trPr>
          <w:trHeight w:hRule="exact" w:val="397"/>
        </w:trPr>
        <w:tc>
          <w:tcPr>
            <w:tcW w:w="1385" w:type="dxa"/>
            <w:vMerge w:val="restart"/>
            <w:tcBorders>
              <w:top w:val="single" w:sz="4" w:space="0" w:color="auto"/>
            </w:tcBorders>
            <w:shd w:val="clear" w:color="auto" w:fill="auto"/>
            <w:vAlign w:val="center"/>
          </w:tcPr>
          <w:p w:rsidR="009005AD" w:rsidRPr="005A3796" w:rsidRDefault="009005AD" w:rsidP="000F0D93">
            <w:pPr>
              <w:keepNext/>
              <w:suppressAutoHyphens/>
              <w:jc w:val="center"/>
              <w:rPr>
                <w:rFonts w:asciiTheme="minorHAnsi" w:hAnsiTheme="minorHAnsi" w:cstheme="minorHAnsi"/>
                <w:b/>
                <w:bCs/>
                <w:szCs w:val="22"/>
              </w:rPr>
            </w:pPr>
            <w:r w:rsidRPr="005A3796">
              <w:rPr>
                <w:rFonts w:asciiTheme="minorHAnsi" w:hAnsiTheme="minorHAnsi" w:cstheme="minorHAnsi"/>
                <w:b/>
                <w:bCs/>
                <w:szCs w:val="22"/>
              </w:rPr>
              <w:t>Employment status,    year t</w:t>
            </w:r>
          </w:p>
        </w:tc>
        <w:tc>
          <w:tcPr>
            <w:tcW w:w="1619" w:type="dxa"/>
            <w:tcBorders>
              <w:top w:val="single" w:sz="4" w:space="0" w:color="auto"/>
            </w:tcBorders>
            <w:shd w:val="clear" w:color="auto" w:fill="DBE5F1" w:themeFill="accent1" w:themeFillTint="33"/>
            <w:vAlign w:val="center"/>
          </w:tcPr>
          <w:p w:rsidR="009005AD" w:rsidRPr="005A3796" w:rsidRDefault="009005AD" w:rsidP="000F0D93">
            <w:pPr>
              <w:keepNext/>
              <w:suppressAutoHyphens/>
              <w:jc w:val="center"/>
              <w:rPr>
                <w:rFonts w:asciiTheme="minorHAnsi" w:hAnsiTheme="minorHAnsi" w:cstheme="minorHAnsi"/>
                <w:i/>
                <w:szCs w:val="22"/>
              </w:rPr>
            </w:pPr>
            <w:r w:rsidRPr="005A3796">
              <w:rPr>
                <w:rFonts w:asciiTheme="minorHAnsi" w:hAnsiTheme="minorHAnsi" w:cstheme="minorHAnsi"/>
                <w:szCs w:val="22"/>
              </w:rPr>
              <w:t>NILF</w:t>
            </w:r>
          </w:p>
        </w:tc>
        <w:tc>
          <w:tcPr>
            <w:tcW w:w="1276" w:type="dxa"/>
            <w:tcBorders>
              <w:top w:val="single"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84.7</w:t>
            </w:r>
          </w:p>
        </w:tc>
        <w:tc>
          <w:tcPr>
            <w:tcW w:w="1276" w:type="dxa"/>
            <w:tcBorders>
              <w:top w:val="single"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color w:val="000000"/>
                <w:szCs w:val="22"/>
              </w:rPr>
            </w:pPr>
            <w:r w:rsidRPr="005A3796">
              <w:rPr>
                <w:rFonts w:asciiTheme="minorHAnsi" w:hAnsiTheme="minorHAnsi" w:cstheme="minorHAnsi"/>
                <w:color w:val="000000"/>
                <w:szCs w:val="22"/>
              </w:rPr>
              <w:t>5.5</w:t>
            </w:r>
          </w:p>
        </w:tc>
        <w:tc>
          <w:tcPr>
            <w:tcW w:w="1276" w:type="dxa"/>
            <w:tcBorders>
              <w:top w:val="single"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color w:val="000000"/>
                <w:szCs w:val="22"/>
              </w:rPr>
            </w:pPr>
            <w:r w:rsidRPr="005A3796">
              <w:rPr>
                <w:rFonts w:asciiTheme="minorHAnsi" w:hAnsiTheme="minorHAnsi" w:cstheme="minorHAnsi"/>
                <w:color w:val="000000"/>
                <w:szCs w:val="22"/>
              </w:rPr>
              <w:t>9.8</w:t>
            </w:r>
          </w:p>
        </w:tc>
        <w:tc>
          <w:tcPr>
            <w:tcW w:w="1277" w:type="dxa"/>
            <w:tcBorders>
              <w:top w:val="single"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15.3</w:t>
            </w:r>
          </w:p>
        </w:tc>
        <w:tc>
          <w:tcPr>
            <w:tcW w:w="1206" w:type="dxa"/>
            <w:tcBorders>
              <w:top w:val="single"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24 066</w:t>
            </w:r>
          </w:p>
        </w:tc>
      </w:tr>
      <w:tr w:rsidR="009005AD" w:rsidRPr="002C1370" w:rsidTr="000F0D93">
        <w:trPr>
          <w:trHeight w:hRule="exact" w:val="397"/>
        </w:trPr>
        <w:tc>
          <w:tcPr>
            <w:tcW w:w="1385" w:type="dxa"/>
            <w:vMerge/>
            <w:shd w:val="clear" w:color="auto" w:fill="D3DFEE"/>
            <w:vAlign w:val="center"/>
          </w:tcPr>
          <w:p w:rsidR="009005AD" w:rsidRPr="005A3796" w:rsidRDefault="009005AD" w:rsidP="000F0D93">
            <w:pPr>
              <w:keepNext/>
              <w:suppressAutoHyphens/>
              <w:rPr>
                <w:rFonts w:asciiTheme="minorHAnsi" w:hAnsiTheme="minorHAnsi" w:cstheme="minorHAnsi"/>
                <w:b/>
                <w:bCs/>
                <w:szCs w:val="22"/>
              </w:rPr>
            </w:pPr>
          </w:p>
        </w:tc>
        <w:tc>
          <w:tcPr>
            <w:tcW w:w="1619" w:type="dxa"/>
            <w:tcBorders>
              <w:top w:val="nil"/>
              <w:bottom w:val="dotted" w:sz="4" w:space="0" w:color="auto"/>
              <w:right w:val="nil"/>
            </w:tcBorders>
            <w:shd w:val="clear" w:color="auto" w:fill="auto"/>
            <w:vAlign w:val="center"/>
          </w:tcPr>
          <w:p w:rsidR="009005AD" w:rsidRPr="005A3796" w:rsidRDefault="009005AD" w:rsidP="000F0D93">
            <w:pPr>
              <w:keepNext/>
              <w:suppressAutoHyphens/>
              <w:jc w:val="center"/>
              <w:rPr>
                <w:rFonts w:asciiTheme="minorHAnsi" w:hAnsiTheme="minorHAnsi" w:cstheme="minorHAnsi"/>
                <w:szCs w:val="22"/>
              </w:rPr>
            </w:pPr>
            <w:r w:rsidRPr="005A3796">
              <w:rPr>
                <w:rFonts w:asciiTheme="minorHAnsi" w:hAnsiTheme="minorHAnsi" w:cstheme="minorHAnsi"/>
                <w:szCs w:val="22"/>
              </w:rPr>
              <w:t>Unemployed</w:t>
            </w:r>
          </w:p>
        </w:tc>
        <w:tc>
          <w:tcPr>
            <w:tcW w:w="1276" w:type="dxa"/>
            <w:tcBorders>
              <w:top w:val="nil"/>
              <w:bottom w:val="dotted" w:sz="4" w:space="0" w:color="auto"/>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53.9</w:t>
            </w:r>
          </w:p>
        </w:tc>
        <w:tc>
          <w:tcPr>
            <w:tcW w:w="1276" w:type="dxa"/>
            <w:tcBorders>
              <w:top w:val="nil"/>
              <w:left w:val="nil"/>
              <w:bottom w:val="dotted" w:sz="4" w:space="0" w:color="auto"/>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color w:val="000000"/>
                <w:szCs w:val="22"/>
              </w:rPr>
            </w:pPr>
            <w:r w:rsidRPr="005A3796">
              <w:rPr>
                <w:rFonts w:asciiTheme="minorHAnsi" w:hAnsiTheme="minorHAnsi" w:cstheme="minorHAnsi"/>
                <w:color w:val="000000"/>
                <w:szCs w:val="22"/>
              </w:rPr>
              <w:t>16.2</w:t>
            </w:r>
          </w:p>
        </w:tc>
        <w:tc>
          <w:tcPr>
            <w:tcW w:w="1276" w:type="dxa"/>
            <w:tcBorders>
              <w:top w:val="nil"/>
              <w:left w:val="nil"/>
              <w:bottom w:val="dotted" w:sz="4" w:space="0" w:color="auto"/>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color w:val="000000"/>
                <w:szCs w:val="22"/>
              </w:rPr>
            </w:pPr>
            <w:r w:rsidRPr="005A3796">
              <w:rPr>
                <w:rFonts w:asciiTheme="minorHAnsi" w:hAnsiTheme="minorHAnsi" w:cstheme="minorHAnsi"/>
                <w:color w:val="000000"/>
                <w:szCs w:val="22"/>
              </w:rPr>
              <w:t>29.9</w:t>
            </w:r>
          </w:p>
        </w:tc>
        <w:tc>
          <w:tcPr>
            <w:tcW w:w="1277" w:type="dxa"/>
            <w:tcBorders>
              <w:top w:val="nil"/>
              <w:left w:val="nil"/>
              <w:bottom w:val="dotted" w:sz="4" w:space="0" w:color="auto"/>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46.1</w:t>
            </w:r>
          </w:p>
        </w:tc>
        <w:tc>
          <w:tcPr>
            <w:tcW w:w="1206" w:type="dxa"/>
            <w:tcBorders>
              <w:top w:val="nil"/>
              <w:left w:val="nil"/>
              <w:bottom w:val="dotted" w:sz="4" w:space="0" w:color="auto"/>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4236</w:t>
            </w:r>
          </w:p>
        </w:tc>
      </w:tr>
      <w:tr w:rsidR="009005AD" w:rsidRPr="002C1370" w:rsidTr="000F0D93">
        <w:trPr>
          <w:trHeight w:hRule="exact" w:val="397"/>
        </w:trPr>
        <w:tc>
          <w:tcPr>
            <w:tcW w:w="1385" w:type="dxa"/>
            <w:vMerge/>
            <w:shd w:val="clear" w:color="auto" w:fill="D3DFEE"/>
            <w:vAlign w:val="center"/>
          </w:tcPr>
          <w:p w:rsidR="009005AD" w:rsidRPr="005A3796" w:rsidRDefault="009005AD" w:rsidP="000F0D93">
            <w:pPr>
              <w:keepNext/>
              <w:suppressAutoHyphens/>
              <w:rPr>
                <w:rFonts w:asciiTheme="minorHAnsi" w:hAnsiTheme="minorHAnsi" w:cstheme="minorHAnsi"/>
                <w:b/>
                <w:bCs/>
                <w:szCs w:val="22"/>
              </w:rPr>
            </w:pPr>
          </w:p>
        </w:tc>
        <w:tc>
          <w:tcPr>
            <w:tcW w:w="1619" w:type="dxa"/>
            <w:tcBorders>
              <w:top w:val="dotted" w:sz="4" w:space="0" w:color="auto"/>
              <w:bottom w:val="dotted" w:sz="4" w:space="0" w:color="auto"/>
              <w:right w:val="nil"/>
            </w:tcBorders>
            <w:shd w:val="clear" w:color="auto" w:fill="DBE5F1" w:themeFill="accent1" w:themeFillTint="33"/>
            <w:vAlign w:val="center"/>
          </w:tcPr>
          <w:p w:rsidR="009005AD" w:rsidRPr="005A3796" w:rsidRDefault="009005AD" w:rsidP="000F0D93">
            <w:pPr>
              <w:keepNext/>
              <w:suppressAutoHyphens/>
              <w:jc w:val="center"/>
              <w:rPr>
                <w:rFonts w:asciiTheme="minorHAnsi" w:hAnsiTheme="minorHAnsi" w:cstheme="minorHAnsi"/>
                <w:szCs w:val="22"/>
              </w:rPr>
            </w:pPr>
            <w:r w:rsidRPr="005A3796">
              <w:rPr>
                <w:rFonts w:asciiTheme="minorHAnsi" w:hAnsiTheme="minorHAnsi" w:cstheme="minorHAnsi"/>
                <w:i/>
                <w:szCs w:val="22"/>
              </w:rPr>
              <w:t>Total not emp.</w:t>
            </w:r>
          </w:p>
        </w:tc>
        <w:tc>
          <w:tcPr>
            <w:tcW w:w="1276" w:type="dxa"/>
            <w:tcBorders>
              <w:top w:val="dotted" w:sz="4" w:space="0" w:color="auto"/>
              <w:bottom w:val="dotted" w:sz="4" w:space="0" w:color="auto"/>
              <w:right w:val="nil"/>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80.1</w:t>
            </w:r>
          </w:p>
        </w:tc>
        <w:tc>
          <w:tcPr>
            <w:tcW w:w="1276" w:type="dxa"/>
            <w:tcBorders>
              <w:top w:val="dotted" w:sz="4" w:space="0" w:color="auto"/>
              <w:left w:val="nil"/>
              <w:bottom w:val="dotted" w:sz="4" w:space="0" w:color="auto"/>
              <w:right w:val="nil"/>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b/>
                <w:i/>
                <w:color w:val="000000"/>
                <w:szCs w:val="22"/>
              </w:rPr>
            </w:pPr>
            <w:r w:rsidRPr="005A3796">
              <w:rPr>
                <w:rFonts w:asciiTheme="minorHAnsi" w:hAnsiTheme="minorHAnsi" w:cstheme="minorHAnsi"/>
                <w:b/>
                <w:color w:val="000000"/>
                <w:szCs w:val="22"/>
              </w:rPr>
              <w:t>7.1</w:t>
            </w:r>
          </w:p>
        </w:tc>
        <w:tc>
          <w:tcPr>
            <w:tcW w:w="1276" w:type="dxa"/>
            <w:tcBorders>
              <w:top w:val="dotted" w:sz="4" w:space="0" w:color="auto"/>
              <w:left w:val="nil"/>
              <w:bottom w:val="dotted" w:sz="4" w:space="0" w:color="auto"/>
              <w:right w:val="nil"/>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color w:val="000000"/>
                <w:szCs w:val="22"/>
              </w:rPr>
              <w:t>12.8</w:t>
            </w:r>
          </w:p>
        </w:tc>
        <w:tc>
          <w:tcPr>
            <w:tcW w:w="1277" w:type="dxa"/>
            <w:tcBorders>
              <w:top w:val="dotted" w:sz="4" w:space="0" w:color="auto"/>
              <w:left w:val="nil"/>
              <w:bottom w:val="dotted" w:sz="4" w:space="0" w:color="auto"/>
              <w:right w:val="nil"/>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b/>
                <w:i/>
                <w:color w:val="000000"/>
                <w:szCs w:val="22"/>
              </w:rPr>
            </w:pPr>
            <w:r w:rsidRPr="005A3796">
              <w:rPr>
                <w:rFonts w:asciiTheme="minorHAnsi" w:hAnsiTheme="minorHAnsi" w:cstheme="minorHAnsi"/>
                <w:b/>
                <w:i/>
                <w:color w:val="000000"/>
                <w:szCs w:val="22"/>
              </w:rPr>
              <w:t>19.9</w:t>
            </w:r>
          </w:p>
        </w:tc>
        <w:tc>
          <w:tcPr>
            <w:tcW w:w="1206" w:type="dxa"/>
            <w:tcBorders>
              <w:top w:val="dotted" w:sz="4" w:space="0" w:color="auto"/>
              <w:left w:val="nil"/>
              <w:bottom w:val="dotted" w:sz="4" w:space="0" w:color="auto"/>
              <w:right w:val="nil"/>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28 302</w:t>
            </w:r>
          </w:p>
        </w:tc>
      </w:tr>
      <w:tr w:rsidR="009005AD" w:rsidRPr="002C1370" w:rsidTr="000F0D93">
        <w:trPr>
          <w:trHeight w:hRule="exact" w:val="397"/>
        </w:trPr>
        <w:tc>
          <w:tcPr>
            <w:tcW w:w="1385" w:type="dxa"/>
            <w:vMerge/>
            <w:shd w:val="clear" w:color="auto" w:fill="D3DFEE"/>
            <w:vAlign w:val="center"/>
          </w:tcPr>
          <w:p w:rsidR="009005AD" w:rsidRPr="005A3796" w:rsidRDefault="009005AD" w:rsidP="000F0D93">
            <w:pPr>
              <w:keepNext/>
              <w:suppressAutoHyphens/>
              <w:rPr>
                <w:rFonts w:asciiTheme="minorHAnsi" w:hAnsiTheme="minorHAnsi" w:cstheme="minorHAnsi"/>
                <w:b/>
                <w:bCs/>
                <w:szCs w:val="22"/>
              </w:rPr>
            </w:pPr>
          </w:p>
        </w:tc>
        <w:tc>
          <w:tcPr>
            <w:tcW w:w="1619" w:type="dxa"/>
            <w:tcBorders>
              <w:top w:val="dotted" w:sz="4" w:space="0" w:color="auto"/>
              <w:bottom w:val="nil"/>
              <w:right w:val="nil"/>
            </w:tcBorders>
            <w:shd w:val="clear" w:color="auto" w:fill="auto"/>
            <w:vAlign w:val="center"/>
          </w:tcPr>
          <w:p w:rsidR="009005AD" w:rsidRPr="005A3796" w:rsidRDefault="009005AD" w:rsidP="000F0D93">
            <w:pPr>
              <w:keepNext/>
              <w:suppressAutoHyphens/>
              <w:jc w:val="center"/>
              <w:rPr>
                <w:rFonts w:asciiTheme="minorHAnsi" w:hAnsiTheme="minorHAnsi" w:cstheme="minorHAnsi"/>
                <w:szCs w:val="22"/>
              </w:rPr>
            </w:pPr>
            <w:r w:rsidRPr="005A3796">
              <w:rPr>
                <w:rFonts w:asciiTheme="minorHAnsi" w:hAnsiTheme="minorHAnsi" w:cstheme="minorHAnsi"/>
                <w:szCs w:val="22"/>
              </w:rPr>
              <w:t>Low paid</w:t>
            </w:r>
          </w:p>
        </w:tc>
        <w:tc>
          <w:tcPr>
            <w:tcW w:w="1276" w:type="dxa"/>
            <w:tcBorders>
              <w:top w:val="dotted" w:sz="4" w:space="0" w:color="auto"/>
              <w:bottom w:val="nil"/>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13.5</w:t>
            </w:r>
          </w:p>
        </w:tc>
        <w:tc>
          <w:tcPr>
            <w:tcW w:w="1276" w:type="dxa"/>
            <w:tcBorders>
              <w:top w:val="dotted" w:sz="4" w:space="0" w:color="auto"/>
              <w:left w:val="nil"/>
              <w:bottom w:val="nil"/>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color w:val="000000"/>
                <w:szCs w:val="22"/>
              </w:rPr>
            </w:pPr>
            <w:r w:rsidRPr="005A3796">
              <w:rPr>
                <w:rFonts w:asciiTheme="minorHAnsi" w:hAnsiTheme="minorHAnsi" w:cstheme="minorHAnsi"/>
                <w:color w:val="000000"/>
                <w:szCs w:val="22"/>
              </w:rPr>
              <w:t>42.0</w:t>
            </w:r>
          </w:p>
        </w:tc>
        <w:tc>
          <w:tcPr>
            <w:tcW w:w="1276" w:type="dxa"/>
            <w:tcBorders>
              <w:top w:val="dotted" w:sz="4" w:space="0" w:color="auto"/>
              <w:left w:val="nil"/>
              <w:bottom w:val="nil"/>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color w:val="000000"/>
                <w:szCs w:val="22"/>
              </w:rPr>
            </w:pPr>
            <w:r w:rsidRPr="005A3796">
              <w:rPr>
                <w:rFonts w:asciiTheme="minorHAnsi" w:hAnsiTheme="minorHAnsi" w:cstheme="minorHAnsi"/>
                <w:color w:val="000000"/>
                <w:szCs w:val="22"/>
              </w:rPr>
              <w:t>44.5</w:t>
            </w:r>
          </w:p>
        </w:tc>
        <w:tc>
          <w:tcPr>
            <w:tcW w:w="1277" w:type="dxa"/>
            <w:tcBorders>
              <w:top w:val="dotted" w:sz="4" w:space="0" w:color="auto"/>
              <w:left w:val="nil"/>
              <w:bottom w:val="nil"/>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86.5</w:t>
            </w:r>
          </w:p>
        </w:tc>
        <w:tc>
          <w:tcPr>
            <w:tcW w:w="1206" w:type="dxa"/>
            <w:tcBorders>
              <w:top w:val="dotted" w:sz="4" w:space="0" w:color="auto"/>
              <w:left w:val="nil"/>
              <w:bottom w:val="nil"/>
              <w:right w:val="nil"/>
            </w:tcBorders>
            <w:shd w:val="clear" w:color="auto" w:fill="auto"/>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10 327</w:t>
            </w:r>
          </w:p>
        </w:tc>
      </w:tr>
      <w:tr w:rsidR="009005AD" w:rsidRPr="002C1370" w:rsidTr="000F0D93">
        <w:trPr>
          <w:trHeight w:hRule="exact" w:val="397"/>
        </w:trPr>
        <w:tc>
          <w:tcPr>
            <w:tcW w:w="1385" w:type="dxa"/>
            <w:vMerge/>
            <w:shd w:val="clear" w:color="auto" w:fill="auto"/>
            <w:vAlign w:val="center"/>
          </w:tcPr>
          <w:p w:rsidR="009005AD" w:rsidRPr="005A3796" w:rsidRDefault="009005AD" w:rsidP="000F0D93">
            <w:pPr>
              <w:keepNext/>
              <w:suppressAutoHyphens/>
              <w:rPr>
                <w:rFonts w:asciiTheme="minorHAnsi" w:hAnsiTheme="minorHAnsi" w:cstheme="minorHAnsi"/>
                <w:b/>
                <w:bCs/>
                <w:szCs w:val="22"/>
              </w:rPr>
            </w:pPr>
          </w:p>
        </w:tc>
        <w:tc>
          <w:tcPr>
            <w:tcW w:w="1619" w:type="dxa"/>
            <w:tcBorders>
              <w:top w:val="nil"/>
              <w:bottom w:val="dotted" w:sz="4" w:space="0" w:color="auto"/>
            </w:tcBorders>
            <w:shd w:val="clear" w:color="auto" w:fill="DBE5F1" w:themeFill="accent1" w:themeFillTint="33"/>
            <w:vAlign w:val="center"/>
          </w:tcPr>
          <w:p w:rsidR="009005AD" w:rsidRPr="005A3796" w:rsidRDefault="009005AD" w:rsidP="000F0D93">
            <w:pPr>
              <w:keepNext/>
              <w:suppressAutoHyphens/>
              <w:jc w:val="center"/>
              <w:rPr>
                <w:rFonts w:asciiTheme="minorHAnsi" w:hAnsiTheme="minorHAnsi" w:cstheme="minorHAnsi"/>
                <w:szCs w:val="22"/>
              </w:rPr>
            </w:pPr>
            <w:r w:rsidRPr="005A3796">
              <w:rPr>
                <w:rFonts w:asciiTheme="minorHAnsi" w:hAnsiTheme="minorHAnsi" w:cstheme="minorHAnsi"/>
                <w:szCs w:val="22"/>
              </w:rPr>
              <w:t>Higher paid</w:t>
            </w:r>
          </w:p>
        </w:tc>
        <w:tc>
          <w:tcPr>
            <w:tcW w:w="1276" w:type="dxa"/>
            <w:tcBorders>
              <w:top w:val="nil"/>
              <w:bottom w:val="dotted"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6.4</w:t>
            </w:r>
          </w:p>
        </w:tc>
        <w:tc>
          <w:tcPr>
            <w:tcW w:w="1276" w:type="dxa"/>
            <w:tcBorders>
              <w:top w:val="nil"/>
              <w:bottom w:val="dotted"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color w:val="000000"/>
                <w:szCs w:val="22"/>
              </w:rPr>
            </w:pPr>
            <w:r w:rsidRPr="005A3796">
              <w:rPr>
                <w:rFonts w:asciiTheme="minorHAnsi" w:hAnsiTheme="minorHAnsi" w:cstheme="minorHAnsi"/>
                <w:color w:val="000000"/>
                <w:szCs w:val="22"/>
              </w:rPr>
              <w:t>7.4</w:t>
            </w:r>
          </w:p>
        </w:tc>
        <w:tc>
          <w:tcPr>
            <w:tcW w:w="1276" w:type="dxa"/>
            <w:tcBorders>
              <w:top w:val="nil"/>
              <w:bottom w:val="dotted"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color w:val="000000"/>
                <w:szCs w:val="22"/>
              </w:rPr>
            </w:pPr>
            <w:r w:rsidRPr="005A3796">
              <w:rPr>
                <w:rFonts w:asciiTheme="minorHAnsi" w:hAnsiTheme="minorHAnsi" w:cstheme="minorHAnsi"/>
                <w:color w:val="000000"/>
                <w:szCs w:val="22"/>
              </w:rPr>
              <w:t>86.2</w:t>
            </w:r>
          </w:p>
        </w:tc>
        <w:tc>
          <w:tcPr>
            <w:tcW w:w="1277" w:type="dxa"/>
            <w:tcBorders>
              <w:top w:val="nil"/>
              <w:bottom w:val="dotted"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93.6</w:t>
            </w:r>
          </w:p>
        </w:tc>
        <w:tc>
          <w:tcPr>
            <w:tcW w:w="1206" w:type="dxa"/>
            <w:tcBorders>
              <w:top w:val="nil"/>
              <w:bottom w:val="dotted" w:sz="4" w:space="0" w:color="auto"/>
            </w:tcBorders>
            <w:shd w:val="clear" w:color="auto" w:fill="DBE5F1" w:themeFill="accent1" w:themeFillTint="33"/>
            <w:vAlign w:val="center"/>
          </w:tcPr>
          <w:p w:rsidR="009005AD" w:rsidRPr="005A3796" w:rsidRDefault="009005AD" w:rsidP="000F0D93">
            <w:pPr>
              <w:keepNext/>
              <w:jc w:val="center"/>
              <w:rPr>
                <w:rFonts w:asciiTheme="minorHAnsi" w:eastAsiaTheme="minorHAnsi" w:hAnsiTheme="minorHAnsi" w:cstheme="minorHAnsi"/>
                <w:i/>
                <w:color w:val="000000"/>
                <w:szCs w:val="22"/>
              </w:rPr>
            </w:pPr>
            <w:r w:rsidRPr="005A3796">
              <w:rPr>
                <w:rFonts w:asciiTheme="minorHAnsi" w:hAnsiTheme="minorHAnsi" w:cstheme="minorHAnsi"/>
                <w:i/>
                <w:color w:val="000000"/>
                <w:szCs w:val="22"/>
              </w:rPr>
              <w:t>54 856</w:t>
            </w:r>
          </w:p>
        </w:tc>
      </w:tr>
      <w:tr w:rsidR="009005AD" w:rsidRPr="002C1370" w:rsidTr="000F0D93">
        <w:trPr>
          <w:trHeight w:hRule="exact" w:val="397"/>
        </w:trPr>
        <w:tc>
          <w:tcPr>
            <w:tcW w:w="1385" w:type="dxa"/>
            <w:vMerge/>
            <w:tcBorders>
              <w:bottom w:val="single" w:sz="4" w:space="0" w:color="auto"/>
            </w:tcBorders>
            <w:shd w:val="clear" w:color="auto" w:fill="auto"/>
            <w:vAlign w:val="center"/>
          </w:tcPr>
          <w:p w:rsidR="009005AD" w:rsidRPr="005A3796" w:rsidRDefault="009005AD" w:rsidP="000F0D93">
            <w:pPr>
              <w:keepNext/>
              <w:suppressAutoHyphens/>
              <w:rPr>
                <w:rFonts w:asciiTheme="minorHAnsi" w:hAnsiTheme="minorHAnsi" w:cstheme="minorHAnsi"/>
                <w:b/>
                <w:bCs/>
                <w:szCs w:val="22"/>
              </w:rPr>
            </w:pPr>
          </w:p>
        </w:tc>
        <w:tc>
          <w:tcPr>
            <w:tcW w:w="1619" w:type="dxa"/>
            <w:tcBorders>
              <w:top w:val="dotted" w:sz="4" w:space="0" w:color="auto"/>
              <w:bottom w:val="single" w:sz="4" w:space="0" w:color="auto"/>
            </w:tcBorders>
            <w:shd w:val="clear" w:color="auto" w:fill="auto"/>
            <w:vAlign w:val="center"/>
          </w:tcPr>
          <w:p w:rsidR="009005AD" w:rsidRPr="005A3796" w:rsidRDefault="009005AD" w:rsidP="000F0D93">
            <w:pPr>
              <w:keepNext/>
              <w:suppressAutoHyphens/>
              <w:jc w:val="center"/>
              <w:rPr>
                <w:rFonts w:asciiTheme="minorHAnsi" w:hAnsiTheme="minorHAnsi" w:cstheme="minorHAnsi"/>
                <w:i/>
                <w:szCs w:val="22"/>
              </w:rPr>
            </w:pPr>
            <w:r w:rsidRPr="005A3796">
              <w:rPr>
                <w:rFonts w:asciiTheme="minorHAnsi" w:hAnsiTheme="minorHAnsi" w:cstheme="minorHAnsi"/>
                <w:i/>
                <w:szCs w:val="22"/>
              </w:rPr>
              <w:t>Total employed</w:t>
            </w:r>
          </w:p>
        </w:tc>
        <w:tc>
          <w:tcPr>
            <w:tcW w:w="1276" w:type="dxa"/>
            <w:tcBorders>
              <w:top w:val="dotted" w:sz="4" w:space="0" w:color="auto"/>
              <w:bottom w:val="single" w:sz="4" w:space="0" w:color="auto"/>
            </w:tcBorders>
            <w:shd w:val="clear" w:color="auto" w:fill="auto"/>
            <w:vAlign w:val="center"/>
          </w:tcPr>
          <w:p w:rsidR="009005AD" w:rsidRPr="005A3796" w:rsidRDefault="009005AD" w:rsidP="000F0D93">
            <w:pPr>
              <w:keepNext/>
              <w:jc w:val="center"/>
              <w:rPr>
                <w:rFonts w:asciiTheme="minorHAnsi" w:hAnsiTheme="minorHAnsi" w:cstheme="minorHAnsi"/>
                <w:i/>
                <w:color w:val="000000"/>
                <w:szCs w:val="22"/>
              </w:rPr>
            </w:pPr>
            <w:r w:rsidRPr="005A3796">
              <w:rPr>
                <w:rFonts w:asciiTheme="minorHAnsi" w:hAnsiTheme="minorHAnsi" w:cstheme="minorHAnsi"/>
                <w:i/>
                <w:color w:val="000000"/>
                <w:szCs w:val="22"/>
              </w:rPr>
              <w:t>7.6</w:t>
            </w:r>
          </w:p>
        </w:tc>
        <w:tc>
          <w:tcPr>
            <w:tcW w:w="1276" w:type="dxa"/>
            <w:tcBorders>
              <w:top w:val="dotted" w:sz="4" w:space="0" w:color="auto"/>
              <w:bottom w:val="single" w:sz="4" w:space="0" w:color="auto"/>
            </w:tcBorders>
            <w:shd w:val="clear" w:color="auto" w:fill="auto"/>
            <w:vAlign w:val="center"/>
          </w:tcPr>
          <w:p w:rsidR="009005AD" w:rsidRPr="005A3796" w:rsidRDefault="009005AD" w:rsidP="000F0D93">
            <w:pPr>
              <w:keepNext/>
              <w:jc w:val="center"/>
              <w:rPr>
                <w:rFonts w:asciiTheme="minorHAnsi" w:hAnsiTheme="minorHAnsi" w:cstheme="minorHAnsi"/>
                <w:b/>
                <w:i/>
                <w:color w:val="000000"/>
                <w:szCs w:val="22"/>
              </w:rPr>
            </w:pPr>
            <w:r w:rsidRPr="005A3796">
              <w:rPr>
                <w:rFonts w:asciiTheme="minorHAnsi" w:hAnsiTheme="minorHAnsi" w:cstheme="minorHAnsi"/>
                <w:b/>
                <w:i/>
                <w:color w:val="000000"/>
                <w:szCs w:val="22"/>
              </w:rPr>
              <w:t>12.9</w:t>
            </w:r>
          </w:p>
        </w:tc>
        <w:tc>
          <w:tcPr>
            <w:tcW w:w="1276" w:type="dxa"/>
            <w:tcBorders>
              <w:top w:val="dotted" w:sz="4" w:space="0" w:color="auto"/>
              <w:bottom w:val="single" w:sz="4" w:space="0" w:color="auto"/>
            </w:tcBorders>
            <w:shd w:val="clear" w:color="auto" w:fill="auto"/>
            <w:vAlign w:val="center"/>
          </w:tcPr>
          <w:p w:rsidR="009005AD" w:rsidRPr="005A3796" w:rsidRDefault="009005AD" w:rsidP="000F0D93">
            <w:pPr>
              <w:keepNext/>
              <w:jc w:val="center"/>
              <w:rPr>
                <w:rFonts w:asciiTheme="minorHAnsi" w:hAnsiTheme="minorHAnsi" w:cstheme="minorHAnsi"/>
                <w:i/>
                <w:color w:val="000000"/>
                <w:szCs w:val="22"/>
              </w:rPr>
            </w:pPr>
            <w:r w:rsidRPr="005A3796">
              <w:rPr>
                <w:rFonts w:asciiTheme="minorHAnsi" w:hAnsiTheme="minorHAnsi" w:cstheme="minorHAnsi"/>
                <w:i/>
                <w:color w:val="000000"/>
                <w:szCs w:val="22"/>
              </w:rPr>
              <w:t>79.6</w:t>
            </w:r>
          </w:p>
        </w:tc>
        <w:tc>
          <w:tcPr>
            <w:tcW w:w="1277" w:type="dxa"/>
            <w:tcBorders>
              <w:top w:val="dotted" w:sz="4" w:space="0" w:color="auto"/>
              <w:bottom w:val="single" w:sz="4" w:space="0" w:color="auto"/>
            </w:tcBorders>
            <w:shd w:val="clear" w:color="auto" w:fill="auto"/>
            <w:vAlign w:val="center"/>
          </w:tcPr>
          <w:p w:rsidR="009005AD" w:rsidRPr="005A3796" w:rsidRDefault="009005AD" w:rsidP="000F0D93">
            <w:pPr>
              <w:keepNext/>
              <w:jc w:val="center"/>
              <w:rPr>
                <w:rFonts w:asciiTheme="minorHAnsi" w:hAnsiTheme="minorHAnsi" w:cstheme="minorHAnsi"/>
                <w:b/>
                <w:i/>
                <w:color w:val="000000"/>
                <w:szCs w:val="22"/>
              </w:rPr>
            </w:pPr>
            <w:r w:rsidRPr="005A3796">
              <w:rPr>
                <w:rFonts w:asciiTheme="minorHAnsi" w:hAnsiTheme="minorHAnsi" w:cstheme="minorHAnsi"/>
                <w:b/>
                <w:i/>
                <w:color w:val="000000"/>
                <w:szCs w:val="22"/>
              </w:rPr>
              <w:t>92.4</w:t>
            </w:r>
          </w:p>
        </w:tc>
        <w:tc>
          <w:tcPr>
            <w:tcW w:w="1206" w:type="dxa"/>
            <w:tcBorders>
              <w:top w:val="dotted" w:sz="4" w:space="0" w:color="auto"/>
              <w:bottom w:val="single" w:sz="4" w:space="0" w:color="auto"/>
            </w:tcBorders>
            <w:shd w:val="clear" w:color="auto" w:fill="auto"/>
            <w:vAlign w:val="center"/>
          </w:tcPr>
          <w:p w:rsidR="009005AD" w:rsidRPr="005A3796" w:rsidRDefault="009005AD" w:rsidP="000F0D93">
            <w:pPr>
              <w:keepNext/>
              <w:jc w:val="center"/>
              <w:rPr>
                <w:rFonts w:asciiTheme="minorHAnsi" w:hAnsiTheme="minorHAnsi" w:cstheme="minorHAnsi"/>
                <w:i/>
                <w:color w:val="000000"/>
                <w:szCs w:val="22"/>
              </w:rPr>
            </w:pPr>
            <w:r w:rsidRPr="005A3796">
              <w:rPr>
                <w:rFonts w:asciiTheme="minorHAnsi" w:hAnsiTheme="minorHAnsi" w:cstheme="minorHAnsi"/>
                <w:i/>
                <w:color w:val="000000"/>
                <w:szCs w:val="22"/>
              </w:rPr>
              <w:t>65 183</w:t>
            </w:r>
          </w:p>
        </w:tc>
      </w:tr>
    </w:tbl>
    <w:p w:rsidR="009005AD" w:rsidRPr="00184614" w:rsidRDefault="009005AD" w:rsidP="009005AD">
      <w:pPr>
        <w:pStyle w:val="TableChartFootonote"/>
        <w:keepNext/>
        <w:rPr>
          <w:rFonts w:asciiTheme="minorHAnsi" w:hAnsiTheme="minorHAnsi" w:cstheme="minorHAnsi"/>
          <w:szCs w:val="24"/>
        </w:rPr>
      </w:pPr>
      <w:r w:rsidRPr="00184614">
        <w:rPr>
          <w:rFonts w:asciiTheme="minorHAnsi" w:hAnsiTheme="minorHAnsi" w:cstheme="minorHAnsi"/>
          <w:szCs w:val="24"/>
        </w:rPr>
        <w:t xml:space="preserve">Source: </w:t>
      </w:r>
      <w:r w:rsidRPr="00184614">
        <w:rPr>
          <w:rFonts w:asciiTheme="minorHAnsi" w:hAnsiTheme="minorHAnsi" w:cstheme="minorHAnsi"/>
          <w:i/>
          <w:szCs w:val="24"/>
        </w:rPr>
        <w:t>HILDA</w:t>
      </w:r>
      <w:r w:rsidRPr="00184614">
        <w:rPr>
          <w:rFonts w:asciiTheme="minorHAnsi" w:hAnsiTheme="minorHAnsi" w:cstheme="minorHAnsi"/>
          <w:szCs w:val="24"/>
        </w:rPr>
        <w:t xml:space="preserve"> Survey, Release 12 (December 2013), pooled waves 1 to 12.</w:t>
      </w:r>
    </w:p>
    <w:p w:rsidR="009005AD" w:rsidRPr="00184614" w:rsidRDefault="009005AD" w:rsidP="009005AD">
      <w:pPr>
        <w:pStyle w:val="TableChartFootonote"/>
        <w:keepNext/>
        <w:rPr>
          <w:rFonts w:asciiTheme="minorHAnsi" w:hAnsiTheme="minorHAnsi" w:cstheme="minorHAnsi"/>
          <w:szCs w:val="24"/>
        </w:rPr>
      </w:pPr>
      <w:r w:rsidRPr="00184614">
        <w:rPr>
          <w:rFonts w:asciiTheme="minorHAnsi" w:hAnsiTheme="minorHAnsi" w:cstheme="minorHAnsi"/>
          <w:szCs w:val="24"/>
        </w:rPr>
        <w:t xml:space="preserve">Notes: (a) Limited to the working age population of 15 to 64 years. </w:t>
      </w:r>
    </w:p>
    <w:p w:rsidR="009005AD" w:rsidRPr="00184614" w:rsidRDefault="009005AD" w:rsidP="009005AD">
      <w:pPr>
        <w:pStyle w:val="TableChartFootonote"/>
        <w:keepNext/>
        <w:rPr>
          <w:rFonts w:asciiTheme="minorHAnsi" w:hAnsiTheme="minorHAnsi" w:cstheme="minorHAnsi"/>
          <w:szCs w:val="24"/>
        </w:rPr>
      </w:pPr>
      <w:r w:rsidRPr="00184614">
        <w:rPr>
          <w:rFonts w:asciiTheme="minorHAnsi" w:hAnsiTheme="minorHAnsi" w:cstheme="minorHAnsi"/>
          <w:szCs w:val="24"/>
        </w:rPr>
        <w:t>‘Year t’ refers to the reference year (this can be any year from 2001 to 2011) and ‘Year t+1’ refers to the subsequent year (this can be any year from 2002 to 2012).</w:t>
      </w:r>
    </w:p>
    <w:p w:rsidR="00DD51A5" w:rsidRPr="009005AD" w:rsidRDefault="00DD51A5" w:rsidP="009005AD">
      <w:pPr>
        <w:tabs>
          <w:tab w:val="left" w:pos="1701"/>
        </w:tabs>
        <w:spacing w:before="120" w:after="120"/>
        <w:rPr>
          <w:rFonts w:ascii="Calibri" w:hAnsi="Calibri" w:cs="Calibri"/>
          <w:sz w:val="24"/>
          <w:szCs w:val="24"/>
          <w:lang w:eastAsia="en-AU"/>
        </w:rPr>
      </w:pPr>
    </w:p>
    <w:p w:rsidR="00DD51A5" w:rsidRDefault="00DD51A5">
      <w:pPr>
        <w:rPr>
          <w:rFonts w:ascii="Calibri" w:hAnsi="Calibri" w:cs="Calibri"/>
          <w:sz w:val="24"/>
          <w:szCs w:val="24"/>
          <w:lang w:eastAsia="en-AU"/>
        </w:rPr>
      </w:pPr>
      <w:r>
        <w:rPr>
          <w:rFonts w:ascii="Calibri" w:hAnsi="Calibri" w:cs="Calibri"/>
          <w:sz w:val="24"/>
          <w:szCs w:val="24"/>
          <w:lang w:eastAsia="en-AU"/>
        </w:rPr>
        <w:br w:type="page"/>
      </w:r>
    </w:p>
    <w:p w:rsidR="005E33D3" w:rsidRPr="005E33D3" w:rsidRDefault="005E33D3" w:rsidP="005E33D3">
      <w:pPr>
        <w:keepNext/>
        <w:widowControl w:val="0"/>
        <w:tabs>
          <w:tab w:val="left" w:pos="1701"/>
        </w:tabs>
        <w:suppressAutoHyphens/>
        <w:autoSpaceDE w:val="0"/>
        <w:autoSpaceDN w:val="0"/>
        <w:adjustRightInd w:val="0"/>
        <w:spacing w:after="120"/>
        <w:outlineLvl w:val="0"/>
        <w:rPr>
          <w:rFonts w:ascii="Calibri" w:hAnsi="Calibri" w:cs="HelveticaNeueLT-BoldCond"/>
          <w:b/>
          <w:bCs/>
          <w:color w:val="C0504D" w:themeColor="accent2"/>
          <w:kern w:val="32"/>
          <w:sz w:val="44"/>
          <w:szCs w:val="44"/>
          <w:lang w:eastAsia="en-AU"/>
        </w:rPr>
      </w:pPr>
      <w:bookmarkStart w:id="69" w:name="_Toc386727444"/>
      <w:r w:rsidRPr="005E33D3">
        <w:rPr>
          <w:rFonts w:ascii="Calibri" w:hAnsi="Calibri" w:cs="HelveticaNeueLT-BoldCond"/>
          <w:b/>
          <w:bCs/>
          <w:color w:val="C0504D" w:themeColor="accent2"/>
          <w:kern w:val="32"/>
          <w:sz w:val="44"/>
          <w:szCs w:val="44"/>
          <w:lang w:eastAsia="en-AU"/>
        </w:rPr>
        <w:lastRenderedPageBreak/>
        <w:t>Collective bargaining</w:t>
      </w:r>
      <w:bookmarkEnd w:id="66"/>
      <w:bookmarkEnd w:id="69"/>
    </w:p>
    <w:p w:rsidR="006B1F7A" w:rsidRPr="005E33D3" w:rsidRDefault="006B1F7A" w:rsidP="006B1F7A">
      <w:pPr>
        <w:keepNext/>
        <w:suppressAutoHyphens/>
        <w:spacing w:before="240" w:after="60"/>
        <w:outlineLvl w:val="1"/>
        <w:rPr>
          <w:rFonts w:asciiTheme="minorHAnsi" w:hAnsiTheme="minorHAnsi" w:cstheme="minorHAnsi"/>
          <w:b/>
          <w:bCs/>
          <w:iCs/>
          <w:color w:val="8064A2" w:themeColor="accent4"/>
          <w:sz w:val="36"/>
          <w:szCs w:val="32"/>
        </w:rPr>
      </w:pPr>
      <w:r w:rsidRPr="005B311B">
        <w:rPr>
          <w:rFonts w:asciiTheme="minorHAnsi" w:hAnsiTheme="minorHAnsi" w:cstheme="minorHAnsi"/>
          <w:b/>
          <w:bCs/>
          <w:iCs/>
          <w:color w:val="8064A2" w:themeColor="accent4"/>
          <w:sz w:val="36"/>
          <w:szCs w:val="32"/>
        </w:rPr>
        <w:t>Question 7.1</w:t>
      </w:r>
    </w:p>
    <w:p w:rsidR="006B1F7A" w:rsidRPr="005E33D3" w:rsidRDefault="006B1F7A" w:rsidP="006B1F7A">
      <w:pPr>
        <w:keepNext/>
        <w:keepLines/>
        <w:spacing w:before="200"/>
        <w:outlineLvl w:val="2"/>
        <w:rPr>
          <w:rFonts w:ascii="Calibri" w:hAnsi="Calibri" w:cs="Arial"/>
          <w:b/>
          <w:bCs/>
          <w:color w:val="365F91" w:themeColor="accent1" w:themeShade="BF"/>
          <w:sz w:val="28"/>
          <w:szCs w:val="28"/>
          <w:lang w:eastAsia="en-AU"/>
        </w:rPr>
      </w:pPr>
      <w:r w:rsidRPr="005E33D3">
        <w:rPr>
          <w:rFonts w:ascii="Calibri" w:hAnsi="Calibri" w:cs="Arial"/>
          <w:b/>
          <w:bCs/>
          <w:color w:val="365F91" w:themeColor="accent1" w:themeShade="BF"/>
          <w:sz w:val="28"/>
          <w:szCs w:val="28"/>
          <w:lang w:eastAsia="en-AU"/>
        </w:rPr>
        <w:t>The Australian Government submission refers to data from the Survey of Employee Earnings and Hours (EEH) and states that:</w:t>
      </w:r>
    </w:p>
    <w:p w:rsidR="006B1F7A" w:rsidRPr="005E33D3" w:rsidRDefault="006B1F7A" w:rsidP="006B1F7A">
      <w:pPr>
        <w:keepNext/>
        <w:keepLines/>
        <w:spacing w:before="200"/>
        <w:ind w:left="567"/>
        <w:outlineLvl w:val="2"/>
        <w:rPr>
          <w:rFonts w:ascii="Calibri" w:hAnsi="Calibri" w:cs="Arial"/>
          <w:b/>
          <w:bCs/>
          <w:i/>
          <w:color w:val="365F91" w:themeColor="accent1" w:themeShade="BF"/>
          <w:sz w:val="28"/>
          <w:szCs w:val="28"/>
          <w:lang w:eastAsia="en-AU"/>
        </w:rPr>
      </w:pPr>
      <w:r w:rsidRPr="005E33D3">
        <w:rPr>
          <w:rFonts w:ascii="Calibri" w:hAnsi="Calibri" w:cs="Arial"/>
          <w:b/>
          <w:bCs/>
          <w:i/>
          <w:color w:val="365F91" w:themeColor="accent1" w:themeShade="BF"/>
          <w:sz w:val="28"/>
          <w:szCs w:val="28"/>
          <w:lang w:eastAsia="en-AU"/>
        </w:rPr>
        <w:t xml:space="preserve">“Between 2010 and 2012 there was a shift away from collective bargaining towards awards – as measured by the proportion of employees who had their pay set by collective agreements and awards respectively (ABS 2013c). This was the first increase in the proportion of employees who were award-reliant during the 12 years that the ABS </w:t>
      </w:r>
      <w:r w:rsidRPr="005E33D3">
        <w:rPr>
          <w:rFonts w:ascii="Calibri" w:hAnsi="Calibri" w:cs="Arial"/>
          <w:b/>
          <w:bCs/>
          <w:i/>
          <w:iCs/>
          <w:color w:val="365F91" w:themeColor="accent1" w:themeShade="BF"/>
          <w:sz w:val="28"/>
          <w:szCs w:val="28"/>
          <w:lang w:eastAsia="en-AU"/>
        </w:rPr>
        <w:t xml:space="preserve">Employee Earnings and Hours </w:t>
      </w:r>
      <w:r w:rsidRPr="005E33D3">
        <w:rPr>
          <w:rFonts w:ascii="Calibri" w:hAnsi="Calibri" w:cs="Arial"/>
          <w:b/>
          <w:bCs/>
          <w:i/>
          <w:color w:val="365F91" w:themeColor="accent1" w:themeShade="BF"/>
          <w:sz w:val="28"/>
          <w:szCs w:val="28"/>
          <w:lang w:eastAsia="en-AU"/>
        </w:rPr>
        <w:t>data has been regularly collected. This recent increase in award-reliance has coincided with the period where the Commission increased all award wages by a percentage of the NMW, rather than a dollar amount.</w:t>
      </w:r>
    </w:p>
    <w:p w:rsidR="006B1F7A" w:rsidRPr="005E33D3" w:rsidRDefault="006B1F7A" w:rsidP="006B1F7A">
      <w:pPr>
        <w:keepNext/>
        <w:keepLines/>
        <w:spacing w:before="200"/>
        <w:ind w:left="567"/>
        <w:outlineLvl w:val="2"/>
        <w:rPr>
          <w:rFonts w:ascii="Calibri" w:hAnsi="Calibri" w:cs="Arial"/>
          <w:b/>
          <w:bCs/>
          <w:i/>
          <w:color w:val="365F91" w:themeColor="accent1" w:themeShade="BF"/>
          <w:sz w:val="28"/>
          <w:szCs w:val="28"/>
          <w:lang w:eastAsia="en-AU"/>
        </w:rPr>
      </w:pPr>
      <w:r w:rsidRPr="005E33D3">
        <w:rPr>
          <w:rFonts w:ascii="Calibri" w:hAnsi="Calibri" w:cs="Arial"/>
          <w:b/>
          <w:bCs/>
          <w:i/>
          <w:color w:val="365F91" w:themeColor="accent1" w:themeShade="BF"/>
          <w:sz w:val="28"/>
          <w:szCs w:val="28"/>
          <w:lang w:eastAsia="en-AU"/>
        </w:rPr>
        <w:t>The Panel may wish to consider whether there is a correlation between an increase in award rates (beyond providing a safety net [The Government estimates that 17.8 per cent of award-reliant employees are in fact paid above the median wage (ABS 2013c - Non-managerial employees only)] and a greater proportion of workers who are award-reliant and therefore are not bargaining.”</w:t>
      </w:r>
    </w:p>
    <w:p w:rsidR="006B1F7A" w:rsidRPr="005E33D3" w:rsidRDefault="006B1F7A" w:rsidP="006B1F7A">
      <w:pPr>
        <w:keepNext/>
        <w:keepLines/>
        <w:spacing w:before="200"/>
        <w:outlineLvl w:val="2"/>
        <w:rPr>
          <w:rFonts w:ascii="Calibri" w:hAnsi="Calibri" w:cs="Arial"/>
          <w:b/>
          <w:bCs/>
          <w:color w:val="365F91" w:themeColor="accent1" w:themeShade="BF"/>
          <w:sz w:val="28"/>
          <w:szCs w:val="28"/>
          <w:lang w:eastAsia="en-AU"/>
        </w:rPr>
      </w:pPr>
      <w:r w:rsidRPr="005E33D3">
        <w:rPr>
          <w:rFonts w:ascii="Calibri" w:hAnsi="Calibri" w:cs="Arial"/>
          <w:b/>
          <w:bCs/>
          <w:color w:val="365F91" w:themeColor="accent1" w:themeShade="BF"/>
          <w:sz w:val="28"/>
          <w:szCs w:val="28"/>
          <w:lang w:eastAsia="en-AU"/>
        </w:rPr>
        <w:t>Does the Australian Government have any evidence that minimum wage adjustments were the causal factor for this shift in the data?</w:t>
      </w:r>
    </w:p>
    <w:p w:rsidR="006B1F7A" w:rsidRPr="005E33D3" w:rsidRDefault="006B1F7A" w:rsidP="006B1F7A">
      <w:pPr>
        <w:keepNext/>
        <w:keepLines/>
        <w:spacing w:before="200"/>
        <w:outlineLvl w:val="2"/>
        <w:rPr>
          <w:rFonts w:ascii="Calibri" w:hAnsi="Calibri" w:cs="Arial"/>
          <w:b/>
          <w:bCs/>
          <w:color w:val="365F91" w:themeColor="accent1" w:themeShade="BF"/>
          <w:sz w:val="28"/>
          <w:szCs w:val="28"/>
          <w:lang w:eastAsia="en-AU"/>
        </w:rPr>
      </w:pPr>
      <w:r w:rsidRPr="005E33D3">
        <w:rPr>
          <w:rFonts w:ascii="Calibri" w:hAnsi="Calibri" w:cs="Arial"/>
          <w:b/>
          <w:bCs/>
          <w:color w:val="365F91" w:themeColor="accent1" w:themeShade="BF"/>
          <w:sz w:val="28"/>
          <w:szCs w:val="28"/>
          <w:lang w:eastAsia="en-AU"/>
        </w:rPr>
        <w:t xml:space="preserve">What are the views of parties on the Australian Government’s proposition? Are there other factors which may have caused this shift? </w:t>
      </w:r>
    </w:p>
    <w:p w:rsidR="006B1F7A" w:rsidRDefault="006B1F7A" w:rsidP="004664CA">
      <w:pPr>
        <w:pStyle w:val="FWCstyle"/>
      </w:pPr>
      <w:r>
        <w:t xml:space="preserve">The Australian Government does not have statistical evidence of a causal relationship between the Panel’s recent decisions and the increased levels of award reliance. </w:t>
      </w:r>
    </w:p>
    <w:p w:rsidR="006B1F7A" w:rsidRDefault="006B1F7A" w:rsidP="006B1F7A">
      <w:pPr>
        <w:rPr>
          <w:rFonts w:ascii="Calibri" w:hAnsi="Calibri" w:cs="Calibri"/>
          <w:sz w:val="24"/>
          <w:szCs w:val="24"/>
          <w:lang w:eastAsia="en-AU"/>
        </w:rPr>
      </w:pPr>
      <w:r>
        <w:rPr>
          <w:rFonts w:ascii="Calibri" w:hAnsi="Calibri" w:cs="Calibri"/>
          <w:sz w:val="24"/>
          <w:szCs w:val="24"/>
          <w:lang w:eastAsia="en-AU"/>
        </w:rPr>
        <w:br w:type="page"/>
      </w:r>
    </w:p>
    <w:p w:rsidR="006B1F7A" w:rsidRPr="005E33D3" w:rsidRDefault="006B1F7A" w:rsidP="006B1F7A">
      <w:pPr>
        <w:keepNext/>
        <w:suppressAutoHyphens/>
        <w:spacing w:before="240" w:after="60"/>
        <w:outlineLvl w:val="1"/>
        <w:rPr>
          <w:rFonts w:asciiTheme="minorHAnsi" w:hAnsiTheme="minorHAnsi" w:cstheme="minorHAnsi"/>
          <w:b/>
          <w:bCs/>
          <w:iCs/>
          <w:color w:val="8064A2" w:themeColor="accent4"/>
          <w:sz w:val="36"/>
          <w:szCs w:val="32"/>
        </w:rPr>
      </w:pPr>
      <w:bookmarkStart w:id="70" w:name="_Toc386727446"/>
      <w:r w:rsidRPr="005B311B">
        <w:rPr>
          <w:rFonts w:asciiTheme="minorHAnsi" w:hAnsiTheme="minorHAnsi" w:cstheme="minorHAnsi"/>
          <w:b/>
          <w:bCs/>
          <w:iCs/>
          <w:color w:val="8064A2" w:themeColor="accent4"/>
          <w:sz w:val="36"/>
          <w:szCs w:val="32"/>
        </w:rPr>
        <w:lastRenderedPageBreak/>
        <w:t xml:space="preserve">Question </w:t>
      </w:r>
      <w:bookmarkEnd w:id="70"/>
      <w:r w:rsidRPr="005B311B">
        <w:rPr>
          <w:rFonts w:asciiTheme="minorHAnsi" w:hAnsiTheme="minorHAnsi" w:cstheme="minorHAnsi"/>
          <w:b/>
          <w:bCs/>
          <w:iCs/>
          <w:color w:val="8064A2" w:themeColor="accent4"/>
          <w:sz w:val="36"/>
          <w:szCs w:val="32"/>
        </w:rPr>
        <w:t>7.2</w:t>
      </w:r>
    </w:p>
    <w:p w:rsidR="006B1F7A" w:rsidRPr="005E33D3" w:rsidRDefault="006B1F7A" w:rsidP="006B1F7A">
      <w:pPr>
        <w:keepNext/>
        <w:keepLines/>
        <w:spacing w:before="200"/>
        <w:outlineLvl w:val="2"/>
        <w:rPr>
          <w:rFonts w:ascii="Calibri" w:hAnsi="Calibri" w:cs="Arial"/>
          <w:b/>
          <w:bCs/>
          <w:color w:val="365F91" w:themeColor="accent1" w:themeShade="BF"/>
          <w:sz w:val="28"/>
          <w:szCs w:val="28"/>
          <w:lang w:eastAsia="en-AU"/>
        </w:rPr>
      </w:pPr>
      <w:r w:rsidRPr="005E33D3">
        <w:rPr>
          <w:rFonts w:ascii="Calibri" w:hAnsi="Calibri" w:cs="Arial"/>
          <w:b/>
          <w:bCs/>
          <w:color w:val="365F91" w:themeColor="accent1" w:themeShade="BF"/>
          <w:sz w:val="28"/>
          <w:szCs w:val="28"/>
          <w:lang w:eastAsia="en-AU"/>
        </w:rPr>
        <w:t xml:space="preserve">The Australian Government’s initial submission draws attention to </w:t>
      </w:r>
      <w:proofErr w:type="spellStart"/>
      <w:r w:rsidRPr="005E33D3">
        <w:rPr>
          <w:rFonts w:ascii="Calibri" w:hAnsi="Calibri" w:cs="Arial"/>
          <w:b/>
          <w:bCs/>
          <w:color w:val="365F91" w:themeColor="accent1" w:themeShade="BF"/>
          <w:sz w:val="28"/>
          <w:szCs w:val="28"/>
          <w:lang w:eastAsia="en-AU"/>
        </w:rPr>
        <w:t>spillovers</w:t>
      </w:r>
      <w:proofErr w:type="spellEnd"/>
      <w:r w:rsidRPr="005E33D3">
        <w:rPr>
          <w:rFonts w:ascii="Calibri" w:hAnsi="Calibri" w:cs="Arial"/>
          <w:b/>
          <w:bCs/>
          <w:color w:val="365F91" w:themeColor="accent1" w:themeShade="BF"/>
          <w:sz w:val="28"/>
          <w:szCs w:val="28"/>
          <w:lang w:eastAsia="en-AU"/>
        </w:rPr>
        <w:t xml:space="preserve">, </w:t>
      </w:r>
      <w:r w:rsidRPr="005E33D3">
        <w:rPr>
          <w:rFonts w:ascii="Calibri" w:hAnsi="Calibri" w:cs="Arial"/>
          <w:b/>
          <w:bCs/>
          <w:i/>
          <w:color w:val="365F91" w:themeColor="accent1" w:themeShade="BF"/>
          <w:sz w:val="28"/>
          <w:szCs w:val="28"/>
          <w:lang w:eastAsia="en-AU"/>
        </w:rPr>
        <w:t>“…where minimum wage increases given to low paid workers are passed through to higher wage earners in order to maintain relativities between rates of pay”</w:t>
      </w:r>
      <w:r w:rsidRPr="005E33D3">
        <w:rPr>
          <w:rFonts w:ascii="Calibri" w:hAnsi="Calibri" w:cs="Arial"/>
          <w:b/>
          <w:bCs/>
          <w:color w:val="365F91" w:themeColor="accent1" w:themeShade="BF"/>
          <w:sz w:val="28"/>
          <w:szCs w:val="28"/>
          <w:lang w:eastAsia="en-AU"/>
        </w:rPr>
        <w:t xml:space="preserve">. It states that </w:t>
      </w:r>
      <w:r w:rsidRPr="005E33D3">
        <w:rPr>
          <w:rFonts w:ascii="Calibri" w:hAnsi="Calibri" w:cs="Arial"/>
          <w:b/>
          <w:bCs/>
          <w:i/>
          <w:color w:val="365F91" w:themeColor="accent1" w:themeShade="BF"/>
          <w:sz w:val="28"/>
          <w:szCs w:val="28"/>
          <w:lang w:eastAsia="en-AU"/>
        </w:rPr>
        <w:t xml:space="preserve">“[t]his reduces the </w:t>
      </w:r>
      <w:proofErr w:type="spellStart"/>
      <w:r w:rsidRPr="005E33D3">
        <w:rPr>
          <w:rFonts w:ascii="Calibri" w:hAnsi="Calibri" w:cs="Arial"/>
          <w:b/>
          <w:bCs/>
          <w:i/>
          <w:color w:val="365F91" w:themeColor="accent1" w:themeShade="BF"/>
          <w:sz w:val="28"/>
          <w:szCs w:val="28"/>
          <w:lang w:eastAsia="en-AU"/>
        </w:rPr>
        <w:t>redistributional</w:t>
      </w:r>
      <w:proofErr w:type="spellEnd"/>
      <w:r w:rsidRPr="005E33D3">
        <w:rPr>
          <w:rFonts w:ascii="Calibri" w:hAnsi="Calibri" w:cs="Arial"/>
          <w:b/>
          <w:bCs/>
          <w:i/>
          <w:color w:val="365F91" w:themeColor="accent1" w:themeShade="BF"/>
          <w:sz w:val="28"/>
          <w:szCs w:val="28"/>
          <w:lang w:eastAsia="en-AU"/>
        </w:rPr>
        <w:t xml:space="preserve"> effectiveness of minimum wages.”</w:t>
      </w:r>
    </w:p>
    <w:p w:rsidR="006B1F7A" w:rsidRPr="005E33D3" w:rsidRDefault="006B1F7A" w:rsidP="006B1F7A">
      <w:pPr>
        <w:keepNext/>
        <w:keepLines/>
        <w:spacing w:before="200"/>
        <w:outlineLvl w:val="2"/>
        <w:rPr>
          <w:rFonts w:ascii="Calibri" w:hAnsi="Calibri" w:cs="Arial"/>
          <w:b/>
          <w:bCs/>
          <w:color w:val="365F91" w:themeColor="accent1" w:themeShade="BF"/>
          <w:sz w:val="28"/>
          <w:szCs w:val="28"/>
          <w:lang w:eastAsia="en-AU"/>
        </w:rPr>
      </w:pPr>
      <w:r w:rsidRPr="005E33D3">
        <w:rPr>
          <w:rFonts w:ascii="Calibri" w:hAnsi="Calibri" w:cs="Arial"/>
          <w:b/>
          <w:bCs/>
          <w:color w:val="365F91" w:themeColor="accent1" w:themeShade="BF"/>
          <w:sz w:val="28"/>
          <w:szCs w:val="28"/>
          <w:lang w:eastAsia="en-AU"/>
        </w:rPr>
        <w:t xml:space="preserve">In drawing this conclusion, could the Australian Government advise the Panel on what assumptions it made about the movements in </w:t>
      </w:r>
      <w:r w:rsidRPr="005E33D3">
        <w:rPr>
          <w:rFonts w:ascii="Calibri" w:hAnsi="Calibri" w:cs="Arial"/>
          <w:b/>
          <w:bCs/>
          <w:i/>
          <w:color w:val="365F91" w:themeColor="accent1" w:themeShade="BF"/>
          <w:sz w:val="28"/>
          <w:szCs w:val="28"/>
          <w:lang w:eastAsia="en-AU"/>
        </w:rPr>
        <w:t>“higher wages”</w:t>
      </w:r>
      <w:r w:rsidRPr="005E33D3">
        <w:rPr>
          <w:rFonts w:ascii="Calibri" w:hAnsi="Calibri" w:cs="Arial"/>
          <w:b/>
          <w:bCs/>
          <w:color w:val="365F91" w:themeColor="accent1" w:themeShade="BF"/>
          <w:sz w:val="28"/>
          <w:szCs w:val="28"/>
          <w:lang w:eastAsia="en-AU"/>
        </w:rPr>
        <w:t xml:space="preserve"> that would have occurred in the absence of a rise in minimum wages?</w:t>
      </w:r>
    </w:p>
    <w:p w:rsidR="006B1F7A" w:rsidRPr="005E33D3" w:rsidRDefault="006B1F7A" w:rsidP="004664CA">
      <w:pPr>
        <w:pStyle w:val="FWCstyle"/>
      </w:pPr>
      <w:r w:rsidRPr="005E33D3">
        <w:t xml:space="preserve">The Australian Government </w:t>
      </w:r>
      <w:r w:rsidR="009E72DD">
        <w:t xml:space="preserve">made </w:t>
      </w:r>
      <w:r w:rsidR="00E37430">
        <w:t xml:space="preserve">no assumptions </w:t>
      </w:r>
      <w:r w:rsidR="009E72DD">
        <w:t xml:space="preserve">about </w:t>
      </w:r>
      <w:r w:rsidR="00E37430">
        <w:t>movement in “higher wages</w:t>
      </w:r>
      <w:r w:rsidR="00E37430" w:rsidRPr="00E37430">
        <w:t>”</w:t>
      </w:r>
      <w:r w:rsidR="009E72DD">
        <w:t xml:space="preserve"> in </w:t>
      </w:r>
      <w:r w:rsidR="00F4468E">
        <w:t>respect of the above extract of its initial submission.  That</w:t>
      </w:r>
      <w:r w:rsidR="00E37430" w:rsidRPr="00E37430">
        <w:t xml:space="preserve"> submission made</w:t>
      </w:r>
      <w:r w:rsidRPr="005E33D3">
        <w:t xml:space="preserve"> a general </w:t>
      </w:r>
      <w:r w:rsidR="002B1713">
        <w:t>observation</w:t>
      </w:r>
      <w:r w:rsidR="00700A32">
        <w:t xml:space="preserve"> that w</w:t>
      </w:r>
      <w:r>
        <w:t>here</w:t>
      </w:r>
      <w:r w:rsidRPr="005E33D3">
        <w:t xml:space="preserve"> the benefits of minimum</w:t>
      </w:r>
      <w:r>
        <w:t xml:space="preserve"> wage</w:t>
      </w:r>
      <w:r w:rsidRPr="005E33D3">
        <w:t xml:space="preserve"> rises are spilling over from lower paid workers to higher paid workers, the </w:t>
      </w:r>
      <w:r>
        <w:t xml:space="preserve">relative position in the earnings distribution of the </w:t>
      </w:r>
      <w:r w:rsidRPr="005E33D3">
        <w:t xml:space="preserve">intended beneficiaries of the Panel’s decision </w:t>
      </w:r>
      <w:r w:rsidR="00E37430">
        <w:t xml:space="preserve">(that is, the low paid) </w:t>
      </w:r>
      <w:r>
        <w:t xml:space="preserve">improves less than in a situation where there is no </w:t>
      </w:r>
      <w:proofErr w:type="spellStart"/>
      <w:r>
        <w:t>spillover</w:t>
      </w:r>
      <w:proofErr w:type="spellEnd"/>
      <w:r>
        <w:t xml:space="preserve"> at all. </w:t>
      </w:r>
    </w:p>
    <w:p w:rsidR="006B1F7A" w:rsidRPr="005E33D3" w:rsidRDefault="003A5A9D" w:rsidP="004664CA">
      <w:pPr>
        <w:pStyle w:val="FWCstyle"/>
      </w:pPr>
      <w:r>
        <w:t>It is trite to observe that there are relativities within modern awards</w:t>
      </w:r>
      <w:r w:rsidR="00E37430">
        <w:t xml:space="preserve"> or that when an increase is awarded to the minimum rate for all classifications in an award there is an associated increase to award rates for employees who are </w:t>
      </w:r>
      <w:r w:rsidR="00F6261A">
        <w:t xml:space="preserve">not considered the </w:t>
      </w:r>
      <w:r w:rsidR="00E37430">
        <w:t>low paid.</w:t>
      </w:r>
      <w:r w:rsidR="00E37430">
        <w:rPr>
          <w:rStyle w:val="FootnoteReference"/>
        </w:rPr>
        <w:footnoteReference w:id="12"/>
      </w:r>
      <w:r w:rsidR="00E37430">
        <w:t xml:space="preserve">  This </w:t>
      </w:r>
      <w:r w:rsidR="00F4468E">
        <w:t xml:space="preserve">effect compounds </w:t>
      </w:r>
      <w:r w:rsidR="00E37430">
        <w:t xml:space="preserve">where an increase is expressed as a percentage. </w:t>
      </w:r>
      <w:r w:rsidR="006B1F7A">
        <w:t xml:space="preserve"> </w:t>
      </w:r>
    </w:p>
    <w:p w:rsidR="006B1F7A" w:rsidRDefault="00E37430" w:rsidP="004664CA">
      <w:pPr>
        <w:pStyle w:val="FWCstyle"/>
      </w:pPr>
      <w:r>
        <w:t>In any event, the point of the Australian Government’s submission was to observe that increases in the minimum wage</w:t>
      </w:r>
      <w:r w:rsidR="0096300D">
        <w:t>s</w:t>
      </w:r>
      <w:r>
        <w:t xml:space="preserve"> are an inelegant and inefficient tool to increase the living standards of the low paid</w:t>
      </w:r>
      <w:r w:rsidR="009E72DD">
        <w:t xml:space="preserve"> and that the tax-transfer system not only </w:t>
      </w:r>
      <w:r w:rsidR="00F6261A">
        <w:t>provides</w:t>
      </w:r>
      <w:r w:rsidR="009E72DD">
        <w:t xml:space="preserve"> more targeted support, but that it </w:t>
      </w:r>
      <w:r w:rsidR="00F6261A">
        <w:t xml:space="preserve">is </w:t>
      </w:r>
      <w:r w:rsidR="009E72DD">
        <w:t>the more efficient means of redistributing income to low income households</w:t>
      </w:r>
      <w:r>
        <w:t xml:space="preserve">.  </w:t>
      </w:r>
    </w:p>
    <w:p w:rsidR="00DD51A5" w:rsidRDefault="00DD51A5">
      <w:pPr>
        <w:rPr>
          <w:rFonts w:ascii="Calibri" w:hAnsi="Calibri" w:cs="Calibri"/>
          <w:sz w:val="24"/>
          <w:szCs w:val="24"/>
          <w:lang w:eastAsia="en-AU"/>
        </w:rPr>
      </w:pPr>
      <w:r>
        <w:rPr>
          <w:rFonts w:ascii="Calibri" w:hAnsi="Calibri" w:cs="Calibri"/>
          <w:sz w:val="24"/>
          <w:szCs w:val="24"/>
          <w:lang w:eastAsia="en-AU"/>
        </w:rPr>
        <w:br w:type="page"/>
      </w:r>
    </w:p>
    <w:p w:rsidR="005E33D3" w:rsidRPr="005E33D3" w:rsidRDefault="005E33D3" w:rsidP="005E33D3">
      <w:pPr>
        <w:keepNext/>
        <w:widowControl w:val="0"/>
        <w:tabs>
          <w:tab w:val="left" w:pos="1701"/>
        </w:tabs>
        <w:suppressAutoHyphens/>
        <w:autoSpaceDE w:val="0"/>
        <w:autoSpaceDN w:val="0"/>
        <w:adjustRightInd w:val="0"/>
        <w:spacing w:after="120"/>
        <w:outlineLvl w:val="0"/>
        <w:rPr>
          <w:rFonts w:ascii="Calibri" w:hAnsi="Calibri" w:cs="HelveticaNeueLT-BoldCond"/>
          <w:b/>
          <w:bCs/>
          <w:color w:val="C0504D" w:themeColor="accent2"/>
          <w:kern w:val="32"/>
          <w:sz w:val="44"/>
          <w:szCs w:val="44"/>
          <w:lang w:eastAsia="en-AU"/>
        </w:rPr>
      </w:pPr>
      <w:bookmarkStart w:id="71" w:name="_Toc386727450"/>
      <w:r w:rsidRPr="005E33D3">
        <w:rPr>
          <w:rFonts w:ascii="Calibri" w:hAnsi="Calibri" w:cs="HelveticaNeueLT-BoldCond"/>
          <w:b/>
          <w:bCs/>
          <w:color w:val="C0504D" w:themeColor="accent2"/>
          <w:kern w:val="32"/>
          <w:sz w:val="44"/>
          <w:szCs w:val="44"/>
          <w:lang w:eastAsia="en-AU"/>
        </w:rPr>
        <w:lastRenderedPageBreak/>
        <w:t>Principle of equal remuneration</w:t>
      </w:r>
      <w:bookmarkEnd w:id="71"/>
    </w:p>
    <w:p w:rsidR="005E33D3" w:rsidRPr="00495AF2" w:rsidRDefault="005E33D3" w:rsidP="005E33D3">
      <w:pPr>
        <w:keepNext/>
        <w:suppressAutoHyphens/>
        <w:spacing w:before="240" w:after="60"/>
        <w:outlineLvl w:val="1"/>
        <w:rPr>
          <w:rFonts w:asciiTheme="minorHAnsi" w:hAnsiTheme="minorHAnsi" w:cstheme="minorHAnsi"/>
          <w:b/>
          <w:bCs/>
          <w:iCs/>
          <w:color w:val="8064A2" w:themeColor="accent4"/>
          <w:sz w:val="36"/>
          <w:szCs w:val="32"/>
        </w:rPr>
      </w:pPr>
      <w:bookmarkStart w:id="72" w:name="_Toc386727451"/>
      <w:r w:rsidRPr="00495AF2">
        <w:rPr>
          <w:rFonts w:asciiTheme="minorHAnsi" w:hAnsiTheme="minorHAnsi" w:cstheme="minorHAnsi"/>
          <w:b/>
          <w:bCs/>
          <w:iCs/>
          <w:color w:val="8064A2" w:themeColor="accent4"/>
          <w:sz w:val="36"/>
          <w:szCs w:val="32"/>
        </w:rPr>
        <w:t xml:space="preserve">Question </w:t>
      </w:r>
      <w:bookmarkEnd w:id="72"/>
      <w:r w:rsidRPr="00495AF2">
        <w:rPr>
          <w:rFonts w:asciiTheme="minorHAnsi" w:hAnsiTheme="minorHAnsi" w:cstheme="minorHAnsi"/>
          <w:b/>
          <w:bCs/>
          <w:iCs/>
          <w:color w:val="8064A2" w:themeColor="accent4"/>
          <w:sz w:val="36"/>
          <w:szCs w:val="32"/>
        </w:rPr>
        <w:t>9.1</w:t>
      </w:r>
      <w:bookmarkStart w:id="73" w:name="_GoBack"/>
      <w:bookmarkEnd w:id="73"/>
    </w:p>
    <w:p w:rsidR="005E33D3" w:rsidRPr="00495AF2" w:rsidRDefault="005E33D3" w:rsidP="000C407D">
      <w:pPr>
        <w:keepNext/>
        <w:keepLines/>
        <w:spacing w:before="200"/>
        <w:outlineLvl w:val="2"/>
        <w:rPr>
          <w:rFonts w:ascii="Calibri" w:hAnsi="Calibri" w:cs="Arial"/>
          <w:b/>
          <w:bCs/>
          <w:color w:val="365F91" w:themeColor="accent1" w:themeShade="BF"/>
          <w:sz w:val="28"/>
          <w:szCs w:val="28"/>
          <w:lang w:eastAsia="en-AU"/>
        </w:rPr>
      </w:pPr>
      <w:r w:rsidRPr="00495AF2">
        <w:rPr>
          <w:rFonts w:ascii="Calibri" w:hAnsi="Calibri" w:cs="Arial"/>
          <w:b/>
          <w:bCs/>
          <w:color w:val="365F91" w:themeColor="accent1" w:themeShade="BF"/>
          <w:sz w:val="28"/>
          <w:szCs w:val="28"/>
          <w:lang w:eastAsia="en-AU"/>
        </w:rPr>
        <w:t>In its initial submission, the Australian Government submitted that it calculated the hourly gender pay gap to be 10.1 per cent as at May 2012. The measure, it submitted, was different to the ‘more widely reported 2012 pay gap of 17.5 per cent’ and had arisen because of the different measure used for this calculation:</w:t>
      </w:r>
    </w:p>
    <w:p w:rsidR="005E33D3" w:rsidRPr="00495AF2" w:rsidRDefault="005E33D3" w:rsidP="000C407D">
      <w:pPr>
        <w:keepNext/>
        <w:keepLines/>
        <w:spacing w:before="200"/>
        <w:ind w:left="567"/>
        <w:outlineLvl w:val="2"/>
        <w:rPr>
          <w:rFonts w:ascii="Calibri" w:hAnsi="Calibri" w:cs="Arial"/>
          <w:b/>
          <w:bCs/>
          <w:i/>
          <w:color w:val="365F91" w:themeColor="accent1" w:themeShade="BF"/>
          <w:sz w:val="28"/>
          <w:szCs w:val="28"/>
          <w:lang w:eastAsia="en-AU"/>
        </w:rPr>
      </w:pPr>
      <w:r w:rsidRPr="00495AF2">
        <w:rPr>
          <w:rFonts w:ascii="Calibri" w:hAnsi="Calibri" w:cs="Arial"/>
          <w:b/>
          <w:bCs/>
          <w:i/>
          <w:color w:val="365F91" w:themeColor="accent1" w:themeShade="BF"/>
          <w:sz w:val="28"/>
          <w:szCs w:val="28"/>
          <w:lang w:eastAsia="en-AU"/>
        </w:rPr>
        <w:t>“The calculation used in this submission is based on hourly earnings rather than weekly earnings and only includes permanent, full-time, non-managerial employees. Furthermore, this calculation is based on ABS Employee Earnings and Hours data as opposed to ABS Average Weekly Earnings data.”</w:t>
      </w:r>
    </w:p>
    <w:p w:rsidR="005E33D3" w:rsidRPr="00495AF2" w:rsidRDefault="005E33D3" w:rsidP="000C407D">
      <w:pPr>
        <w:keepNext/>
        <w:keepLines/>
        <w:spacing w:before="200"/>
        <w:outlineLvl w:val="2"/>
        <w:rPr>
          <w:rFonts w:ascii="Calibri" w:hAnsi="Calibri" w:cs="Arial"/>
          <w:b/>
          <w:bCs/>
          <w:color w:val="365F91" w:themeColor="accent1" w:themeShade="BF"/>
          <w:sz w:val="28"/>
          <w:szCs w:val="28"/>
          <w:lang w:eastAsia="en-AU"/>
        </w:rPr>
      </w:pPr>
      <w:r w:rsidRPr="00495AF2">
        <w:rPr>
          <w:rFonts w:ascii="Calibri" w:hAnsi="Calibri" w:cs="Arial"/>
          <w:b/>
          <w:bCs/>
          <w:color w:val="365F91" w:themeColor="accent1" w:themeShade="BF"/>
          <w:sz w:val="28"/>
          <w:szCs w:val="28"/>
          <w:lang w:eastAsia="en-AU"/>
        </w:rPr>
        <w:t>In February 2012, the Commission published Research Report 3/2012 Award reliance and differences in earnings by gender. This research investigated the composition of the award-reliant sector and the potential impact of an increase in award wages on the gap between female and male wages. The report also discussed different measures of the gender pay gap and their limitations in measuring the gap as it relates to award-reliant women:</w:t>
      </w:r>
      <w:r w:rsidR="004A095A" w:rsidRPr="00495AF2">
        <w:rPr>
          <w:rFonts w:ascii="Calibri" w:hAnsi="Calibri" w:cs="Arial"/>
          <w:b/>
          <w:bCs/>
          <w:color w:val="365F91" w:themeColor="accent1" w:themeShade="BF"/>
          <w:sz w:val="28"/>
          <w:szCs w:val="28"/>
          <w:lang w:eastAsia="en-AU"/>
        </w:rPr>
        <w:t xml:space="preserve"> …</w:t>
      </w:r>
    </w:p>
    <w:p w:rsidR="005E33D3" w:rsidRPr="00495AF2" w:rsidRDefault="005E33D3" w:rsidP="000C407D">
      <w:pPr>
        <w:keepNext/>
        <w:keepLines/>
        <w:spacing w:before="200"/>
        <w:outlineLvl w:val="2"/>
        <w:rPr>
          <w:rFonts w:ascii="Calibri" w:hAnsi="Calibri" w:cs="Arial"/>
          <w:b/>
          <w:bCs/>
          <w:color w:val="365F91" w:themeColor="accent1" w:themeShade="BF"/>
          <w:sz w:val="28"/>
          <w:szCs w:val="28"/>
          <w:lang w:eastAsia="en-AU"/>
        </w:rPr>
      </w:pPr>
      <w:r w:rsidRPr="00495AF2">
        <w:rPr>
          <w:rFonts w:ascii="Calibri" w:hAnsi="Calibri" w:cs="Arial"/>
          <w:b/>
          <w:bCs/>
          <w:color w:val="365F91" w:themeColor="accent1" w:themeShade="BF"/>
          <w:sz w:val="28"/>
          <w:szCs w:val="28"/>
          <w:lang w:eastAsia="en-AU"/>
        </w:rPr>
        <w:t xml:space="preserve">Why has the Australian Government adopted the hourly measurement derived from the EEH for its submission to the Panel over other measures? </w:t>
      </w:r>
    </w:p>
    <w:p w:rsidR="005E33D3" w:rsidRPr="000C407D" w:rsidRDefault="005E33D3" w:rsidP="000C407D">
      <w:pPr>
        <w:keepNext/>
        <w:keepLines/>
        <w:spacing w:before="200"/>
        <w:outlineLvl w:val="2"/>
        <w:rPr>
          <w:rFonts w:ascii="Calibri" w:hAnsi="Calibri" w:cs="Arial"/>
          <w:b/>
          <w:bCs/>
          <w:color w:val="365F91" w:themeColor="accent1" w:themeShade="BF"/>
          <w:sz w:val="28"/>
          <w:szCs w:val="28"/>
          <w:lang w:eastAsia="en-AU"/>
        </w:rPr>
      </w:pPr>
      <w:r w:rsidRPr="00495AF2">
        <w:rPr>
          <w:rFonts w:ascii="Calibri" w:hAnsi="Calibri" w:cs="Arial"/>
          <w:b/>
          <w:bCs/>
          <w:color w:val="365F91" w:themeColor="accent1" w:themeShade="BF"/>
          <w:sz w:val="28"/>
          <w:szCs w:val="28"/>
          <w:lang w:eastAsia="en-AU"/>
        </w:rPr>
        <w:t>Further, what are the views of parties on the Australian Government’s measure for deriving the percentage of the gender pay gap? Is this the most accurate or relevant measure the Panel should have regard to?</w:t>
      </w:r>
      <w:r w:rsidRPr="000C407D">
        <w:rPr>
          <w:rFonts w:ascii="Calibri" w:hAnsi="Calibri" w:cs="Arial"/>
          <w:b/>
          <w:bCs/>
          <w:color w:val="365F91" w:themeColor="accent1" w:themeShade="BF"/>
          <w:sz w:val="28"/>
          <w:szCs w:val="28"/>
          <w:lang w:eastAsia="en-AU"/>
        </w:rPr>
        <w:t xml:space="preserve"> </w:t>
      </w:r>
    </w:p>
    <w:p w:rsidR="00EE0E44" w:rsidRPr="00184614" w:rsidRDefault="00396497" w:rsidP="004664CA">
      <w:pPr>
        <w:pStyle w:val="FWCstyle"/>
      </w:pPr>
      <w:r>
        <w:t>In its initial submission t</w:t>
      </w:r>
      <w:r w:rsidR="00EE0E44" w:rsidRPr="00184614">
        <w:t xml:space="preserve">he Australian Government </w:t>
      </w:r>
      <w:r>
        <w:t>use</w:t>
      </w:r>
      <w:r w:rsidR="00957041">
        <w:t>d</w:t>
      </w:r>
      <w:r w:rsidR="00EE0E44" w:rsidRPr="00184614">
        <w:t xml:space="preserve"> EEH data to calculate the gender pay gap</w:t>
      </w:r>
      <w:r>
        <w:t xml:space="preserve">. This data set was </w:t>
      </w:r>
      <w:r w:rsidR="00957041">
        <w:t xml:space="preserve">preferred because </w:t>
      </w:r>
      <w:r>
        <w:t>it</w:t>
      </w:r>
      <w:r w:rsidR="00EE0E44" w:rsidRPr="00184614">
        <w:t xml:space="preserve"> contains a </w:t>
      </w:r>
      <w:r>
        <w:t>‘</w:t>
      </w:r>
      <w:r w:rsidR="00EE0E44" w:rsidRPr="00184614">
        <w:t>method of setting pay</w:t>
      </w:r>
      <w:r>
        <w:t>’</w:t>
      </w:r>
      <w:r w:rsidR="00EE0E44" w:rsidRPr="00184614">
        <w:t xml:space="preserve"> variable which was </w:t>
      </w:r>
      <w:r>
        <w:t>needed</w:t>
      </w:r>
      <w:r w:rsidRPr="00184614">
        <w:t xml:space="preserve"> </w:t>
      </w:r>
      <w:r w:rsidR="00EE0E44" w:rsidRPr="00184614">
        <w:t>to calculate the effect of minimum wage adjustments on the size of the gender pay gap.</w:t>
      </w:r>
    </w:p>
    <w:p w:rsidR="00EE0E44" w:rsidRPr="00184614" w:rsidRDefault="00957041" w:rsidP="004664CA">
      <w:pPr>
        <w:pStyle w:val="FWCstyle"/>
      </w:pPr>
      <w:r>
        <w:t xml:space="preserve">The reason the Government adopted an hourly wages measure was to control for the different average </w:t>
      </w:r>
      <w:r w:rsidR="00E875BE">
        <w:t xml:space="preserve">weekly </w:t>
      </w:r>
      <w:r>
        <w:t>ordinary</w:t>
      </w:r>
      <w:r w:rsidR="00E875BE">
        <w:t xml:space="preserve"> time</w:t>
      </w:r>
      <w:r>
        <w:t xml:space="preserve"> hours</w:t>
      </w:r>
      <w:r w:rsidR="00E875BE">
        <w:t xml:space="preserve"> of men and women</w:t>
      </w:r>
      <w:r>
        <w:t xml:space="preserve"> in the EEH data set (</w:t>
      </w:r>
      <w:r w:rsidR="00EE0E44" w:rsidRPr="00184614">
        <w:t>full</w:t>
      </w:r>
      <w:r w:rsidR="00E875BE">
        <w:noBreakHyphen/>
      </w:r>
      <w:r w:rsidR="00EE0E44" w:rsidRPr="00184614">
        <w:t xml:space="preserve">time male adult employees </w:t>
      </w:r>
      <w:r>
        <w:t xml:space="preserve">at </w:t>
      </w:r>
      <w:r w:rsidR="00EE0E44" w:rsidRPr="00184614">
        <w:t>38.3 hours and full</w:t>
      </w:r>
      <w:r w:rsidR="00EE0E44" w:rsidRPr="00184614">
        <w:noBreakHyphen/>
        <w:t xml:space="preserve">time female adult employees </w:t>
      </w:r>
      <w:r w:rsidR="00E875BE">
        <w:t xml:space="preserve">at </w:t>
      </w:r>
      <w:r w:rsidR="00EE0E44" w:rsidRPr="00184614">
        <w:t>37.5</w:t>
      </w:r>
      <w:r w:rsidR="00FE345A">
        <w:t> </w:t>
      </w:r>
      <w:r w:rsidR="00EE0E44" w:rsidRPr="00184614">
        <w:t>hours)</w:t>
      </w:r>
      <w:r>
        <w:t>.</w:t>
      </w:r>
    </w:p>
    <w:p w:rsidR="00EE0E44" w:rsidRPr="00184614" w:rsidRDefault="00957041" w:rsidP="004664CA">
      <w:pPr>
        <w:pStyle w:val="FWCstyle"/>
      </w:pPr>
      <w:r>
        <w:t>T</w:t>
      </w:r>
      <w:r w:rsidR="00EE0E44" w:rsidRPr="00184614">
        <w:t>his methodology result</w:t>
      </w:r>
      <w:r w:rsidR="008B5E96">
        <w:t>s</w:t>
      </w:r>
      <w:r w:rsidR="00EE0E44" w:rsidRPr="00184614">
        <w:t xml:space="preserve"> in the exclusion of managerial employees. Many of the Government’s EEH data calculations, particularly with regard to low paid workers, exclude managerial employees due to the lack of data</w:t>
      </w:r>
      <w:r w:rsidR="00EE0E44">
        <w:t xml:space="preserve"> on hours of work</w:t>
      </w:r>
      <w:r w:rsidR="00EE0E44" w:rsidRPr="00184614">
        <w:t>.</w:t>
      </w:r>
      <w:r>
        <w:t xml:space="preserve"> This is an appropriate position to take in the context of an annual review of </w:t>
      </w:r>
      <w:r w:rsidR="00734C2C">
        <w:t xml:space="preserve">the national </w:t>
      </w:r>
      <w:r>
        <w:t xml:space="preserve">minimum </w:t>
      </w:r>
      <w:r w:rsidR="00734C2C">
        <w:t xml:space="preserve">wage and </w:t>
      </w:r>
      <w:r>
        <w:t xml:space="preserve">award wages.  </w:t>
      </w:r>
    </w:p>
    <w:bookmarkEnd w:id="13"/>
    <w:bookmarkEnd w:id="14"/>
    <w:p w:rsidR="00FD16BC" w:rsidRPr="005E33D3" w:rsidRDefault="00FD16BC" w:rsidP="00D97088">
      <w:pPr>
        <w:pStyle w:val="ListParagraph"/>
        <w:tabs>
          <w:tab w:val="left" w:pos="1701"/>
        </w:tabs>
        <w:spacing w:before="120" w:after="120"/>
        <w:ind w:left="425"/>
        <w:contextualSpacing w:val="0"/>
      </w:pPr>
    </w:p>
    <w:sectPr w:rsidR="00FD16BC" w:rsidRPr="005E33D3" w:rsidSect="00AC4680">
      <w:headerReference w:type="even" r:id="rId14"/>
      <w:headerReference w:type="default" r:id="rId15"/>
      <w:footerReference w:type="even" r:id="rId16"/>
      <w:footerReference w:type="default" r:id="rId17"/>
      <w:pgSz w:w="11906" w:h="16838" w:code="9"/>
      <w:pgMar w:top="1418" w:right="1134" w:bottom="1418" w:left="1418"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F6" w:rsidRDefault="006F0AF6" w:rsidP="005E33D3">
      <w:r>
        <w:separator/>
      </w:r>
    </w:p>
  </w:endnote>
  <w:endnote w:type="continuationSeparator" w:id="0">
    <w:p w:rsidR="006F0AF6" w:rsidRDefault="006F0AF6" w:rsidP="005E33D3">
      <w:r>
        <w:continuationSeparator/>
      </w:r>
    </w:p>
  </w:endnote>
  <w:endnote w:type="continuationNotice" w:id="1">
    <w:p w:rsidR="006F0AF6" w:rsidRDefault="006F0A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elveticaNeueLT-BoldCon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Cs w:val="22"/>
      </w:rPr>
      <w:id w:val="-1991478058"/>
      <w:docPartObj>
        <w:docPartGallery w:val="Page Numbers (Bottom of Page)"/>
        <w:docPartUnique/>
      </w:docPartObj>
    </w:sdtPr>
    <w:sdtEndPr>
      <w:rPr>
        <w:noProof/>
        <w:sz w:val="24"/>
      </w:rPr>
    </w:sdtEndPr>
    <w:sdtContent>
      <w:p w:rsidR="00190A05" w:rsidRPr="000C0458" w:rsidRDefault="008A25BC">
        <w:pPr>
          <w:pStyle w:val="Footer"/>
          <w:rPr>
            <w:rFonts w:asciiTheme="minorHAnsi" w:hAnsiTheme="minorHAnsi" w:cstheme="minorHAnsi"/>
            <w:sz w:val="24"/>
            <w:szCs w:val="22"/>
          </w:rPr>
        </w:pPr>
        <w:r w:rsidRPr="000C0458">
          <w:rPr>
            <w:rFonts w:asciiTheme="minorHAnsi" w:hAnsiTheme="minorHAnsi" w:cstheme="minorHAnsi"/>
            <w:sz w:val="24"/>
            <w:szCs w:val="22"/>
          </w:rPr>
          <w:fldChar w:fldCharType="begin"/>
        </w:r>
        <w:r w:rsidR="00190A05" w:rsidRPr="000C0458">
          <w:rPr>
            <w:rFonts w:asciiTheme="minorHAnsi" w:hAnsiTheme="minorHAnsi" w:cstheme="minorHAnsi"/>
            <w:sz w:val="24"/>
            <w:szCs w:val="22"/>
          </w:rPr>
          <w:instrText xml:space="preserve"> PAGE   \* MERGEFORMAT </w:instrText>
        </w:r>
        <w:r w:rsidRPr="000C0458">
          <w:rPr>
            <w:rFonts w:asciiTheme="minorHAnsi" w:hAnsiTheme="minorHAnsi" w:cstheme="minorHAnsi"/>
            <w:sz w:val="24"/>
            <w:szCs w:val="22"/>
          </w:rPr>
          <w:fldChar w:fldCharType="separate"/>
        </w:r>
        <w:r w:rsidR="00693725">
          <w:rPr>
            <w:rFonts w:asciiTheme="minorHAnsi" w:hAnsiTheme="minorHAnsi" w:cstheme="minorHAnsi"/>
            <w:noProof/>
            <w:sz w:val="24"/>
            <w:szCs w:val="22"/>
          </w:rPr>
          <w:t>20</w:t>
        </w:r>
        <w:r w:rsidRPr="000C0458">
          <w:rPr>
            <w:rFonts w:asciiTheme="minorHAnsi" w:hAnsiTheme="minorHAnsi" w:cstheme="minorHAnsi"/>
            <w:noProof/>
            <w:sz w:val="24"/>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960234"/>
      <w:docPartObj>
        <w:docPartGallery w:val="Page Numbers (Bottom of Page)"/>
        <w:docPartUnique/>
      </w:docPartObj>
    </w:sdtPr>
    <w:sdtEndPr>
      <w:rPr>
        <w:rFonts w:asciiTheme="minorHAnsi" w:hAnsiTheme="minorHAnsi" w:cstheme="minorHAnsi"/>
        <w:sz w:val="24"/>
      </w:rPr>
    </w:sdtEndPr>
    <w:sdtContent>
      <w:p w:rsidR="00190A05" w:rsidRPr="000C0458" w:rsidRDefault="008A25BC" w:rsidP="000F0D93">
        <w:pPr>
          <w:pStyle w:val="Footer"/>
          <w:jc w:val="right"/>
          <w:rPr>
            <w:rFonts w:asciiTheme="minorHAnsi" w:hAnsiTheme="minorHAnsi" w:cstheme="minorHAnsi"/>
            <w:sz w:val="24"/>
          </w:rPr>
        </w:pPr>
        <w:r w:rsidRPr="000C0458">
          <w:rPr>
            <w:rFonts w:asciiTheme="minorHAnsi" w:hAnsiTheme="minorHAnsi" w:cstheme="minorHAnsi"/>
            <w:sz w:val="24"/>
          </w:rPr>
          <w:fldChar w:fldCharType="begin"/>
        </w:r>
        <w:r w:rsidR="00190A05" w:rsidRPr="000C0458">
          <w:rPr>
            <w:rFonts w:asciiTheme="minorHAnsi" w:hAnsiTheme="minorHAnsi" w:cstheme="minorHAnsi"/>
            <w:sz w:val="24"/>
          </w:rPr>
          <w:instrText xml:space="preserve"> PAGE   \* MERGEFORMAT </w:instrText>
        </w:r>
        <w:r w:rsidRPr="000C0458">
          <w:rPr>
            <w:rFonts w:asciiTheme="minorHAnsi" w:hAnsiTheme="minorHAnsi" w:cstheme="minorHAnsi"/>
            <w:sz w:val="24"/>
          </w:rPr>
          <w:fldChar w:fldCharType="separate"/>
        </w:r>
        <w:r w:rsidR="00693725">
          <w:rPr>
            <w:rFonts w:asciiTheme="minorHAnsi" w:hAnsiTheme="minorHAnsi" w:cstheme="minorHAnsi"/>
            <w:noProof/>
            <w:sz w:val="24"/>
          </w:rPr>
          <w:t>21</w:t>
        </w:r>
        <w:r w:rsidRPr="000C0458">
          <w:rPr>
            <w:rFonts w:asciiTheme="minorHAnsi" w:hAnsiTheme="minorHAnsi" w:cstheme="minorHAnsi"/>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F6" w:rsidRDefault="006F0AF6" w:rsidP="005E33D3">
      <w:r>
        <w:separator/>
      </w:r>
    </w:p>
  </w:footnote>
  <w:footnote w:type="continuationSeparator" w:id="0">
    <w:p w:rsidR="006F0AF6" w:rsidRDefault="006F0AF6" w:rsidP="005E33D3">
      <w:r>
        <w:continuationSeparator/>
      </w:r>
    </w:p>
  </w:footnote>
  <w:footnote w:type="continuationNotice" w:id="1">
    <w:p w:rsidR="006F0AF6" w:rsidRDefault="006F0AF6"/>
  </w:footnote>
  <w:footnote w:id="2">
    <w:p w:rsidR="00190A05" w:rsidRDefault="00190A05">
      <w:pPr>
        <w:pStyle w:val="FootnoteText"/>
      </w:pPr>
      <w:r>
        <w:rPr>
          <w:rStyle w:val="FootnoteReference"/>
        </w:rPr>
        <w:footnoteRef/>
      </w:r>
      <w:r>
        <w:t xml:space="preserve"> Capital deepening</w:t>
      </w:r>
      <w:r w:rsidRPr="00DA4453">
        <w:t xml:space="preserve"> is the change in the capital to labour ratio, usually driven by capital investment</w:t>
      </w:r>
      <w:r>
        <w:t>.</w:t>
      </w:r>
    </w:p>
  </w:footnote>
  <w:footnote w:id="3">
    <w:p w:rsidR="00190A05" w:rsidRDefault="00190A05">
      <w:pPr>
        <w:pStyle w:val="FootnoteText"/>
      </w:pPr>
      <w:r>
        <w:rPr>
          <w:rStyle w:val="FootnoteReference"/>
        </w:rPr>
        <w:footnoteRef/>
      </w:r>
      <w:r>
        <w:t xml:space="preserve"> The ABS methodology assumes that capital investment is fully productive at the time of investment.</w:t>
      </w:r>
    </w:p>
  </w:footnote>
  <w:footnote w:id="4">
    <w:p w:rsidR="00190A05" w:rsidRDefault="00190A05">
      <w:pPr>
        <w:pStyle w:val="FootnoteText"/>
      </w:pPr>
      <w:r>
        <w:rPr>
          <w:rStyle w:val="FootnoteReference"/>
        </w:rPr>
        <w:footnoteRef/>
      </w:r>
      <w:r>
        <w:t xml:space="preserve"> </w:t>
      </w:r>
      <w:r w:rsidRPr="00B3130A">
        <w:t>The 12 industry market sector is used due to some data measurement issues with the additional service industries included in the 16 industry market sector. It is noteworthy however, that using the 16 industry market sector, the story is unchanged.</w:t>
      </w:r>
    </w:p>
  </w:footnote>
  <w:footnote w:id="5">
    <w:p w:rsidR="00190A05" w:rsidRDefault="00190A05" w:rsidP="00C550BE">
      <w:pPr>
        <w:pStyle w:val="FootnoteText"/>
      </w:pPr>
      <w:r>
        <w:rPr>
          <w:rStyle w:val="FootnoteReference"/>
        </w:rPr>
        <w:footnoteRef/>
      </w:r>
      <w:r>
        <w:t xml:space="preserve"> </w:t>
      </w:r>
      <w:proofErr w:type="gramStart"/>
      <w:r>
        <w:t>ABS</w:t>
      </w:r>
      <w:r w:rsidR="00FE345A">
        <w:t>,</w:t>
      </w:r>
      <w:r>
        <w:t xml:space="preserve"> Cat</w:t>
      </w:r>
      <w:r w:rsidR="00FE345A">
        <w:t>.</w:t>
      </w:r>
      <w:proofErr w:type="gramEnd"/>
      <w:r>
        <w:t xml:space="preserve"> </w:t>
      </w:r>
      <w:r w:rsidR="00FE345A">
        <w:t>N</w:t>
      </w:r>
      <w:r>
        <w:t>o. 5216.0 Australian System of National Accounts: Concepts, Sources and Methods 2013.</w:t>
      </w:r>
    </w:p>
  </w:footnote>
  <w:footnote w:id="6">
    <w:p w:rsidR="00190A05" w:rsidRDefault="00190A05">
      <w:pPr>
        <w:pStyle w:val="FootnoteText"/>
      </w:pPr>
      <w:r>
        <w:rPr>
          <w:rStyle w:val="FootnoteReference"/>
        </w:rPr>
        <w:footnoteRef/>
      </w:r>
      <w:r>
        <w:t xml:space="preserve"> </w:t>
      </w:r>
      <w:r w:rsidRPr="00440A8A">
        <w:rPr>
          <w:sz w:val="18"/>
          <w:szCs w:val="18"/>
        </w:rPr>
        <w:t>August 2008 and August 2013 mark cyclical (and historical) highs in employment levels in Construction.</w:t>
      </w:r>
    </w:p>
  </w:footnote>
  <w:footnote w:id="7">
    <w:p w:rsidR="00190A05" w:rsidRDefault="00190A05">
      <w:pPr>
        <w:pStyle w:val="FootnoteText"/>
      </w:pPr>
      <w:r>
        <w:rPr>
          <w:rStyle w:val="FootnoteReference"/>
        </w:rPr>
        <w:footnoteRef/>
      </w:r>
      <w:r>
        <w:t xml:space="preserve"> </w:t>
      </w:r>
      <w:proofErr w:type="gramStart"/>
      <w:r w:rsidRPr="008744B0">
        <w:t>ABS,</w:t>
      </w:r>
      <w:r w:rsidR="00FE345A">
        <w:t xml:space="preserve"> Cat.</w:t>
      </w:r>
      <w:proofErr w:type="gramEnd"/>
      <w:r w:rsidR="00FE345A">
        <w:t xml:space="preserve"> No.</w:t>
      </w:r>
      <w:r w:rsidR="00FE345A" w:rsidRPr="008744B0">
        <w:t xml:space="preserve"> 5302.0,</w:t>
      </w:r>
      <w:r w:rsidRPr="008744B0">
        <w:t xml:space="preserve"> Balance of Payments and International Investment Position, December 2013, Table 34.</w:t>
      </w:r>
    </w:p>
  </w:footnote>
  <w:footnote w:id="8">
    <w:p w:rsidR="00190A05" w:rsidRDefault="00190A05" w:rsidP="00EE0E44">
      <w:pPr>
        <w:pStyle w:val="FootnoteText"/>
      </w:pPr>
      <w:r>
        <w:rPr>
          <w:rStyle w:val="FootnoteReference"/>
        </w:rPr>
        <w:footnoteRef/>
      </w:r>
      <w:r>
        <w:t xml:space="preserve"> If a low paid threshold of $19 per hour is applied to all workers</w:t>
      </w:r>
      <w:r w:rsidR="00FE345A">
        <w:t xml:space="preserve"> </w:t>
      </w:r>
      <w:r>
        <w:t>(i.e. the thresholds for juniors are not adjusted downwards), the Government finds that 2.2 million employees were low paid in 2012, accounting for 25.3 per</w:t>
      </w:r>
      <w:r w:rsidR="00FE345A">
        <w:t> </w:t>
      </w:r>
      <w:r>
        <w:t>cent of all employees. Of these low paid employees, 1.0 million (45.1 per cent) were aged under-25.</w:t>
      </w:r>
    </w:p>
  </w:footnote>
  <w:footnote w:id="9">
    <w:p w:rsidR="00190A05" w:rsidRDefault="00190A05" w:rsidP="00EE0E44">
      <w:pPr>
        <w:pStyle w:val="FootnoteText"/>
      </w:pPr>
      <w:r>
        <w:rPr>
          <w:rStyle w:val="FootnoteReference"/>
        </w:rPr>
        <w:footnoteRef/>
      </w:r>
      <w:r>
        <w:t xml:space="preserve"> This 35.7 per cent is the proportion of those who were not in employment at period t and who entered low paid work at period t+1 (7.1 percentage points) divided by the proportion of non-employed who entered any type of work at period t+1 (19.9 percentage points).</w:t>
      </w:r>
    </w:p>
  </w:footnote>
  <w:footnote w:id="10">
    <w:p w:rsidR="00190A05" w:rsidRDefault="00190A05">
      <w:pPr>
        <w:pStyle w:val="FootnoteText"/>
      </w:pPr>
      <w:r>
        <w:rPr>
          <w:rStyle w:val="FootnoteReference"/>
        </w:rPr>
        <w:footnoteRef/>
      </w:r>
      <w:r>
        <w:t xml:space="preserve"> Low paid employment refers to those with hourly earnings less than two-thirds of the median hourly wage. Refer to Appendix A of the Government’s initial submission for a full definition of low paid employment. </w:t>
      </w:r>
    </w:p>
  </w:footnote>
  <w:footnote w:id="11">
    <w:p w:rsidR="00190A05" w:rsidRDefault="00190A05" w:rsidP="00EE0E44">
      <w:pPr>
        <w:pStyle w:val="FootnoteText"/>
      </w:pPr>
      <w:r>
        <w:rPr>
          <w:rStyle w:val="FootnoteReference"/>
        </w:rPr>
        <w:footnoteRef/>
      </w:r>
      <w:r>
        <w:t xml:space="preserve"> This 14.0 per cent is the proportion of those who were employed at period t  and who were low paid at period t+1 (12.9 percentage points) divided by the proportion of people who were employed at both period t and period t+1 (92.4 percentage points)</w:t>
      </w:r>
    </w:p>
  </w:footnote>
  <w:footnote w:id="12">
    <w:p w:rsidR="00190A05" w:rsidRDefault="00190A05">
      <w:pPr>
        <w:pStyle w:val="FootnoteText"/>
      </w:pPr>
      <w:r w:rsidRPr="00FE345A">
        <w:rPr>
          <w:rStyle w:val="FootnoteReference"/>
        </w:rPr>
        <w:footnoteRef/>
      </w:r>
      <w:r w:rsidRPr="00FE345A">
        <w:t xml:space="preserve"> </w:t>
      </w:r>
      <w:r w:rsidRPr="00141244">
        <w:t>For example, the highest rate of pay in the Air Pilots Award 2010 is $77.63 per hour (or $153,403 per year) and the highest rate of pay in the Medical Practitioners Award 2010 is $54.59 per hour (or $107,870 per year).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05" w:rsidRPr="00AC4680" w:rsidRDefault="00190A05" w:rsidP="000F0D93">
    <w:pPr>
      <w:pStyle w:val="Header"/>
      <w:tabs>
        <w:tab w:val="clear" w:pos="4513"/>
        <w:tab w:val="clear" w:pos="9026"/>
        <w:tab w:val="left" w:pos="0"/>
        <w:tab w:val="center" w:pos="4678"/>
        <w:tab w:val="right" w:pos="9356"/>
      </w:tabs>
      <w:ind w:right="-2"/>
      <w:jc w:val="center"/>
      <w:rPr>
        <w:rFonts w:asciiTheme="minorHAnsi" w:hAnsiTheme="minorHAnsi" w:cstheme="minorHAnsi"/>
        <w:sz w:val="24"/>
        <w:szCs w:val="24"/>
        <w:u w:val="single"/>
      </w:rPr>
    </w:pPr>
    <w:r w:rsidRPr="00AC4680">
      <w:rPr>
        <w:rFonts w:asciiTheme="minorHAnsi" w:hAnsiTheme="minorHAnsi" w:cstheme="minorHAnsi"/>
        <w:sz w:val="24"/>
        <w:szCs w:val="24"/>
        <w:u w:val="single"/>
      </w:rPr>
      <w:tab/>
    </w:r>
    <w:r w:rsidRPr="00AC4680">
      <w:rPr>
        <w:rFonts w:asciiTheme="minorHAnsi" w:hAnsiTheme="minorHAnsi" w:cstheme="minorHAnsi"/>
        <w:sz w:val="24"/>
        <w:szCs w:val="24"/>
      </w:rPr>
      <w:t>Australian Government – Consultation Questions</w:t>
    </w:r>
    <w:r w:rsidRPr="00AC4680">
      <w:rPr>
        <w:rFonts w:asciiTheme="minorHAnsi" w:hAnsiTheme="minorHAnsi" w:cstheme="minorHAnsi"/>
        <w:sz w:val="24"/>
        <w:szCs w:val="24"/>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05" w:rsidRPr="00AC4680" w:rsidRDefault="00190A05" w:rsidP="000F0D93">
    <w:pPr>
      <w:pStyle w:val="Header"/>
      <w:tabs>
        <w:tab w:val="clear" w:pos="4513"/>
        <w:tab w:val="clear" w:pos="9026"/>
        <w:tab w:val="left" w:pos="0"/>
        <w:tab w:val="center" w:pos="4678"/>
        <w:tab w:val="right" w:pos="9356"/>
      </w:tabs>
      <w:rPr>
        <w:rFonts w:asciiTheme="minorHAnsi" w:hAnsiTheme="minorHAnsi" w:cstheme="minorHAnsi"/>
        <w:sz w:val="24"/>
        <w:szCs w:val="24"/>
        <w:u w:val="single"/>
      </w:rPr>
    </w:pPr>
    <w:r w:rsidRPr="00AC4680">
      <w:rPr>
        <w:rFonts w:asciiTheme="minorHAnsi" w:hAnsiTheme="minorHAnsi" w:cstheme="minorHAnsi"/>
        <w:sz w:val="24"/>
        <w:szCs w:val="24"/>
        <w:u w:val="single"/>
      </w:rPr>
      <w:tab/>
    </w:r>
    <w:r w:rsidRPr="00AC4680">
      <w:rPr>
        <w:rFonts w:asciiTheme="minorHAnsi" w:hAnsiTheme="minorHAnsi" w:cstheme="minorHAnsi"/>
        <w:sz w:val="24"/>
        <w:szCs w:val="24"/>
      </w:rPr>
      <w:t>Annual Wage Review 2014</w:t>
    </w:r>
    <w:r w:rsidRPr="00AC4680">
      <w:rPr>
        <w:rFonts w:asciiTheme="minorHAnsi" w:hAnsiTheme="minorHAnsi" w:cstheme="minorHAnsi"/>
        <w:sz w:val="24"/>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62F"/>
    <w:multiLevelType w:val="multilevel"/>
    <w:tmpl w:val="70DACF42"/>
    <w:lvl w:ilvl="0">
      <w:start w:val="1"/>
      <w:numFmt w:val="decimal"/>
      <w:pStyle w:val="StandardText"/>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576"/>
        </w:tabs>
        <w:ind w:left="576" w:hanging="576"/>
      </w:pPr>
      <w:rPr>
        <w:rFonts w:hint="default"/>
        <w:sz w:val="22"/>
      </w:rPr>
    </w:lvl>
    <w:lvl w:ilvl="2">
      <w:start w:val="1"/>
      <w:numFmt w:val="decimal"/>
      <w:lvlText w:val="%1.%2.%3"/>
      <w:lvlJc w:val="left"/>
      <w:pPr>
        <w:tabs>
          <w:tab w:val="num" w:pos="142"/>
        </w:tabs>
      </w:pPr>
      <w:rPr>
        <w:rFonts w:cs="Times New Roman" w:hint="default"/>
        <w:color w:val="BC8F0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49D94F95"/>
    <w:multiLevelType w:val="hybridMultilevel"/>
    <w:tmpl w:val="C8DE70A8"/>
    <w:lvl w:ilvl="0" w:tplc="802EC3D0">
      <w:start w:val="1"/>
      <w:numFmt w:val="decimal"/>
      <w:pStyle w:val="FWCstyle"/>
      <w:lvlText w:val="%1."/>
      <w:lvlJc w:val="left"/>
      <w:pPr>
        <w:ind w:left="360" w:hanging="360"/>
      </w:pPr>
      <w:rPr>
        <w:rFonts w:asciiTheme="minorHAnsi" w:hAnsiTheme="minorHAnsi" w:cstheme="minorHAnsi" w:hint="default"/>
      </w:rPr>
    </w:lvl>
    <w:lvl w:ilvl="1" w:tplc="6CA67D90">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EF20916"/>
    <w:multiLevelType w:val="multilevel"/>
    <w:tmpl w:val="DF901930"/>
    <w:lvl w:ilvl="0">
      <w:start w:val="1"/>
      <w:numFmt w:val="decimal"/>
      <w:pStyle w:val="MWRHeading1"/>
      <w:lvlText w:val="%1"/>
      <w:lvlJc w:val="left"/>
      <w:pPr>
        <w:tabs>
          <w:tab w:val="num" w:pos="425"/>
        </w:tabs>
        <w:ind w:left="425" w:hanging="425"/>
      </w:pPr>
      <w:rPr>
        <w:rFonts w:hint="default"/>
      </w:rPr>
    </w:lvl>
    <w:lvl w:ilvl="1">
      <w:start w:val="1"/>
      <w:numFmt w:val="decimal"/>
      <w:pStyle w:val="MWRHeading2"/>
      <w:lvlText w:val="%1.%2"/>
      <w:lvlJc w:val="left"/>
      <w:pPr>
        <w:tabs>
          <w:tab w:val="num" w:pos="851"/>
        </w:tabs>
        <w:ind w:left="851" w:hanging="851"/>
      </w:pPr>
      <w:rPr>
        <w:rFonts w:hint="default"/>
      </w:rPr>
    </w:lvl>
    <w:lvl w:ilvl="2">
      <w:start w:val="1"/>
      <w:numFmt w:val="decimal"/>
      <w:pStyle w:val="MWRHeading3"/>
      <w:lvlText w:val="%1.%2.%3"/>
      <w:lvlJc w:val="left"/>
      <w:pPr>
        <w:tabs>
          <w:tab w:val="num" w:pos="1276"/>
        </w:tabs>
        <w:ind w:left="1276" w:hanging="1276"/>
      </w:pPr>
      <w:rPr>
        <w:rFonts w:hint="default"/>
      </w:rPr>
    </w:lvl>
    <w:lvl w:ilvl="3">
      <w:start w:val="1"/>
      <w:numFmt w:val="decimal"/>
      <w:pStyle w:val="MWRHeading4"/>
      <w:lvlText w:val="%1.%2.%3.%4"/>
      <w:lvlJc w:val="left"/>
      <w:pPr>
        <w:tabs>
          <w:tab w:val="num" w:pos="1701"/>
        </w:tabs>
        <w:ind w:left="1701" w:hanging="1701"/>
      </w:pPr>
      <w:rPr>
        <w:rFonts w:hint="default"/>
      </w:rPr>
    </w:lvl>
    <w:lvl w:ilvl="4">
      <w:start w:val="1"/>
      <w:numFmt w:val="decimal"/>
      <w:pStyle w:val="MWRHeading5"/>
      <w:lvlText w:val="%1.%2.%3.%4.%5"/>
      <w:lvlJc w:val="left"/>
      <w:pPr>
        <w:tabs>
          <w:tab w:val="num" w:pos="1701"/>
        </w:tabs>
        <w:ind w:left="1701" w:hanging="1701"/>
      </w:pPr>
      <w:rPr>
        <w:rFonts w:hint="default"/>
      </w:rPr>
    </w:lvl>
    <w:lvl w:ilvl="5">
      <w:start w:val="1"/>
      <w:numFmt w:val="decimal"/>
      <w:pStyle w:val="MWRHeading6"/>
      <w:lvlText w:val="%1.%2.%3.%4.%5.%6"/>
      <w:lvlJc w:val="left"/>
      <w:pPr>
        <w:tabs>
          <w:tab w:val="num" w:pos="1701"/>
        </w:tabs>
        <w:ind w:left="1701" w:hanging="1701"/>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2"/>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cVars>
    <w:docVar w:name="_AMO_XmlVersion" w:val="Empty"/>
  </w:docVars>
  <w:rsids>
    <w:rsidRoot w:val="00E50702"/>
    <w:rsid w:val="000027F1"/>
    <w:rsid w:val="00021843"/>
    <w:rsid w:val="00021CC2"/>
    <w:rsid w:val="00022CD9"/>
    <w:rsid w:val="00027A80"/>
    <w:rsid w:val="00031C8E"/>
    <w:rsid w:val="00080933"/>
    <w:rsid w:val="000918AF"/>
    <w:rsid w:val="00093212"/>
    <w:rsid w:val="000C0458"/>
    <w:rsid w:val="000C407D"/>
    <w:rsid w:val="000D60EE"/>
    <w:rsid w:val="000E0315"/>
    <w:rsid w:val="000F0D93"/>
    <w:rsid w:val="00110F45"/>
    <w:rsid w:val="001135C9"/>
    <w:rsid w:val="001220AE"/>
    <w:rsid w:val="001228BB"/>
    <w:rsid w:val="00130DA6"/>
    <w:rsid w:val="0013242B"/>
    <w:rsid w:val="00137DBC"/>
    <w:rsid w:val="00141244"/>
    <w:rsid w:val="00155A3C"/>
    <w:rsid w:val="00163BFB"/>
    <w:rsid w:val="001663D9"/>
    <w:rsid w:val="00166A85"/>
    <w:rsid w:val="001751A7"/>
    <w:rsid w:val="00184614"/>
    <w:rsid w:val="00190A05"/>
    <w:rsid w:val="001B546F"/>
    <w:rsid w:val="001B75E3"/>
    <w:rsid w:val="001D3CD8"/>
    <w:rsid w:val="001E1B68"/>
    <w:rsid w:val="001E2BD5"/>
    <w:rsid w:val="001F1024"/>
    <w:rsid w:val="001F39B9"/>
    <w:rsid w:val="001F4D9D"/>
    <w:rsid w:val="00201ECB"/>
    <w:rsid w:val="00204989"/>
    <w:rsid w:val="002110E4"/>
    <w:rsid w:val="00231CA9"/>
    <w:rsid w:val="00241F7C"/>
    <w:rsid w:val="002619FF"/>
    <w:rsid w:val="00270F5A"/>
    <w:rsid w:val="00271221"/>
    <w:rsid w:val="00282D69"/>
    <w:rsid w:val="002860BF"/>
    <w:rsid w:val="002A7C17"/>
    <w:rsid w:val="002B1713"/>
    <w:rsid w:val="002B644B"/>
    <w:rsid w:val="002C08E2"/>
    <w:rsid w:val="002C1370"/>
    <w:rsid w:val="002C14CA"/>
    <w:rsid w:val="002C1A9F"/>
    <w:rsid w:val="002C3B29"/>
    <w:rsid w:val="002D332D"/>
    <w:rsid w:val="002D514D"/>
    <w:rsid w:val="002F0E15"/>
    <w:rsid w:val="002F48E7"/>
    <w:rsid w:val="00312885"/>
    <w:rsid w:val="0031565C"/>
    <w:rsid w:val="00327204"/>
    <w:rsid w:val="00336122"/>
    <w:rsid w:val="0034352E"/>
    <w:rsid w:val="00362747"/>
    <w:rsid w:val="003652ED"/>
    <w:rsid w:val="003827B9"/>
    <w:rsid w:val="003837A5"/>
    <w:rsid w:val="00392AB3"/>
    <w:rsid w:val="00396497"/>
    <w:rsid w:val="003A05B3"/>
    <w:rsid w:val="003A3B87"/>
    <w:rsid w:val="003A5A9D"/>
    <w:rsid w:val="003B2694"/>
    <w:rsid w:val="003C138B"/>
    <w:rsid w:val="003D2630"/>
    <w:rsid w:val="003D3979"/>
    <w:rsid w:val="003D5C94"/>
    <w:rsid w:val="003E0272"/>
    <w:rsid w:val="003F10E9"/>
    <w:rsid w:val="003F1C5A"/>
    <w:rsid w:val="003F6E43"/>
    <w:rsid w:val="0042094A"/>
    <w:rsid w:val="00440A8A"/>
    <w:rsid w:val="00457EC6"/>
    <w:rsid w:val="004639A0"/>
    <w:rsid w:val="004646EC"/>
    <w:rsid w:val="004664CA"/>
    <w:rsid w:val="004744CC"/>
    <w:rsid w:val="00491ED0"/>
    <w:rsid w:val="00492A6C"/>
    <w:rsid w:val="00495AF2"/>
    <w:rsid w:val="004A095A"/>
    <w:rsid w:val="004B29ED"/>
    <w:rsid w:val="004B4BF6"/>
    <w:rsid w:val="004D083C"/>
    <w:rsid w:val="004D4245"/>
    <w:rsid w:val="004E6318"/>
    <w:rsid w:val="004F6903"/>
    <w:rsid w:val="0050256E"/>
    <w:rsid w:val="00517A25"/>
    <w:rsid w:val="00526862"/>
    <w:rsid w:val="00534FDA"/>
    <w:rsid w:val="00536F01"/>
    <w:rsid w:val="005556AF"/>
    <w:rsid w:val="0055722E"/>
    <w:rsid w:val="0056758E"/>
    <w:rsid w:val="005705F5"/>
    <w:rsid w:val="00577904"/>
    <w:rsid w:val="0059138D"/>
    <w:rsid w:val="005A3796"/>
    <w:rsid w:val="005A4081"/>
    <w:rsid w:val="005B311B"/>
    <w:rsid w:val="005D236C"/>
    <w:rsid w:val="005E33D3"/>
    <w:rsid w:val="005F22CA"/>
    <w:rsid w:val="006154B2"/>
    <w:rsid w:val="00627155"/>
    <w:rsid w:val="00634A8A"/>
    <w:rsid w:val="006615BA"/>
    <w:rsid w:val="0067204C"/>
    <w:rsid w:val="0069251A"/>
    <w:rsid w:val="00693725"/>
    <w:rsid w:val="006952F1"/>
    <w:rsid w:val="006A2BCA"/>
    <w:rsid w:val="006A5037"/>
    <w:rsid w:val="006B1F7A"/>
    <w:rsid w:val="006B51A3"/>
    <w:rsid w:val="006B7BC9"/>
    <w:rsid w:val="006C2267"/>
    <w:rsid w:val="006F0AF6"/>
    <w:rsid w:val="006F6F75"/>
    <w:rsid w:val="00700A32"/>
    <w:rsid w:val="00704798"/>
    <w:rsid w:val="00715314"/>
    <w:rsid w:val="00727FA0"/>
    <w:rsid w:val="00734C2C"/>
    <w:rsid w:val="00737AB0"/>
    <w:rsid w:val="007529D8"/>
    <w:rsid w:val="0075383A"/>
    <w:rsid w:val="00774E66"/>
    <w:rsid w:val="007A1FDE"/>
    <w:rsid w:val="007B3DB6"/>
    <w:rsid w:val="007B4D93"/>
    <w:rsid w:val="007C2634"/>
    <w:rsid w:val="007E2046"/>
    <w:rsid w:val="007E72C2"/>
    <w:rsid w:val="007F3806"/>
    <w:rsid w:val="00806DF3"/>
    <w:rsid w:val="00807056"/>
    <w:rsid w:val="0082331F"/>
    <w:rsid w:val="00823469"/>
    <w:rsid w:val="00831B50"/>
    <w:rsid w:val="0083498B"/>
    <w:rsid w:val="00836B44"/>
    <w:rsid w:val="00841F35"/>
    <w:rsid w:val="00847D5C"/>
    <w:rsid w:val="00855C45"/>
    <w:rsid w:val="008744B0"/>
    <w:rsid w:val="00887DDA"/>
    <w:rsid w:val="00887F35"/>
    <w:rsid w:val="008A25BC"/>
    <w:rsid w:val="008B3803"/>
    <w:rsid w:val="008B5E96"/>
    <w:rsid w:val="008B5F9C"/>
    <w:rsid w:val="008B7F36"/>
    <w:rsid w:val="008C4C54"/>
    <w:rsid w:val="008D39BB"/>
    <w:rsid w:val="008F39B8"/>
    <w:rsid w:val="008F77CB"/>
    <w:rsid w:val="009005AD"/>
    <w:rsid w:val="00906720"/>
    <w:rsid w:val="0090687A"/>
    <w:rsid w:val="00921E3F"/>
    <w:rsid w:val="009260C6"/>
    <w:rsid w:val="00932BD9"/>
    <w:rsid w:val="00957041"/>
    <w:rsid w:val="0096262E"/>
    <w:rsid w:val="0096300D"/>
    <w:rsid w:val="00985E03"/>
    <w:rsid w:val="009A3B0A"/>
    <w:rsid w:val="009A5946"/>
    <w:rsid w:val="009B360C"/>
    <w:rsid w:val="009B6DD2"/>
    <w:rsid w:val="009E72DD"/>
    <w:rsid w:val="009F3658"/>
    <w:rsid w:val="00A20483"/>
    <w:rsid w:val="00A35BAC"/>
    <w:rsid w:val="00A50637"/>
    <w:rsid w:val="00A567AC"/>
    <w:rsid w:val="00A9335A"/>
    <w:rsid w:val="00AA061E"/>
    <w:rsid w:val="00AA7B69"/>
    <w:rsid w:val="00AC4680"/>
    <w:rsid w:val="00AE4668"/>
    <w:rsid w:val="00AE5527"/>
    <w:rsid w:val="00AE572B"/>
    <w:rsid w:val="00AE57A6"/>
    <w:rsid w:val="00AE68CF"/>
    <w:rsid w:val="00AF3CB5"/>
    <w:rsid w:val="00B05334"/>
    <w:rsid w:val="00B17FCE"/>
    <w:rsid w:val="00B3130A"/>
    <w:rsid w:val="00B42D66"/>
    <w:rsid w:val="00B4410E"/>
    <w:rsid w:val="00B622B2"/>
    <w:rsid w:val="00B66C3D"/>
    <w:rsid w:val="00BA5141"/>
    <w:rsid w:val="00BB20AB"/>
    <w:rsid w:val="00BB3306"/>
    <w:rsid w:val="00BC659B"/>
    <w:rsid w:val="00BC73AD"/>
    <w:rsid w:val="00BD0592"/>
    <w:rsid w:val="00BE4A17"/>
    <w:rsid w:val="00BF4736"/>
    <w:rsid w:val="00BF5830"/>
    <w:rsid w:val="00C10F57"/>
    <w:rsid w:val="00C13895"/>
    <w:rsid w:val="00C13FE5"/>
    <w:rsid w:val="00C14B18"/>
    <w:rsid w:val="00C15352"/>
    <w:rsid w:val="00C34F96"/>
    <w:rsid w:val="00C426A8"/>
    <w:rsid w:val="00C550BE"/>
    <w:rsid w:val="00C62C53"/>
    <w:rsid w:val="00C77EBE"/>
    <w:rsid w:val="00C827A3"/>
    <w:rsid w:val="00C863C6"/>
    <w:rsid w:val="00C92BD9"/>
    <w:rsid w:val="00C975E9"/>
    <w:rsid w:val="00CB7305"/>
    <w:rsid w:val="00D10B1D"/>
    <w:rsid w:val="00D13F8D"/>
    <w:rsid w:val="00D15037"/>
    <w:rsid w:val="00D1627D"/>
    <w:rsid w:val="00D27A88"/>
    <w:rsid w:val="00D357B6"/>
    <w:rsid w:val="00D37B12"/>
    <w:rsid w:val="00D4081A"/>
    <w:rsid w:val="00D47DA2"/>
    <w:rsid w:val="00D50D10"/>
    <w:rsid w:val="00D6244F"/>
    <w:rsid w:val="00D74289"/>
    <w:rsid w:val="00D94589"/>
    <w:rsid w:val="00D97088"/>
    <w:rsid w:val="00DA4453"/>
    <w:rsid w:val="00DB4C5E"/>
    <w:rsid w:val="00DC38F2"/>
    <w:rsid w:val="00DC54F4"/>
    <w:rsid w:val="00DD51A5"/>
    <w:rsid w:val="00DF477A"/>
    <w:rsid w:val="00E37430"/>
    <w:rsid w:val="00E40584"/>
    <w:rsid w:val="00E4160B"/>
    <w:rsid w:val="00E4268E"/>
    <w:rsid w:val="00E45190"/>
    <w:rsid w:val="00E50702"/>
    <w:rsid w:val="00E55A45"/>
    <w:rsid w:val="00E62B42"/>
    <w:rsid w:val="00E65DE5"/>
    <w:rsid w:val="00E72DBF"/>
    <w:rsid w:val="00E8448A"/>
    <w:rsid w:val="00E85E0D"/>
    <w:rsid w:val="00E85FEA"/>
    <w:rsid w:val="00E875BE"/>
    <w:rsid w:val="00E903F7"/>
    <w:rsid w:val="00E95316"/>
    <w:rsid w:val="00EC58E4"/>
    <w:rsid w:val="00ED1D57"/>
    <w:rsid w:val="00ED6F44"/>
    <w:rsid w:val="00EE0E44"/>
    <w:rsid w:val="00EE4B7A"/>
    <w:rsid w:val="00EF1FA4"/>
    <w:rsid w:val="00F07153"/>
    <w:rsid w:val="00F10391"/>
    <w:rsid w:val="00F268B8"/>
    <w:rsid w:val="00F27A7F"/>
    <w:rsid w:val="00F43003"/>
    <w:rsid w:val="00F4468E"/>
    <w:rsid w:val="00F6261A"/>
    <w:rsid w:val="00F72A2F"/>
    <w:rsid w:val="00F867F2"/>
    <w:rsid w:val="00FA6694"/>
    <w:rsid w:val="00FC2F2B"/>
    <w:rsid w:val="00FC5179"/>
    <w:rsid w:val="00FD16BC"/>
    <w:rsid w:val="00FE345A"/>
    <w:rsid w:val="00FF0D7F"/>
    <w:rsid w:val="00FF235A"/>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BC"/>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8A25BC"/>
    <w:rPr>
      <w:rFonts w:ascii="Arial" w:hAnsi="Arial" w:cs="Arial"/>
      <w:color w:val="auto"/>
      <w:sz w:val="20"/>
    </w:rPr>
  </w:style>
  <w:style w:type="character" w:customStyle="1" w:styleId="PersonalReplyStyle">
    <w:name w:val="Personal Reply Style"/>
    <w:basedOn w:val="DefaultParagraphFont"/>
    <w:rsid w:val="008A25BC"/>
    <w:rPr>
      <w:rFonts w:ascii="Arial" w:hAnsi="Arial" w:cs="Arial"/>
      <w:color w:val="auto"/>
      <w:sz w:val="20"/>
    </w:rPr>
  </w:style>
  <w:style w:type="paragraph" w:styleId="Header">
    <w:name w:val="header"/>
    <w:basedOn w:val="Normal"/>
    <w:link w:val="HeaderChar"/>
    <w:uiPriority w:val="99"/>
    <w:unhideWhenUsed/>
    <w:rsid w:val="005E33D3"/>
    <w:pPr>
      <w:tabs>
        <w:tab w:val="center" w:pos="4513"/>
        <w:tab w:val="right" w:pos="9026"/>
      </w:tabs>
    </w:pPr>
  </w:style>
  <w:style w:type="character" w:customStyle="1" w:styleId="HeaderChar">
    <w:name w:val="Header Char"/>
    <w:basedOn w:val="DefaultParagraphFont"/>
    <w:link w:val="Header"/>
    <w:uiPriority w:val="99"/>
    <w:rsid w:val="005E33D3"/>
    <w:rPr>
      <w:rFonts w:ascii="Arial" w:hAnsi="Arial"/>
      <w:sz w:val="22"/>
      <w:lang w:eastAsia="en-US"/>
    </w:rPr>
  </w:style>
  <w:style w:type="paragraph" w:styleId="Footer">
    <w:name w:val="footer"/>
    <w:basedOn w:val="Normal"/>
    <w:link w:val="FooterChar"/>
    <w:uiPriority w:val="99"/>
    <w:unhideWhenUsed/>
    <w:rsid w:val="005E33D3"/>
    <w:pPr>
      <w:tabs>
        <w:tab w:val="center" w:pos="4513"/>
        <w:tab w:val="right" w:pos="9026"/>
      </w:tabs>
    </w:pPr>
  </w:style>
  <w:style w:type="character" w:customStyle="1" w:styleId="FooterChar">
    <w:name w:val="Footer Char"/>
    <w:basedOn w:val="DefaultParagraphFont"/>
    <w:link w:val="Footer"/>
    <w:uiPriority w:val="99"/>
    <w:rsid w:val="005E33D3"/>
    <w:rPr>
      <w:rFonts w:ascii="Arial" w:hAnsi="Arial"/>
      <w:sz w:val="22"/>
      <w:lang w:eastAsia="en-US"/>
    </w:rPr>
  </w:style>
  <w:style w:type="character" w:styleId="Hyperlink">
    <w:name w:val="Hyperlink"/>
    <w:basedOn w:val="DefaultParagraphFont"/>
    <w:uiPriority w:val="99"/>
    <w:unhideWhenUsed/>
    <w:rsid w:val="005E33D3"/>
    <w:rPr>
      <w:color w:val="0000FF" w:themeColor="hyperlink"/>
      <w:u w:val="single"/>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AFPC 1-9,AFPC Footnote Text"/>
    <w:basedOn w:val="Normal"/>
    <w:link w:val="FootnoteTextChar"/>
    <w:unhideWhenUsed/>
    <w:rsid w:val="005E33D3"/>
    <w:pPr>
      <w:tabs>
        <w:tab w:val="left" w:pos="1701"/>
      </w:tabs>
    </w:pPr>
    <w:rPr>
      <w:rFonts w:ascii="Calibri" w:hAnsi="Calibri" w:cs="Calibri"/>
      <w:sz w:val="20"/>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
    <w:basedOn w:val="DefaultParagraphFont"/>
    <w:link w:val="FootnoteText"/>
    <w:rsid w:val="005E33D3"/>
    <w:rPr>
      <w:rFonts w:ascii="Calibri" w:hAnsi="Calibri" w:cs="Calibri"/>
    </w:rPr>
  </w:style>
  <w:style w:type="character" w:styleId="FootnoteReference">
    <w:name w:val="footnote reference"/>
    <w:aliases w:val="AFPC Footnote Reference"/>
    <w:rsid w:val="005E33D3"/>
    <w:rPr>
      <w:rFonts w:cs="Times New Roman"/>
      <w:vertAlign w:val="superscript"/>
    </w:rPr>
  </w:style>
  <w:style w:type="paragraph" w:styleId="BalloonText">
    <w:name w:val="Balloon Text"/>
    <w:basedOn w:val="Normal"/>
    <w:link w:val="BalloonTextChar"/>
    <w:uiPriority w:val="99"/>
    <w:semiHidden/>
    <w:unhideWhenUsed/>
    <w:rsid w:val="005E33D3"/>
    <w:rPr>
      <w:rFonts w:ascii="Tahoma" w:hAnsi="Tahoma" w:cs="Tahoma"/>
      <w:sz w:val="16"/>
      <w:szCs w:val="16"/>
    </w:rPr>
  </w:style>
  <w:style w:type="character" w:customStyle="1" w:styleId="BalloonTextChar">
    <w:name w:val="Balloon Text Char"/>
    <w:basedOn w:val="DefaultParagraphFont"/>
    <w:link w:val="BalloonText"/>
    <w:uiPriority w:val="99"/>
    <w:semiHidden/>
    <w:rsid w:val="005E33D3"/>
    <w:rPr>
      <w:rFonts w:ascii="Tahoma" w:hAnsi="Tahoma" w:cs="Tahoma"/>
      <w:sz w:val="16"/>
      <w:szCs w:val="16"/>
      <w:lang w:eastAsia="en-US"/>
    </w:rPr>
  </w:style>
  <w:style w:type="paragraph" w:styleId="ListParagraph">
    <w:name w:val="List Paragraph"/>
    <w:basedOn w:val="Normal"/>
    <w:link w:val="ListParagraphChar"/>
    <w:uiPriority w:val="34"/>
    <w:qFormat/>
    <w:rsid w:val="005E33D3"/>
    <w:pPr>
      <w:ind w:left="720"/>
      <w:contextualSpacing/>
    </w:pPr>
  </w:style>
  <w:style w:type="character" w:styleId="CommentReference">
    <w:name w:val="annotation reference"/>
    <w:basedOn w:val="DefaultParagraphFont"/>
    <w:uiPriority w:val="99"/>
    <w:unhideWhenUsed/>
    <w:rsid w:val="00D13F8D"/>
    <w:rPr>
      <w:sz w:val="16"/>
      <w:szCs w:val="16"/>
    </w:rPr>
  </w:style>
  <w:style w:type="paragraph" w:styleId="CommentText">
    <w:name w:val="annotation text"/>
    <w:basedOn w:val="Normal"/>
    <w:link w:val="CommentTextChar"/>
    <w:uiPriority w:val="99"/>
    <w:semiHidden/>
    <w:unhideWhenUsed/>
    <w:rsid w:val="00D13F8D"/>
    <w:rPr>
      <w:sz w:val="20"/>
    </w:rPr>
  </w:style>
  <w:style w:type="character" w:customStyle="1" w:styleId="CommentTextChar">
    <w:name w:val="Comment Text Char"/>
    <w:basedOn w:val="DefaultParagraphFont"/>
    <w:link w:val="CommentText"/>
    <w:uiPriority w:val="99"/>
    <w:semiHidden/>
    <w:rsid w:val="00D13F8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3F8D"/>
    <w:rPr>
      <w:b/>
      <w:bCs/>
    </w:rPr>
  </w:style>
  <w:style w:type="character" w:customStyle="1" w:styleId="CommentSubjectChar">
    <w:name w:val="Comment Subject Char"/>
    <w:basedOn w:val="CommentTextChar"/>
    <w:link w:val="CommentSubject"/>
    <w:uiPriority w:val="99"/>
    <w:semiHidden/>
    <w:rsid w:val="00D13F8D"/>
    <w:rPr>
      <w:rFonts w:ascii="Arial" w:hAnsi="Arial"/>
      <w:b/>
      <w:bCs/>
      <w:lang w:eastAsia="en-US"/>
    </w:rPr>
  </w:style>
  <w:style w:type="paragraph" w:styleId="Caption">
    <w:name w:val="caption"/>
    <w:basedOn w:val="Normal"/>
    <w:next w:val="Normal"/>
    <w:uiPriority w:val="35"/>
    <w:semiHidden/>
    <w:unhideWhenUsed/>
    <w:qFormat/>
    <w:rsid w:val="00DA4453"/>
    <w:pPr>
      <w:spacing w:after="200"/>
    </w:pPr>
    <w:rPr>
      <w:rFonts w:eastAsiaTheme="minorEastAsia"/>
      <w:b/>
      <w:bCs/>
      <w:color w:val="4F81BD" w:themeColor="accent1"/>
      <w:sz w:val="18"/>
      <w:szCs w:val="18"/>
      <w:lang w:eastAsia="zh-CN"/>
    </w:rPr>
  </w:style>
  <w:style w:type="paragraph" w:customStyle="1" w:styleId="TableChartFootonote">
    <w:name w:val="TableChart Footonote"/>
    <w:basedOn w:val="Normal"/>
    <w:link w:val="TableChartFootonoteChar"/>
    <w:qFormat/>
    <w:rsid w:val="009005AD"/>
    <w:pPr>
      <w:suppressAutoHyphens/>
    </w:pPr>
    <w:rPr>
      <w:rFonts w:ascii="Calibri" w:eastAsia="ヒラギノ角ゴ Pro W3" w:hAnsi="Calibri"/>
      <w:color w:val="000000"/>
      <w:sz w:val="20"/>
      <w:szCs w:val="22"/>
      <w:lang w:val="en-US"/>
    </w:rPr>
  </w:style>
  <w:style w:type="character" w:customStyle="1" w:styleId="TableChartFootonoteChar">
    <w:name w:val="TableChart Footonote Char"/>
    <w:basedOn w:val="DefaultParagraphFont"/>
    <w:link w:val="TableChartFootonote"/>
    <w:rsid w:val="009005AD"/>
    <w:rPr>
      <w:rFonts w:ascii="Calibri" w:eastAsia="ヒラギノ角ゴ Pro W3" w:hAnsi="Calibri"/>
      <w:color w:val="000000"/>
      <w:szCs w:val="22"/>
      <w:lang w:val="en-US" w:eastAsia="en-US"/>
    </w:rPr>
  </w:style>
  <w:style w:type="paragraph" w:customStyle="1" w:styleId="TableChartHeading">
    <w:name w:val="Table Chart Heading"/>
    <w:basedOn w:val="Normal"/>
    <w:link w:val="TableChartHeadingChar"/>
    <w:qFormat/>
    <w:rsid w:val="009005AD"/>
    <w:pPr>
      <w:keepNext/>
      <w:suppressAutoHyphens/>
      <w:spacing w:before="240" w:after="60"/>
      <w:outlineLvl w:val="4"/>
    </w:pPr>
    <w:rPr>
      <w:rFonts w:ascii="Calibri" w:hAnsi="Calibri"/>
      <w:b/>
      <w:bCs/>
      <w:i/>
      <w:iCs/>
      <w:sz w:val="24"/>
      <w:szCs w:val="22"/>
      <w:lang w:eastAsia="en-AU"/>
    </w:rPr>
  </w:style>
  <w:style w:type="character" w:customStyle="1" w:styleId="TableChartHeadingChar">
    <w:name w:val="Table Chart Heading Char"/>
    <w:basedOn w:val="DefaultParagraphFont"/>
    <w:link w:val="TableChartHeading"/>
    <w:rsid w:val="009005AD"/>
    <w:rPr>
      <w:rFonts w:ascii="Calibri" w:hAnsi="Calibri"/>
      <w:b/>
      <w:bCs/>
      <w:i/>
      <w:iCs/>
      <w:sz w:val="24"/>
      <w:szCs w:val="22"/>
    </w:rPr>
  </w:style>
  <w:style w:type="paragraph" w:customStyle="1" w:styleId="StandardText">
    <w:name w:val="Standard Text"/>
    <w:basedOn w:val="Normal"/>
    <w:link w:val="StandardTextChar"/>
    <w:qFormat/>
    <w:rsid w:val="000D60EE"/>
    <w:pPr>
      <w:numPr>
        <w:numId w:val="2"/>
      </w:numPr>
      <w:tabs>
        <w:tab w:val="clear" w:pos="360"/>
        <w:tab w:val="left" w:pos="567"/>
      </w:tabs>
      <w:suppressAutoHyphens/>
      <w:spacing w:before="120" w:after="120"/>
      <w:ind w:left="567" w:hanging="567"/>
    </w:pPr>
    <w:rPr>
      <w:rFonts w:ascii="Calibri" w:eastAsia="ヒラギノ角ゴ Pro W3" w:hAnsi="Calibri"/>
      <w:color w:val="000000"/>
      <w:sz w:val="24"/>
      <w:szCs w:val="24"/>
    </w:rPr>
  </w:style>
  <w:style w:type="character" w:customStyle="1" w:styleId="StandardTextChar">
    <w:name w:val="Standard Text Char"/>
    <w:basedOn w:val="DefaultParagraphFont"/>
    <w:link w:val="StandardText"/>
    <w:rsid w:val="000D60EE"/>
    <w:rPr>
      <w:rFonts w:ascii="Calibri" w:eastAsia="ヒラギノ角ゴ Pro W3" w:hAnsi="Calibri"/>
      <w:color w:val="000000"/>
      <w:sz w:val="24"/>
      <w:szCs w:val="24"/>
      <w:lang w:eastAsia="en-US"/>
    </w:rPr>
  </w:style>
  <w:style w:type="paragraph" w:customStyle="1" w:styleId="FWCstyle">
    <w:name w:val="FWC style"/>
    <w:basedOn w:val="ListParagraph"/>
    <w:link w:val="FWCstyleChar"/>
    <w:qFormat/>
    <w:rsid w:val="004664CA"/>
    <w:pPr>
      <w:numPr>
        <w:numId w:val="1"/>
      </w:numPr>
      <w:tabs>
        <w:tab w:val="left" w:pos="1701"/>
      </w:tabs>
      <w:spacing w:before="120" w:after="120"/>
      <w:contextualSpacing w:val="0"/>
    </w:pPr>
    <w:rPr>
      <w:rFonts w:ascii="Calibri" w:hAnsi="Calibri" w:cs="Calibri"/>
      <w:sz w:val="24"/>
      <w:szCs w:val="24"/>
      <w:lang w:eastAsia="en-AU"/>
    </w:rPr>
  </w:style>
  <w:style w:type="character" w:customStyle="1" w:styleId="ListParagraphChar">
    <w:name w:val="List Paragraph Char"/>
    <w:basedOn w:val="DefaultParagraphFont"/>
    <w:link w:val="ListParagraph"/>
    <w:uiPriority w:val="34"/>
    <w:rsid w:val="004664CA"/>
    <w:rPr>
      <w:rFonts w:ascii="Arial" w:hAnsi="Arial"/>
      <w:sz w:val="22"/>
      <w:lang w:eastAsia="en-US"/>
    </w:rPr>
  </w:style>
  <w:style w:type="character" w:customStyle="1" w:styleId="FWCstyleChar">
    <w:name w:val="FWC style Char"/>
    <w:basedOn w:val="ListParagraphChar"/>
    <w:link w:val="FWCstyle"/>
    <w:rsid w:val="004664CA"/>
    <w:rPr>
      <w:rFonts w:ascii="Calibri" w:hAnsi="Calibri" w:cs="Calibri"/>
      <w:sz w:val="24"/>
      <w:szCs w:val="24"/>
      <w:lang w:eastAsia="en-US"/>
    </w:rPr>
  </w:style>
  <w:style w:type="paragraph" w:customStyle="1" w:styleId="MWRHeading1">
    <w:name w:val="MWR_Heading_1"/>
    <w:basedOn w:val="Normal"/>
    <w:rsid w:val="003B2694"/>
    <w:pPr>
      <w:keepNext/>
      <w:numPr>
        <w:numId w:val="7"/>
      </w:numPr>
      <w:tabs>
        <w:tab w:val="clear" w:pos="425"/>
        <w:tab w:val="num" w:pos="360"/>
      </w:tabs>
      <w:spacing w:before="240" w:after="120" w:line="276" w:lineRule="auto"/>
      <w:ind w:left="0" w:firstLine="0"/>
      <w:outlineLvl w:val="0"/>
    </w:pPr>
    <w:rPr>
      <w:rFonts w:asciiTheme="minorHAnsi" w:eastAsiaTheme="minorHAnsi" w:hAnsiTheme="minorHAnsi" w:cstheme="minorBidi"/>
      <w:sz w:val="28"/>
      <w:szCs w:val="22"/>
    </w:rPr>
  </w:style>
  <w:style w:type="paragraph" w:customStyle="1" w:styleId="MWRHeading2">
    <w:name w:val="MWR_Heading_2"/>
    <w:basedOn w:val="Normal"/>
    <w:next w:val="Normal"/>
    <w:rsid w:val="003B2694"/>
    <w:pPr>
      <w:keepNext/>
      <w:numPr>
        <w:ilvl w:val="1"/>
        <w:numId w:val="7"/>
      </w:numPr>
      <w:tabs>
        <w:tab w:val="clear" w:pos="851"/>
      </w:tabs>
      <w:spacing w:before="240" w:after="120" w:line="276" w:lineRule="auto"/>
      <w:outlineLvl w:val="1"/>
    </w:pPr>
    <w:rPr>
      <w:rFonts w:asciiTheme="minorHAnsi" w:eastAsiaTheme="minorHAnsi" w:hAnsiTheme="minorHAnsi" w:cstheme="minorBidi"/>
      <w:b/>
      <w:sz w:val="24"/>
      <w:szCs w:val="22"/>
    </w:rPr>
  </w:style>
  <w:style w:type="paragraph" w:customStyle="1" w:styleId="MWRHeading3">
    <w:name w:val="MWR_Heading_3"/>
    <w:basedOn w:val="Normal"/>
    <w:next w:val="Normal"/>
    <w:rsid w:val="003B2694"/>
    <w:pPr>
      <w:keepNext/>
      <w:numPr>
        <w:ilvl w:val="2"/>
        <w:numId w:val="7"/>
      </w:numPr>
      <w:tabs>
        <w:tab w:val="clear" w:pos="1276"/>
        <w:tab w:val="num" w:pos="360"/>
        <w:tab w:val="left" w:pos="992"/>
      </w:tabs>
      <w:spacing w:before="240" w:after="120" w:line="276" w:lineRule="auto"/>
      <w:ind w:left="0" w:firstLine="0"/>
      <w:outlineLvl w:val="2"/>
    </w:pPr>
    <w:rPr>
      <w:rFonts w:asciiTheme="minorHAnsi" w:eastAsiaTheme="minorHAnsi" w:hAnsiTheme="minorHAnsi" w:cstheme="minorBidi"/>
      <w:b/>
      <w:szCs w:val="22"/>
    </w:rPr>
  </w:style>
  <w:style w:type="paragraph" w:customStyle="1" w:styleId="MWRHeading4">
    <w:name w:val="MWR_Heading_4"/>
    <w:basedOn w:val="Normal"/>
    <w:next w:val="Normal"/>
    <w:rsid w:val="003B2694"/>
    <w:pPr>
      <w:keepNext/>
      <w:numPr>
        <w:ilvl w:val="3"/>
        <w:numId w:val="7"/>
      </w:numPr>
      <w:tabs>
        <w:tab w:val="clear" w:pos="1701"/>
        <w:tab w:val="num" w:pos="360"/>
        <w:tab w:val="left" w:pos="1276"/>
      </w:tabs>
      <w:spacing w:before="240" w:after="120" w:line="276" w:lineRule="auto"/>
      <w:ind w:left="1276" w:hanging="1276"/>
    </w:pPr>
    <w:rPr>
      <w:rFonts w:asciiTheme="minorHAnsi" w:eastAsiaTheme="minorHAnsi" w:hAnsiTheme="minorHAnsi" w:cstheme="minorBidi"/>
      <w:b/>
      <w:szCs w:val="22"/>
    </w:rPr>
  </w:style>
  <w:style w:type="paragraph" w:customStyle="1" w:styleId="MWRHeading5">
    <w:name w:val="MWR_Heading_5"/>
    <w:basedOn w:val="Normal"/>
    <w:rsid w:val="003B2694"/>
    <w:pPr>
      <w:keepNext/>
      <w:numPr>
        <w:ilvl w:val="4"/>
        <w:numId w:val="7"/>
      </w:numPr>
      <w:tabs>
        <w:tab w:val="clear" w:pos="1701"/>
        <w:tab w:val="num" w:pos="360"/>
        <w:tab w:val="left" w:pos="1559"/>
      </w:tabs>
      <w:spacing w:before="240" w:after="120" w:line="276" w:lineRule="auto"/>
      <w:ind w:left="1560" w:hanging="1560"/>
    </w:pPr>
    <w:rPr>
      <w:rFonts w:asciiTheme="minorHAnsi" w:eastAsiaTheme="minorHAnsi" w:hAnsiTheme="minorHAnsi" w:cstheme="minorBidi"/>
      <w:b/>
      <w:szCs w:val="22"/>
    </w:rPr>
  </w:style>
  <w:style w:type="paragraph" w:customStyle="1" w:styleId="MWRHeading6">
    <w:name w:val="MWR_Heading_6"/>
    <w:basedOn w:val="Normal"/>
    <w:next w:val="Normal"/>
    <w:rsid w:val="003B2694"/>
    <w:pPr>
      <w:keepNext/>
      <w:numPr>
        <w:ilvl w:val="5"/>
        <w:numId w:val="7"/>
      </w:numPr>
      <w:tabs>
        <w:tab w:val="clear" w:pos="1701"/>
      </w:tabs>
      <w:spacing w:before="240" w:after="120" w:line="276" w:lineRule="auto"/>
    </w:pPr>
    <w:rPr>
      <w:rFonts w:asciiTheme="minorHAnsi" w:eastAsiaTheme="minorHAnsi" w:hAnsiTheme="minorHAnsi" w:cstheme="minorBidi"/>
      <w:b/>
      <w:szCs w:val="22"/>
    </w:rPr>
  </w:style>
  <w:style w:type="character" w:styleId="SubtleEmphasis">
    <w:name w:val="Subtle Emphasis"/>
    <w:basedOn w:val="DefaultParagraphFont"/>
    <w:uiPriority w:val="19"/>
    <w:qFormat/>
    <w:rsid w:val="003B2694"/>
    <w:rPr>
      <w:i/>
      <w:iCs/>
      <w:color w:val="808080" w:themeColor="text1" w:themeTint="7F"/>
    </w:rPr>
  </w:style>
  <w:style w:type="character" w:styleId="FollowedHyperlink">
    <w:name w:val="FollowedHyperlink"/>
    <w:basedOn w:val="DefaultParagraphFont"/>
    <w:uiPriority w:val="99"/>
    <w:semiHidden/>
    <w:unhideWhenUsed/>
    <w:rsid w:val="00AE46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5E33D3"/>
    <w:pPr>
      <w:tabs>
        <w:tab w:val="center" w:pos="4513"/>
        <w:tab w:val="right" w:pos="9026"/>
      </w:tabs>
    </w:pPr>
  </w:style>
  <w:style w:type="character" w:customStyle="1" w:styleId="HeaderChar">
    <w:name w:val="Header Char"/>
    <w:basedOn w:val="DefaultParagraphFont"/>
    <w:link w:val="Header"/>
    <w:uiPriority w:val="99"/>
    <w:rsid w:val="005E33D3"/>
    <w:rPr>
      <w:rFonts w:ascii="Arial" w:hAnsi="Arial"/>
      <w:sz w:val="22"/>
      <w:lang w:eastAsia="en-US"/>
    </w:rPr>
  </w:style>
  <w:style w:type="paragraph" w:styleId="Footer">
    <w:name w:val="footer"/>
    <w:basedOn w:val="Normal"/>
    <w:link w:val="FooterChar"/>
    <w:uiPriority w:val="99"/>
    <w:unhideWhenUsed/>
    <w:rsid w:val="005E33D3"/>
    <w:pPr>
      <w:tabs>
        <w:tab w:val="center" w:pos="4513"/>
        <w:tab w:val="right" w:pos="9026"/>
      </w:tabs>
    </w:pPr>
  </w:style>
  <w:style w:type="character" w:customStyle="1" w:styleId="FooterChar">
    <w:name w:val="Footer Char"/>
    <w:basedOn w:val="DefaultParagraphFont"/>
    <w:link w:val="Footer"/>
    <w:uiPriority w:val="99"/>
    <w:rsid w:val="005E33D3"/>
    <w:rPr>
      <w:rFonts w:ascii="Arial" w:hAnsi="Arial"/>
      <w:sz w:val="22"/>
      <w:lang w:eastAsia="en-US"/>
    </w:rPr>
  </w:style>
  <w:style w:type="character" w:styleId="Hyperlink">
    <w:name w:val="Hyperlink"/>
    <w:basedOn w:val="DefaultParagraphFont"/>
    <w:uiPriority w:val="99"/>
    <w:unhideWhenUsed/>
    <w:rsid w:val="005E33D3"/>
    <w:rPr>
      <w:color w:val="0000FF" w:themeColor="hyperlink"/>
      <w:u w:val="single"/>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AFPC 1-9,AFPC Footnote Text"/>
    <w:basedOn w:val="Normal"/>
    <w:link w:val="FootnoteTextChar"/>
    <w:unhideWhenUsed/>
    <w:rsid w:val="005E33D3"/>
    <w:pPr>
      <w:tabs>
        <w:tab w:val="left" w:pos="1701"/>
      </w:tabs>
    </w:pPr>
    <w:rPr>
      <w:rFonts w:ascii="Calibri" w:hAnsi="Calibri" w:cs="Calibri"/>
      <w:sz w:val="20"/>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
    <w:basedOn w:val="DefaultParagraphFont"/>
    <w:link w:val="FootnoteText"/>
    <w:rsid w:val="005E33D3"/>
    <w:rPr>
      <w:rFonts w:ascii="Calibri" w:hAnsi="Calibri" w:cs="Calibri"/>
    </w:rPr>
  </w:style>
  <w:style w:type="character" w:styleId="FootnoteReference">
    <w:name w:val="footnote reference"/>
    <w:aliases w:val="AFPC Footnote Reference"/>
    <w:rsid w:val="005E33D3"/>
    <w:rPr>
      <w:rFonts w:cs="Times New Roman"/>
      <w:vertAlign w:val="superscript"/>
    </w:rPr>
  </w:style>
  <w:style w:type="paragraph" w:styleId="BalloonText">
    <w:name w:val="Balloon Text"/>
    <w:basedOn w:val="Normal"/>
    <w:link w:val="BalloonTextChar"/>
    <w:uiPriority w:val="99"/>
    <w:semiHidden/>
    <w:unhideWhenUsed/>
    <w:rsid w:val="005E33D3"/>
    <w:rPr>
      <w:rFonts w:ascii="Tahoma" w:hAnsi="Tahoma" w:cs="Tahoma"/>
      <w:sz w:val="16"/>
      <w:szCs w:val="16"/>
    </w:rPr>
  </w:style>
  <w:style w:type="character" w:customStyle="1" w:styleId="BalloonTextChar">
    <w:name w:val="Balloon Text Char"/>
    <w:basedOn w:val="DefaultParagraphFont"/>
    <w:link w:val="BalloonText"/>
    <w:uiPriority w:val="99"/>
    <w:semiHidden/>
    <w:rsid w:val="005E33D3"/>
    <w:rPr>
      <w:rFonts w:ascii="Tahoma" w:hAnsi="Tahoma" w:cs="Tahoma"/>
      <w:sz w:val="16"/>
      <w:szCs w:val="16"/>
      <w:lang w:eastAsia="en-US"/>
    </w:rPr>
  </w:style>
  <w:style w:type="paragraph" w:styleId="ListParagraph">
    <w:name w:val="List Paragraph"/>
    <w:basedOn w:val="Normal"/>
    <w:link w:val="ListParagraphChar"/>
    <w:uiPriority w:val="34"/>
    <w:qFormat/>
    <w:rsid w:val="005E33D3"/>
    <w:pPr>
      <w:ind w:left="720"/>
      <w:contextualSpacing/>
    </w:pPr>
  </w:style>
  <w:style w:type="character" w:styleId="CommentReference">
    <w:name w:val="annotation reference"/>
    <w:basedOn w:val="DefaultParagraphFont"/>
    <w:uiPriority w:val="99"/>
    <w:unhideWhenUsed/>
    <w:rsid w:val="00D13F8D"/>
    <w:rPr>
      <w:sz w:val="16"/>
      <w:szCs w:val="16"/>
    </w:rPr>
  </w:style>
  <w:style w:type="paragraph" w:styleId="CommentText">
    <w:name w:val="annotation text"/>
    <w:basedOn w:val="Normal"/>
    <w:link w:val="CommentTextChar"/>
    <w:uiPriority w:val="99"/>
    <w:semiHidden/>
    <w:unhideWhenUsed/>
    <w:rsid w:val="00D13F8D"/>
    <w:rPr>
      <w:sz w:val="20"/>
    </w:rPr>
  </w:style>
  <w:style w:type="character" w:customStyle="1" w:styleId="CommentTextChar">
    <w:name w:val="Comment Text Char"/>
    <w:basedOn w:val="DefaultParagraphFont"/>
    <w:link w:val="CommentText"/>
    <w:uiPriority w:val="99"/>
    <w:semiHidden/>
    <w:rsid w:val="00D13F8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3F8D"/>
    <w:rPr>
      <w:b/>
      <w:bCs/>
    </w:rPr>
  </w:style>
  <w:style w:type="character" w:customStyle="1" w:styleId="CommentSubjectChar">
    <w:name w:val="Comment Subject Char"/>
    <w:basedOn w:val="CommentTextChar"/>
    <w:link w:val="CommentSubject"/>
    <w:uiPriority w:val="99"/>
    <w:semiHidden/>
    <w:rsid w:val="00D13F8D"/>
    <w:rPr>
      <w:rFonts w:ascii="Arial" w:hAnsi="Arial"/>
      <w:b/>
      <w:bCs/>
      <w:lang w:eastAsia="en-US"/>
    </w:rPr>
  </w:style>
  <w:style w:type="paragraph" w:styleId="Caption">
    <w:name w:val="caption"/>
    <w:basedOn w:val="Normal"/>
    <w:next w:val="Normal"/>
    <w:uiPriority w:val="35"/>
    <w:semiHidden/>
    <w:unhideWhenUsed/>
    <w:qFormat/>
    <w:rsid w:val="00DA4453"/>
    <w:pPr>
      <w:spacing w:after="200"/>
    </w:pPr>
    <w:rPr>
      <w:rFonts w:eastAsiaTheme="minorEastAsia"/>
      <w:b/>
      <w:bCs/>
      <w:color w:val="4F81BD" w:themeColor="accent1"/>
      <w:sz w:val="18"/>
      <w:szCs w:val="18"/>
      <w:lang w:eastAsia="zh-CN"/>
    </w:rPr>
  </w:style>
  <w:style w:type="paragraph" w:customStyle="1" w:styleId="TableChartFootonote">
    <w:name w:val="TableChart Footonote"/>
    <w:basedOn w:val="Normal"/>
    <w:link w:val="TableChartFootonoteChar"/>
    <w:qFormat/>
    <w:rsid w:val="009005AD"/>
    <w:pPr>
      <w:suppressAutoHyphens/>
    </w:pPr>
    <w:rPr>
      <w:rFonts w:ascii="Calibri" w:eastAsia="ヒラギノ角ゴ Pro W3" w:hAnsi="Calibri"/>
      <w:color w:val="000000"/>
      <w:sz w:val="20"/>
      <w:szCs w:val="22"/>
      <w:lang w:val="en-US"/>
    </w:rPr>
  </w:style>
  <w:style w:type="character" w:customStyle="1" w:styleId="TableChartFootonoteChar">
    <w:name w:val="TableChart Footonote Char"/>
    <w:basedOn w:val="DefaultParagraphFont"/>
    <w:link w:val="TableChartFootonote"/>
    <w:rsid w:val="009005AD"/>
    <w:rPr>
      <w:rFonts w:ascii="Calibri" w:eastAsia="ヒラギノ角ゴ Pro W3" w:hAnsi="Calibri"/>
      <w:color w:val="000000"/>
      <w:szCs w:val="22"/>
      <w:lang w:val="en-US" w:eastAsia="en-US"/>
    </w:rPr>
  </w:style>
  <w:style w:type="paragraph" w:customStyle="1" w:styleId="TableChartHeading">
    <w:name w:val="Table Chart Heading"/>
    <w:basedOn w:val="Normal"/>
    <w:link w:val="TableChartHeadingChar"/>
    <w:qFormat/>
    <w:rsid w:val="009005AD"/>
    <w:pPr>
      <w:keepNext/>
      <w:suppressAutoHyphens/>
      <w:spacing w:before="240" w:after="60"/>
      <w:outlineLvl w:val="4"/>
    </w:pPr>
    <w:rPr>
      <w:rFonts w:ascii="Calibri" w:hAnsi="Calibri"/>
      <w:b/>
      <w:bCs/>
      <w:i/>
      <w:iCs/>
      <w:sz w:val="24"/>
      <w:szCs w:val="22"/>
      <w:lang w:eastAsia="en-AU"/>
    </w:rPr>
  </w:style>
  <w:style w:type="character" w:customStyle="1" w:styleId="TableChartHeadingChar">
    <w:name w:val="Table Chart Heading Char"/>
    <w:basedOn w:val="DefaultParagraphFont"/>
    <w:link w:val="TableChartHeading"/>
    <w:rsid w:val="009005AD"/>
    <w:rPr>
      <w:rFonts w:ascii="Calibri" w:hAnsi="Calibri"/>
      <w:b/>
      <w:bCs/>
      <w:i/>
      <w:iCs/>
      <w:sz w:val="24"/>
      <w:szCs w:val="22"/>
    </w:rPr>
  </w:style>
  <w:style w:type="paragraph" w:customStyle="1" w:styleId="StandardText">
    <w:name w:val="Standard Text"/>
    <w:basedOn w:val="Normal"/>
    <w:link w:val="StandardTextChar"/>
    <w:qFormat/>
    <w:rsid w:val="000D60EE"/>
    <w:pPr>
      <w:numPr>
        <w:numId w:val="2"/>
      </w:numPr>
      <w:tabs>
        <w:tab w:val="clear" w:pos="360"/>
        <w:tab w:val="left" w:pos="567"/>
      </w:tabs>
      <w:suppressAutoHyphens/>
      <w:spacing w:before="120" w:after="120"/>
      <w:ind w:left="567" w:hanging="567"/>
    </w:pPr>
    <w:rPr>
      <w:rFonts w:ascii="Calibri" w:eastAsia="ヒラギノ角ゴ Pro W3" w:hAnsi="Calibri"/>
      <w:color w:val="000000"/>
      <w:sz w:val="24"/>
      <w:szCs w:val="24"/>
    </w:rPr>
  </w:style>
  <w:style w:type="character" w:customStyle="1" w:styleId="StandardTextChar">
    <w:name w:val="Standard Text Char"/>
    <w:basedOn w:val="DefaultParagraphFont"/>
    <w:link w:val="StandardText"/>
    <w:rsid w:val="000D60EE"/>
    <w:rPr>
      <w:rFonts w:ascii="Calibri" w:eastAsia="ヒラギノ角ゴ Pro W3" w:hAnsi="Calibri"/>
      <w:color w:val="000000"/>
      <w:sz w:val="24"/>
      <w:szCs w:val="24"/>
      <w:lang w:eastAsia="en-US"/>
    </w:rPr>
  </w:style>
  <w:style w:type="paragraph" w:customStyle="1" w:styleId="FWCstyle">
    <w:name w:val="FWC style"/>
    <w:basedOn w:val="ListParagraph"/>
    <w:link w:val="FWCstyleChar"/>
    <w:qFormat/>
    <w:rsid w:val="004664CA"/>
    <w:pPr>
      <w:numPr>
        <w:numId w:val="1"/>
      </w:numPr>
      <w:tabs>
        <w:tab w:val="left" w:pos="1701"/>
      </w:tabs>
      <w:spacing w:before="120" w:after="120"/>
      <w:contextualSpacing w:val="0"/>
    </w:pPr>
    <w:rPr>
      <w:rFonts w:ascii="Calibri" w:hAnsi="Calibri" w:cs="Calibri"/>
      <w:sz w:val="24"/>
      <w:szCs w:val="24"/>
      <w:lang w:eastAsia="en-AU"/>
    </w:rPr>
  </w:style>
  <w:style w:type="character" w:customStyle="1" w:styleId="ListParagraphChar">
    <w:name w:val="List Paragraph Char"/>
    <w:basedOn w:val="DefaultParagraphFont"/>
    <w:link w:val="ListParagraph"/>
    <w:uiPriority w:val="34"/>
    <w:rsid w:val="004664CA"/>
    <w:rPr>
      <w:rFonts w:ascii="Arial" w:hAnsi="Arial"/>
      <w:sz w:val="22"/>
      <w:lang w:eastAsia="en-US"/>
    </w:rPr>
  </w:style>
  <w:style w:type="character" w:customStyle="1" w:styleId="FWCstyleChar">
    <w:name w:val="FWC style Char"/>
    <w:basedOn w:val="ListParagraphChar"/>
    <w:link w:val="FWCstyle"/>
    <w:rsid w:val="004664CA"/>
    <w:rPr>
      <w:rFonts w:ascii="Calibri" w:hAnsi="Calibri" w:cs="Calibri"/>
      <w:sz w:val="24"/>
      <w:szCs w:val="24"/>
      <w:lang w:eastAsia="en-US"/>
    </w:rPr>
  </w:style>
  <w:style w:type="paragraph" w:customStyle="1" w:styleId="MWRHeading1">
    <w:name w:val="MWR_Heading_1"/>
    <w:basedOn w:val="Normal"/>
    <w:rsid w:val="003B2694"/>
    <w:pPr>
      <w:keepNext/>
      <w:numPr>
        <w:numId w:val="7"/>
      </w:numPr>
      <w:tabs>
        <w:tab w:val="clear" w:pos="425"/>
        <w:tab w:val="num" w:pos="360"/>
      </w:tabs>
      <w:spacing w:before="240" w:after="120" w:line="276" w:lineRule="auto"/>
      <w:ind w:left="0" w:firstLine="0"/>
      <w:outlineLvl w:val="0"/>
    </w:pPr>
    <w:rPr>
      <w:rFonts w:asciiTheme="minorHAnsi" w:eastAsiaTheme="minorHAnsi" w:hAnsiTheme="minorHAnsi" w:cstheme="minorBidi"/>
      <w:sz w:val="28"/>
      <w:szCs w:val="22"/>
    </w:rPr>
  </w:style>
  <w:style w:type="paragraph" w:customStyle="1" w:styleId="MWRHeading2">
    <w:name w:val="MWR_Heading_2"/>
    <w:basedOn w:val="Normal"/>
    <w:next w:val="Normal"/>
    <w:rsid w:val="003B2694"/>
    <w:pPr>
      <w:keepNext/>
      <w:numPr>
        <w:ilvl w:val="1"/>
        <w:numId w:val="7"/>
      </w:numPr>
      <w:tabs>
        <w:tab w:val="clear" w:pos="851"/>
      </w:tabs>
      <w:spacing w:before="240" w:after="120" w:line="276" w:lineRule="auto"/>
      <w:outlineLvl w:val="1"/>
    </w:pPr>
    <w:rPr>
      <w:rFonts w:asciiTheme="minorHAnsi" w:eastAsiaTheme="minorHAnsi" w:hAnsiTheme="minorHAnsi" w:cstheme="minorBidi"/>
      <w:b/>
      <w:sz w:val="24"/>
      <w:szCs w:val="22"/>
    </w:rPr>
  </w:style>
  <w:style w:type="paragraph" w:customStyle="1" w:styleId="MWRHeading3">
    <w:name w:val="MWR_Heading_3"/>
    <w:basedOn w:val="Normal"/>
    <w:next w:val="Normal"/>
    <w:rsid w:val="003B2694"/>
    <w:pPr>
      <w:keepNext/>
      <w:numPr>
        <w:ilvl w:val="2"/>
        <w:numId w:val="7"/>
      </w:numPr>
      <w:tabs>
        <w:tab w:val="clear" w:pos="1276"/>
        <w:tab w:val="num" w:pos="360"/>
        <w:tab w:val="left" w:pos="992"/>
      </w:tabs>
      <w:spacing w:before="240" w:after="120" w:line="276" w:lineRule="auto"/>
      <w:ind w:left="0" w:firstLine="0"/>
      <w:outlineLvl w:val="2"/>
    </w:pPr>
    <w:rPr>
      <w:rFonts w:asciiTheme="minorHAnsi" w:eastAsiaTheme="minorHAnsi" w:hAnsiTheme="minorHAnsi" w:cstheme="minorBidi"/>
      <w:b/>
      <w:szCs w:val="22"/>
    </w:rPr>
  </w:style>
  <w:style w:type="paragraph" w:customStyle="1" w:styleId="MWRHeading4">
    <w:name w:val="MWR_Heading_4"/>
    <w:basedOn w:val="Normal"/>
    <w:next w:val="Normal"/>
    <w:rsid w:val="003B2694"/>
    <w:pPr>
      <w:keepNext/>
      <w:numPr>
        <w:ilvl w:val="3"/>
        <w:numId w:val="7"/>
      </w:numPr>
      <w:tabs>
        <w:tab w:val="clear" w:pos="1701"/>
        <w:tab w:val="num" w:pos="360"/>
        <w:tab w:val="left" w:pos="1276"/>
      </w:tabs>
      <w:spacing w:before="240" w:after="120" w:line="276" w:lineRule="auto"/>
      <w:ind w:left="1276" w:hanging="1276"/>
    </w:pPr>
    <w:rPr>
      <w:rFonts w:asciiTheme="minorHAnsi" w:eastAsiaTheme="minorHAnsi" w:hAnsiTheme="minorHAnsi" w:cstheme="minorBidi"/>
      <w:b/>
      <w:szCs w:val="22"/>
    </w:rPr>
  </w:style>
  <w:style w:type="paragraph" w:customStyle="1" w:styleId="MWRHeading5">
    <w:name w:val="MWR_Heading_5"/>
    <w:basedOn w:val="Normal"/>
    <w:rsid w:val="003B2694"/>
    <w:pPr>
      <w:keepNext/>
      <w:numPr>
        <w:ilvl w:val="4"/>
        <w:numId w:val="7"/>
      </w:numPr>
      <w:tabs>
        <w:tab w:val="clear" w:pos="1701"/>
        <w:tab w:val="num" w:pos="360"/>
        <w:tab w:val="left" w:pos="1559"/>
      </w:tabs>
      <w:spacing w:before="240" w:after="120" w:line="276" w:lineRule="auto"/>
      <w:ind w:left="1560" w:hanging="1560"/>
    </w:pPr>
    <w:rPr>
      <w:rFonts w:asciiTheme="minorHAnsi" w:eastAsiaTheme="minorHAnsi" w:hAnsiTheme="minorHAnsi" w:cstheme="minorBidi"/>
      <w:b/>
      <w:szCs w:val="22"/>
    </w:rPr>
  </w:style>
  <w:style w:type="paragraph" w:customStyle="1" w:styleId="MWRHeading6">
    <w:name w:val="MWR_Heading_6"/>
    <w:basedOn w:val="Normal"/>
    <w:next w:val="Normal"/>
    <w:rsid w:val="003B2694"/>
    <w:pPr>
      <w:keepNext/>
      <w:numPr>
        <w:ilvl w:val="5"/>
        <w:numId w:val="7"/>
      </w:numPr>
      <w:tabs>
        <w:tab w:val="clear" w:pos="1701"/>
      </w:tabs>
      <w:spacing w:before="240" w:after="120" w:line="276" w:lineRule="auto"/>
    </w:pPr>
    <w:rPr>
      <w:rFonts w:asciiTheme="minorHAnsi" w:eastAsiaTheme="minorHAnsi" w:hAnsiTheme="minorHAnsi" w:cstheme="minorBidi"/>
      <w:b/>
      <w:szCs w:val="22"/>
    </w:rPr>
  </w:style>
  <w:style w:type="character" w:styleId="SubtleEmphasis">
    <w:name w:val="Subtle Emphasis"/>
    <w:basedOn w:val="DefaultParagraphFont"/>
    <w:uiPriority w:val="19"/>
    <w:qFormat/>
    <w:rsid w:val="003B2694"/>
    <w:rPr>
      <w:i/>
      <w:iCs/>
      <w:color w:val="808080" w:themeColor="text1" w:themeTint="7F"/>
    </w:rPr>
  </w:style>
  <w:style w:type="character" w:styleId="FollowedHyperlink">
    <w:name w:val="FollowedHyperlink"/>
    <w:basedOn w:val="DefaultParagraphFont"/>
    <w:uiPriority w:val="99"/>
    <w:semiHidden/>
    <w:unhideWhenUsed/>
    <w:rsid w:val="00AE46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896775">
      <w:bodyDiv w:val="1"/>
      <w:marLeft w:val="0"/>
      <w:marRight w:val="0"/>
      <w:marTop w:val="0"/>
      <w:marBottom w:val="0"/>
      <w:divBdr>
        <w:top w:val="none" w:sz="0" w:space="0" w:color="auto"/>
        <w:left w:val="none" w:sz="0" w:space="0" w:color="auto"/>
        <w:bottom w:val="none" w:sz="0" w:space="0" w:color="auto"/>
        <w:right w:val="none" w:sz="0" w:space="0" w:color="auto"/>
      </w:divBdr>
    </w:div>
    <w:div w:id="564533303">
      <w:bodyDiv w:val="1"/>
      <w:marLeft w:val="0"/>
      <w:marRight w:val="0"/>
      <w:marTop w:val="0"/>
      <w:marBottom w:val="0"/>
      <w:divBdr>
        <w:top w:val="none" w:sz="0" w:space="0" w:color="auto"/>
        <w:left w:val="none" w:sz="0" w:space="0" w:color="auto"/>
        <w:bottom w:val="none" w:sz="0" w:space="0" w:color="auto"/>
        <w:right w:val="none" w:sz="0" w:space="0" w:color="auto"/>
      </w:divBdr>
    </w:div>
    <w:div w:id="810556468">
      <w:bodyDiv w:val="1"/>
      <w:marLeft w:val="0"/>
      <w:marRight w:val="0"/>
      <w:marTop w:val="0"/>
      <w:marBottom w:val="0"/>
      <w:divBdr>
        <w:top w:val="none" w:sz="0" w:space="0" w:color="auto"/>
        <w:left w:val="none" w:sz="0" w:space="0" w:color="auto"/>
        <w:bottom w:val="none" w:sz="0" w:space="0" w:color="auto"/>
        <w:right w:val="none" w:sz="0" w:space="0" w:color="auto"/>
      </w:divBdr>
    </w:div>
    <w:div w:id="1099956633">
      <w:bodyDiv w:val="1"/>
      <w:marLeft w:val="0"/>
      <w:marRight w:val="0"/>
      <w:marTop w:val="0"/>
      <w:marBottom w:val="0"/>
      <w:divBdr>
        <w:top w:val="none" w:sz="0" w:space="0" w:color="auto"/>
        <w:left w:val="none" w:sz="0" w:space="0" w:color="auto"/>
        <w:bottom w:val="none" w:sz="0" w:space="0" w:color="auto"/>
        <w:right w:val="none" w:sz="0" w:space="0" w:color="auto"/>
      </w:divBdr>
    </w:div>
    <w:div w:id="1909993518">
      <w:bodyDiv w:val="1"/>
      <w:marLeft w:val="0"/>
      <w:marRight w:val="0"/>
      <w:marTop w:val="0"/>
      <w:marBottom w:val="0"/>
      <w:divBdr>
        <w:top w:val="none" w:sz="0" w:space="0" w:color="auto"/>
        <w:left w:val="none" w:sz="0" w:space="0" w:color="auto"/>
        <w:bottom w:val="none" w:sz="0" w:space="0" w:color="auto"/>
        <w:right w:val="none" w:sz="0" w:space="0" w:color="auto"/>
      </w:divBdr>
    </w:div>
    <w:div w:id="21417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CF6F8C.C73CD1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AU"/>
  <c:chart>
    <c:autoTitleDeleted val="1"/>
    <c:plotArea>
      <c:layout>
        <c:manualLayout>
          <c:layoutTarget val="inner"/>
          <c:xMode val="edge"/>
          <c:yMode val="edge"/>
          <c:x val="8.6071741032370946E-2"/>
          <c:y val="2.8252405949256338E-2"/>
          <c:w val="0.88337270341207352"/>
          <c:h val="0.82262941090696995"/>
        </c:manualLayout>
      </c:layout>
      <c:barChart>
        <c:barDir val="col"/>
        <c:grouping val="clustered"/>
        <c:ser>
          <c:idx val="0"/>
          <c:order val="0"/>
          <c:tx>
            <c:strRef>
              <c:f>Sheet1!$B$9</c:f>
              <c:strCache>
                <c:ptCount val="1"/>
                <c:pt idx="0">
                  <c:v>Retrenched or employer went out of business ('000)</c:v>
                </c:pt>
              </c:strCache>
            </c:strRef>
          </c:tx>
          <c:cat>
            <c:numRef>
              <c:f>Sheet1!$A$10:$A$20</c:f>
              <c:numCache>
                <c:formatCode>mmm\-yy</c:formatCode>
                <c:ptCount val="11"/>
                <c:pt idx="0">
                  <c:v>34366</c:v>
                </c:pt>
                <c:pt idx="1">
                  <c:v>35096</c:v>
                </c:pt>
                <c:pt idx="2">
                  <c:v>35827</c:v>
                </c:pt>
                <c:pt idx="3">
                  <c:v>36557</c:v>
                </c:pt>
                <c:pt idx="4">
                  <c:v>37288</c:v>
                </c:pt>
                <c:pt idx="5">
                  <c:v>38018</c:v>
                </c:pt>
                <c:pt idx="6">
                  <c:v>38749</c:v>
                </c:pt>
                <c:pt idx="7">
                  <c:v>39479</c:v>
                </c:pt>
                <c:pt idx="8">
                  <c:v>40210</c:v>
                </c:pt>
                <c:pt idx="9">
                  <c:v>40940</c:v>
                </c:pt>
                <c:pt idx="10">
                  <c:v>41306</c:v>
                </c:pt>
              </c:numCache>
            </c:numRef>
          </c:cat>
          <c:val>
            <c:numRef>
              <c:f>Sheet1!$B$10:$B$20</c:f>
              <c:numCache>
                <c:formatCode>General</c:formatCode>
                <c:ptCount val="11"/>
                <c:pt idx="0">
                  <c:v>464.3</c:v>
                </c:pt>
                <c:pt idx="1">
                  <c:v>417.8</c:v>
                </c:pt>
                <c:pt idx="2">
                  <c:v>408.6</c:v>
                </c:pt>
                <c:pt idx="3">
                  <c:v>384.6</c:v>
                </c:pt>
                <c:pt idx="4">
                  <c:v>383.2</c:v>
                </c:pt>
                <c:pt idx="5">
                  <c:v>270.7</c:v>
                </c:pt>
                <c:pt idx="6">
                  <c:v>232.3</c:v>
                </c:pt>
                <c:pt idx="7">
                  <c:v>202.6</c:v>
                </c:pt>
                <c:pt idx="8">
                  <c:v>454.1</c:v>
                </c:pt>
                <c:pt idx="9">
                  <c:v>389.6</c:v>
                </c:pt>
                <c:pt idx="10">
                  <c:v>354.8</c:v>
                </c:pt>
              </c:numCache>
            </c:numRef>
          </c:val>
        </c:ser>
        <c:dLbls/>
        <c:axId val="109280256"/>
        <c:axId val="109331200"/>
      </c:barChart>
      <c:dateAx>
        <c:axId val="109280256"/>
        <c:scaling>
          <c:orientation val="minMax"/>
          <c:max val="41306"/>
          <c:min val="34366"/>
        </c:scaling>
        <c:axPos val="b"/>
        <c:numFmt formatCode="yyyy" sourceLinked="0"/>
        <c:tickLblPos val="nextTo"/>
        <c:crossAx val="109331200"/>
        <c:crosses val="autoZero"/>
        <c:auto val="1"/>
        <c:lblOffset val="100"/>
        <c:baseTimeUnit val="years"/>
      </c:dateAx>
      <c:valAx>
        <c:axId val="109331200"/>
        <c:scaling>
          <c:orientation val="minMax"/>
        </c:scaling>
        <c:axPos val="l"/>
        <c:numFmt formatCode="General" sourceLinked="1"/>
        <c:tickLblPos val="nextTo"/>
        <c:crossAx val="109280256"/>
        <c:crosses val="autoZero"/>
        <c:crossBetween val="between"/>
      </c:valAx>
    </c:plotArea>
    <c:legend>
      <c:legendPos val="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FA19-E18F-4DD2-BA83-AE59A089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6595</Words>
  <Characters>35167</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the Expert Panels questions</dc:title>
  <dc:creator>Australian Government</dc:creator>
  <cp:lastModifiedBy>dunn</cp:lastModifiedBy>
  <cp:revision>3</cp:revision>
  <cp:lastPrinted>2014-05-16T04:55:00Z</cp:lastPrinted>
  <dcterms:created xsi:type="dcterms:W3CDTF">2014-05-18T23:12:00Z</dcterms:created>
  <dcterms:modified xsi:type="dcterms:W3CDTF">2014-05-18T23:13:00Z</dcterms:modified>
</cp:coreProperties>
</file>