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A9" w:rsidRPr="00972E11" w:rsidRDefault="004B7023" w:rsidP="00972E11">
      <w:pPr>
        <w:pBdr>
          <w:bottom w:val="single" w:sz="4" w:space="1" w:color="auto"/>
        </w:pBdr>
        <w:rPr>
          <w:b/>
        </w:rPr>
      </w:pPr>
      <w:r w:rsidRPr="00972E11">
        <w:rPr>
          <w:b/>
        </w:rPr>
        <w:t xml:space="preserve">Response to Question on Notice:  Interaction Rules and entitlements derived from s. 113 of the </w:t>
      </w:r>
      <w:r w:rsidRPr="00972E11">
        <w:rPr>
          <w:b/>
          <w:i/>
        </w:rPr>
        <w:t xml:space="preserve">Fair Work Act </w:t>
      </w:r>
      <w:r w:rsidRPr="00972E11">
        <w:rPr>
          <w:b/>
        </w:rPr>
        <w:t>2009.</w:t>
      </w:r>
    </w:p>
    <w:p w:rsidR="004B7023" w:rsidRDefault="004B7023"/>
    <w:p w:rsidR="00791B6D" w:rsidRDefault="004B7023" w:rsidP="00972E11">
      <w:pPr>
        <w:pStyle w:val="ListParagraph"/>
        <w:numPr>
          <w:ilvl w:val="0"/>
          <w:numId w:val="2"/>
        </w:numPr>
        <w:spacing w:line="360" w:lineRule="auto"/>
        <w:jc w:val="both"/>
        <w:rPr>
          <w:lang w:val="en-US"/>
        </w:rPr>
      </w:pPr>
      <w:r w:rsidRPr="00972E11">
        <w:rPr>
          <w:lang w:val="en-US"/>
        </w:rPr>
        <w:t xml:space="preserve">The </w:t>
      </w:r>
      <w:r w:rsidRPr="00972E11">
        <w:rPr>
          <w:i/>
          <w:lang w:val="en-US"/>
        </w:rPr>
        <w:t xml:space="preserve">Fair Work </w:t>
      </w:r>
      <w:r w:rsidRPr="00972E11">
        <w:rPr>
          <w:lang w:val="en-US"/>
        </w:rPr>
        <w:t xml:space="preserve">Act 2009 (“the Act”) establishes a </w:t>
      </w:r>
      <w:r w:rsidR="00076912">
        <w:rPr>
          <w:lang w:val="en-US"/>
        </w:rPr>
        <w:t>n</w:t>
      </w:r>
      <w:r w:rsidRPr="00972E11">
        <w:rPr>
          <w:lang w:val="en-US"/>
        </w:rPr>
        <w:t xml:space="preserve">ational </w:t>
      </w:r>
      <w:r w:rsidR="00076912">
        <w:rPr>
          <w:lang w:val="en-US"/>
        </w:rPr>
        <w:t>w</w:t>
      </w:r>
      <w:r w:rsidRPr="00972E11">
        <w:rPr>
          <w:lang w:val="en-US"/>
        </w:rPr>
        <w:t xml:space="preserve">orkplace </w:t>
      </w:r>
      <w:r w:rsidR="00076912">
        <w:rPr>
          <w:lang w:val="en-US"/>
        </w:rPr>
        <w:t>r</w:t>
      </w:r>
      <w:r w:rsidRPr="00972E11">
        <w:rPr>
          <w:lang w:val="en-US"/>
        </w:rPr>
        <w:t xml:space="preserve">elations system in large measure in reliance on the </w:t>
      </w:r>
      <w:r w:rsidR="00972E11">
        <w:rPr>
          <w:lang w:val="en-US"/>
        </w:rPr>
        <w:t>l</w:t>
      </w:r>
      <w:r w:rsidRPr="00972E11">
        <w:rPr>
          <w:lang w:val="en-US"/>
        </w:rPr>
        <w:t xml:space="preserve">egislative </w:t>
      </w:r>
      <w:r w:rsidR="00972E11">
        <w:rPr>
          <w:lang w:val="en-US"/>
        </w:rPr>
        <w:t>p</w:t>
      </w:r>
      <w:r w:rsidRPr="00972E11">
        <w:rPr>
          <w:lang w:val="en-US"/>
        </w:rPr>
        <w:t>ower of the Commonwealth Parliament to regulate Corporations and the legal relationships that Corporations enter into</w:t>
      </w:r>
      <w:r>
        <w:rPr>
          <w:rStyle w:val="FootnoteReference"/>
          <w:lang w:val="en-US"/>
        </w:rPr>
        <w:footnoteReference w:id="1"/>
      </w:r>
      <w:r w:rsidRPr="00972E11">
        <w:rPr>
          <w:lang w:val="en-US"/>
        </w:rPr>
        <w:t xml:space="preserve">.   </w:t>
      </w:r>
      <w:r w:rsidR="00791B6D" w:rsidRPr="00972E11">
        <w:rPr>
          <w:lang w:val="en-US"/>
        </w:rPr>
        <w:t xml:space="preserve"> However, the Commonwealth’s occupation of the field of </w:t>
      </w:r>
      <w:r w:rsidR="00076912">
        <w:rPr>
          <w:lang w:val="en-US"/>
        </w:rPr>
        <w:t>w</w:t>
      </w:r>
      <w:r w:rsidR="00791B6D" w:rsidRPr="00972E11">
        <w:rPr>
          <w:lang w:val="en-US"/>
        </w:rPr>
        <w:t xml:space="preserve">orkplace </w:t>
      </w:r>
      <w:r w:rsidR="00076912">
        <w:rPr>
          <w:lang w:val="en-US"/>
        </w:rPr>
        <w:t>r</w:t>
      </w:r>
      <w:r w:rsidR="00791B6D" w:rsidRPr="00972E11">
        <w:rPr>
          <w:lang w:val="en-US"/>
        </w:rPr>
        <w:t xml:space="preserve">elations </w:t>
      </w:r>
      <w:r w:rsidR="00076912">
        <w:rPr>
          <w:lang w:val="en-US"/>
        </w:rPr>
        <w:t>l</w:t>
      </w:r>
      <w:r w:rsidR="00791B6D" w:rsidRPr="00972E11">
        <w:rPr>
          <w:lang w:val="en-US"/>
        </w:rPr>
        <w:t>aw is not absolute and exclusive.   Sections 26 and 27 of the Act are rele</w:t>
      </w:r>
      <w:r w:rsidR="00806AFE" w:rsidRPr="00972E11">
        <w:rPr>
          <w:lang w:val="en-US"/>
        </w:rPr>
        <w:t>vant to ascertaining its extent, but are not a complete statement of it.</w:t>
      </w:r>
    </w:p>
    <w:p w:rsidR="00972E11" w:rsidRPr="00972E11" w:rsidRDefault="00972E11" w:rsidP="00972E11">
      <w:pPr>
        <w:pStyle w:val="ListParagraph"/>
        <w:spacing w:line="360" w:lineRule="auto"/>
        <w:jc w:val="both"/>
        <w:rPr>
          <w:lang w:val="en-US"/>
        </w:rPr>
      </w:pPr>
    </w:p>
    <w:p w:rsidR="00BF319D" w:rsidRPr="00972E11" w:rsidRDefault="00BF319D" w:rsidP="00972E11">
      <w:pPr>
        <w:spacing w:line="360" w:lineRule="auto"/>
        <w:jc w:val="both"/>
        <w:rPr>
          <w:u w:val="single"/>
          <w:lang w:val="en-US"/>
        </w:rPr>
      </w:pPr>
      <w:r w:rsidRPr="00972E11">
        <w:rPr>
          <w:u w:val="single"/>
          <w:lang w:val="en-US"/>
        </w:rPr>
        <w:t>The scheme of sections 26 and 27 of the Act</w:t>
      </w:r>
    </w:p>
    <w:p w:rsidR="004B7023" w:rsidRPr="00972E11" w:rsidRDefault="004B7023" w:rsidP="00972E11">
      <w:pPr>
        <w:pStyle w:val="ListParagraph"/>
        <w:numPr>
          <w:ilvl w:val="0"/>
          <w:numId w:val="2"/>
        </w:numPr>
        <w:spacing w:line="360" w:lineRule="auto"/>
        <w:jc w:val="both"/>
        <w:rPr>
          <w:lang w:val="en-US"/>
        </w:rPr>
      </w:pPr>
      <w:r w:rsidRPr="00972E11">
        <w:rPr>
          <w:lang w:val="en-US"/>
        </w:rPr>
        <w:t xml:space="preserve">Section 26 is an express statement of an intention to cover a field, of the type approved more than half a century ago by the High Court in </w:t>
      </w:r>
      <w:proofErr w:type="spellStart"/>
      <w:r w:rsidR="00791B6D" w:rsidRPr="00972E11">
        <w:rPr>
          <w:i/>
          <w:lang w:val="en-US"/>
        </w:rPr>
        <w:t>Wenn</w:t>
      </w:r>
      <w:proofErr w:type="spellEnd"/>
      <w:r w:rsidR="00791B6D" w:rsidRPr="00972E11">
        <w:rPr>
          <w:i/>
          <w:lang w:val="en-US"/>
        </w:rPr>
        <w:t xml:space="preserve"> v. Attorney General Victoria</w:t>
      </w:r>
      <w:r w:rsidR="00791B6D">
        <w:rPr>
          <w:rStyle w:val="FootnoteReference"/>
          <w:i/>
          <w:lang w:val="en-US"/>
        </w:rPr>
        <w:footnoteReference w:id="2"/>
      </w:r>
      <w:r w:rsidR="00791B6D" w:rsidRPr="00972E11">
        <w:rPr>
          <w:i/>
          <w:lang w:val="en-US"/>
        </w:rPr>
        <w:t>.</w:t>
      </w:r>
      <w:r w:rsidRPr="00972E11">
        <w:rPr>
          <w:lang w:val="en-US"/>
        </w:rPr>
        <w:t xml:space="preserve"> </w:t>
      </w:r>
      <w:r w:rsidR="00791B6D" w:rsidRPr="00972E11">
        <w:rPr>
          <w:lang w:val="en-US"/>
        </w:rPr>
        <w:t xml:space="preserve"> </w:t>
      </w:r>
      <w:r w:rsidRPr="00972E11">
        <w:rPr>
          <w:lang w:val="en-US"/>
        </w:rPr>
        <w:t xml:space="preserve"> I</w:t>
      </w:r>
      <w:r w:rsidR="00806AFE" w:rsidRPr="00972E11">
        <w:rPr>
          <w:lang w:val="en-US"/>
        </w:rPr>
        <w:t>deally, it</w:t>
      </w:r>
      <w:r w:rsidRPr="00972E11">
        <w:rPr>
          <w:lang w:val="en-US"/>
        </w:rPr>
        <w:t xml:space="preserve"> relieves the Court of the need to search from some operative indirect inconsistency or discern an intention of the extent of the field sought to be covered from other provisions of the Commonwealth law in question.    By expressly describing the Commonwealth law as exclusive in  some respect (in this case, in respect of "State or Territory industrial laws" in so far  as they </w:t>
      </w:r>
      <w:proofErr w:type="gramStart"/>
      <w:r w:rsidRPr="00972E11">
        <w:rPr>
          <w:lang w:val="en-US"/>
        </w:rPr>
        <w:t>would</w:t>
      </w:r>
      <w:proofErr w:type="gramEnd"/>
      <w:r w:rsidRPr="00972E11">
        <w:rPr>
          <w:lang w:val="en-US"/>
        </w:rPr>
        <w:t xml:space="preserve"> otherwise apply to national system employees or national system  employers), section 109 of the Constitution is engaged</w:t>
      </w:r>
      <w:r w:rsidR="00791B6D" w:rsidRPr="00972E11">
        <w:rPr>
          <w:lang w:val="en-US"/>
        </w:rPr>
        <w:t xml:space="preserve"> </w:t>
      </w:r>
      <w:r w:rsidRPr="00972E11">
        <w:rPr>
          <w:lang w:val="en-US"/>
        </w:rPr>
        <w:t>even where no inconsistency would otherwise exist.</w:t>
      </w:r>
    </w:p>
    <w:p w:rsidR="00972E11" w:rsidRDefault="00972E11" w:rsidP="00972E11">
      <w:pPr>
        <w:pStyle w:val="ListParagraph"/>
        <w:spacing w:line="360" w:lineRule="auto"/>
        <w:jc w:val="both"/>
        <w:rPr>
          <w:lang w:val="en-US"/>
        </w:rPr>
      </w:pPr>
    </w:p>
    <w:p w:rsidR="004B7023" w:rsidRPr="00972E11" w:rsidRDefault="004B7023" w:rsidP="00972E11">
      <w:pPr>
        <w:pStyle w:val="ListParagraph"/>
        <w:numPr>
          <w:ilvl w:val="0"/>
          <w:numId w:val="2"/>
        </w:numPr>
        <w:spacing w:line="360" w:lineRule="auto"/>
        <w:jc w:val="both"/>
        <w:rPr>
          <w:lang w:val="en-US"/>
        </w:rPr>
      </w:pPr>
      <w:r w:rsidRPr="00972E11">
        <w:rPr>
          <w:lang w:val="en-US"/>
        </w:rPr>
        <w:t xml:space="preserve">Section 27 </w:t>
      </w:r>
      <w:r w:rsidR="00791B6D" w:rsidRPr="00972E11">
        <w:rPr>
          <w:lang w:val="en-US"/>
        </w:rPr>
        <w:t xml:space="preserve">of the Act </w:t>
      </w:r>
      <w:r w:rsidRPr="00972E11">
        <w:rPr>
          <w:lang w:val="en-US"/>
        </w:rPr>
        <w:t xml:space="preserve">sets out the exceptions to the field of exclusivity set out in section 26. </w:t>
      </w:r>
      <w:r w:rsidR="00791B6D" w:rsidRPr="00972E11">
        <w:rPr>
          <w:lang w:val="en-US"/>
        </w:rPr>
        <w:t xml:space="preserve"> </w:t>
      </w:r>
      <w:r w:rsidRPr="00972E11">
        <w:rPr>
          <w:lang w:val="en-US"/>
        </w:rPr>
        <w:t xml:space="preserve">The manner in which the two sections work together is far from novel. The general framework of such legislative provisions was described by Mason J in </w:t>
      </w:r>
      <w:r w:rsidR="00791B6D" w:rsidRPr="00972E11">
        <w:rPr>
          <w:i/>
          <w:lang w:val="en-US"/>
        </w:rPr>
        <w:t>R v. Credit Tribunal; Ex parte General Motors Acceptance Corporation</w:t>
      </w:r>
      <w:r w:rsidR="00791B6D">
        <w:rPr>
          <w:rStyle w:val="FootnoteReference"/>
          <w:i/>
          <w:lang w:val="en-US"/>
        </w:rPr>
        <w:footnoteReference w:id="3"/>
      </w:r>
      <w:r w:rsidR="00791B6D" w:rsidRPr="00972E11">
        <w:rPr>
          <w:lang w:val="en-US"/>
        </w:rPr>
        <w:t>as follows:</w:t>
      </w:r>
    </w:p>
    <w:p w:rsidR="004B7023" w:rsidRDefault="004B7023" w:rsidP="00972E11">
      <w:pPr>
        <w:pStyle w:val="ListParagraph"/>
        <w:spacing w:line="240" w:lineRule="auto"/>
        <w:ind w:left="1134" w:right="567"/>
        <w:jc w:val="both"/>
        <w:rPr>
          <w:sz w:val="20"/>
          <w:szCs w:val="20"/>
          <w:lang w:val="en-US"/>
        </w:rPr>
      </w:pPr>
      <w:r w:rsidRPr="00972E11">
        <w:rPr>
          <w:sz w:val="20"/>
          <w:szCs w:val="20"/>
          <w:lang w:val="en-US"/>
        </w:rPr>
        <w:t>[</w:t>
      </w:r>
      <w:proofErr w:type="gramStart"/>
      <w:r w:rsidRPr="00972E11">
        <w:rPr>
          <w:sz w:val="20"/>
          <w:szCs w:val="20"/>
          <w:lang w:val="en-US"/>
        </w:rPr>
        <w:t>after</w:t>
      </w:r>
      <w:proofErr w:type="gramEnd"/>
      <w:r w:rsidRPr="00972E11">
        <w:rPr>
          <w:sz w:val="20"/>
          <w:szCs w:val="20"/>
          <w:lang w:val="en-US"/>
        </w:rPr>
        <w:t xml:space="preserve"> referring to  </w:t>
      </w:r>
      <w:proofErr w:type="spellStart"/>
      <w:r w:rsidR="00791B6D" w:rsidRPr="00972E11">
        <w:rPr>
          <w:i/>
          <w:sz w:val="20"/>
          <w:szCs w:val="20"/>
          <w:lang w:val="en-US"/>
        </w:rPr>
        <w:t>Wenn</w:t>
      </w:r>
      <w:proofErr w:type="spellEnd"/>
      <w:r w:rsidR="00791B6D" w:rsidRPr="00972E11">
        <w:rPr>
          <w:sz w:val="20"/>
          <w:szCs w:val="20"/>
          <w:lang w:val="en-US"/>
        </w:rPr>
        <w:t xml:space="preserve">] </w:t>
      </w:r>
      <w:r w:rsidRPr="00972E11">
        <w:rPr>
          <w:sz w:val="20"/>
          <w:szCs w:val="20"/>
          <w:lang w:val="en-US"/>
        </w:rPr>
        <w:t xml:space="preserve"> "The judgements to which I have referred make the point that although a provision in a Commonwealth statute which attempts to deny operational validity to a State law cannot</w:t>
      </w:r>
      <w:r w:rsidR="00791B6D" w:rsidRPr="00972E11">
        <w:rPr>
          <w:sz w:val="20"/>
          <w:szCs w:val="20"/>
          <w:lang w:val="en-US"/>
        </w:rPr>
        <w:t xml:space="preserve"> </w:t>
      </w:r>
      <w:r w:rsidRPr="00972E11">
        <w:rPr>
          <w:sz w:val="20"/>
          <w:szCs w:val="20"/>
          <w:lang w:val="en-US"/>
        </w:rPr>
        <w:t>of its own force achieve that object, it may nevertheless validly evince an intention on the part of the</w:t>
      </w:r>
      <w:r w:rsidR="00791B6D" w:rsidRPr="00972E11">
        <w:rPr>
          <w:sz w:val="20"/>
          <w:szCs w:val="20"/>
          <w:lang w:val="en-US"/>
        </w:rPr>
        <w:t xml:space="preserve"> </w:t>
      </w:r>
      <w:r w:rsidRPr="00972E11">
        <w:rPr>
          <w:sz w:val="20"/>
          <w:szCs w:val="20"/>
          <w:lang w:val="en-US"/>
        </w:rPr>
        <w:t>statute to make exhaustive or exclusive</w:t>
      </w:r>
      <w:r w:rsidR="00791B6D" w:rsidRPr="00972E11">
        <w:rPr>
          <w:sz w:val="20"/>
          <w:szCs w:val="20"/>
          <w:lang w:val="en-US"/>
        </w:rPr>
        <w:t xml:space="preserve"> </w:t>
      </w:r>
      <w:r w:rsidR="00076912">
        <w:rPr>
          <w:sz w:val="20"/>
          <w:szCs w:val="20"/>
          <w:lang w:val="en-US"/>
        </w:rPr>
        <w:t>provision on</w:t>
      </w:r>
      <w:r w:rsidRPr="00972E11">
        <w:rPr>
          <w:sz w:val="20"/>
          <w:szCs w:val="20"/>
          <w:lang w:val="en-US"/>
        </w:rPr>
        <w:t xml:space="preserve"> the </w:t>
      </w:r>
      <w:proofErr w:type="gramStart"/>
      <w:r w:rsidRPr="00972E11">
        <w:rPr>
          <w:sz w:val="20"/>
          <w:szCs w:val="20"/>
          <w:lang w:val="en-US"/>
        </w:rPr>
        <w:t>subject  with</w:t>
      </w:r>
      <w:proofErr w:type="gramEnd"/>
      <w:r w:rsidRPr="00972E11">
        <w:rPr>
          <w:sz w:val="20"/>
          <w:szCs w:val="20"/>
          <w:lang w:val="en-US"/>
        </w:rPr>
        <w:t xml:space="preserve">  which  it deals, there</w:t>
      </w:r>
      <w:r w:rsidR="00791B6D" w:rsidRPr="00972E11">
        <w:rPr>
          <w:sz w:val="20"/>
          <w:szCs w:val="20"/>
          <w:lang w:val="en-US"/>
        </w:rPr>
        <w:t xml:space="preserve">by </w:t>
      </w:r>
      <w:r w:rsidRPr="00972E11">
        <w:rPr>
          <w:sz w:val="20"/>
          <w:szCs w:val="20"/>
          <w:lang w:val="en-US"/>
        </w:rPr>
        <w:t>bringing  s. 109  into  play.</w:t>
      </w:r>
    </w:p>
    <w:p w:rsidR="00972E11" w:rsidRPr="00972E11" w:rsidRDefault="00972E11" w:rsidP="00972E11">
      <w:pPr>
        <w:pStyle w:val="ListParagraph"/>
        <w:spacing w:line="240" w:lineRule="auto"/>
        <w:ind w:left="1134" w:right="567"/>
        <w:jc w:val="both"/>
        <w:rPr>
          <w:sz w:val="20"/>
          <w:szCs w:val="20"/>
          <w:lang w:val="en-US"/>
        </w:rPr>
      </w:pPr>
    </w:p>
    <w:p w:rsidR="004B7023" w:rsidRDefault="00BF319D" w:rsidP="00972E11">
      <w:pPr>
        <w:pStyle w:val="ListParagraph"/>
        <w:spacing w:line="240" w:lineRule="auto"/>
        <w:ind w:left="1134" w:right="567"/>
        <w:jc w:val="both"/>
        <w:rPr>
          <w:sz w:val="20"/>
          <w:szCs w:val="20"/>
          <w:lang w:val="en-US"/>
        </w:rPr>
      </w:pPr>
      <w:r w:rsidRPr="00972E11">
        <w:rPr>
          <w:sz w:val="20"/>
          <w:szCs w:val="20"/>
          <w:lang w:val="en-US"/>
        </w:rPr>
        <w:t xml:space="preserve">Equally, a Commonwealth law may provide that it is not intended to make exhaustive or </w:t>
      </w:r>
      <w:r w:rsidR="00806AFE" w:rsidRPr="00972E11">
        <w:rPr>
          <w:sz w:val="20"/>
          <w:szCs w:val="20"/>
          <w:lang w:val="en-US"/>
        </w:rPr>
        <w:t>exclusive</w:t>
      </w:r>
      <w:r w:rsidRPr="00972E11">
        <w:rPr>
          <w:sz w:val="20"/>
          <w:szCs w:val="20"/>
          <w:lang w:val="en-US"/>
        </w:rPr>
        <w:t xml:space="preserve"> </w:t>
      </w:r>
      <w:r w:rsidR="004B7023" w:rsidRPr="00972E11">
        <w:rPr>
          <w:sz w:val="20"/>
          <w:szCs w:val="20"/>
          <w:lang w:val="en-US"/>
        </w:rPr>
        <w:t xml:space="preserve">provision on the </w:t>
      </w:r>
      <w:proofErr w:type="gramStart"/>
      <w:r w:rsidR="004B7023" w:rsidRPr="00972E11">
        <w:rPr>
          <w:sz w:val="20"/>
          <w:szCs w:val="20"/>
          <w:lang w:val="en-US"/>
        </w:rPr>
        <w:t>subject</w:t>
      </w:r>
      <w:proofErr w:type="gramEnd"/>
      <w:r w:rsidR="004B7023" w:rsidRPr="00972E11">
        <w:rPr>
          <w:sz w:val="20"/>
          <w:szCs w:val="20"/>
          <w:lang w:val="en-US"/>
        </w:rPr>
        <w:t xml:space="preserve"> with which it deals, thereby enabling State laws, not inconsistent with Commonwealth law, to have an operation.   Here again the Commonwealth law does not of its own force give State law a valid operation.  All that it </w:t>
      </w:r>
      <w:r w:rsidR="004B7023" w:rsidRPr="00972E11">
        <w:rPr>
          <w:sz w:val="20"/>
          <w:szCs w:val="20"/>
          <w:lang w:val="en-US"/>
        </w:rPr>
        <w:lastRenderedPageBreak/>
        <w:t>does is to make it clear that the Commonwealth law is not intended to cover the field, thereby leaving room for the operation of such State laws as do not conflict with Commonwealth law.</w:t>
      </w:r>
    </w:p>
    <w:p w:rsidR="00972E11" w:rsidRPr="00972E11" w:rsidRDefault="00972E11" w:rsidP="00972E11">
      <w:pPr>
        <w:pStyle w:val="ListParagraph"/>
        <w:spacing w:line="240" w:lineRule="auto"/>
        <w:ind w:left="1134" w:right="567"/>
        <w:jc w:val="both"/>
        <w:rPr>
          <w:sz w:val="20"/>
          <w:szCs w:val="20"/>
          <w:lang w:val="en-US"/>
        </w:rPr>
      </w:pPr>
    </w:p>
    <w:p w:rsidR="004B7023" w:rsidRPr="00972E11" w:rsidRDefault="004B7023" w:rsidP="00972E11">
      <w:pPr>
        <w:pStyle w:val="ListParagraph"/>
        <w:spacing w:line="240" w:lineRule="auto"/>
        <w:ind w:left="1134" w:right="567"/>
        <w:jc w:val="both"/>
        <w:rPr>
          <w:sz w:val="20"/>
          <w:szCs w:val="20"/>
          <w:lang w:val="en-US"/>
        </w:rPr>
      </w:pPr>
      <w:r w:rsidRPr="00972E11">
        <w:rPr>
          <w:sz w:val="20"/>
          <w:szCs w:val="20"/>
          <w:lang w:val="en-US"/>
        </w:rPr>
        <w:t>It is of course now well established a provision in a Commonwealth statute evincing an intention that the statute is not intended to cover the field cannot avoid or eliminate a case of direct inconsistency or collision, of the kind which arises, for example, when Commonwealth and State laws make contradictory provision upon the same topic, making it impossible for both laws to be obeyed.   I</w:t>
      </w:r>
      <w:r w:rsidR="00BF319D" w:rsidRPr="00972E11">
        <w:rPr>
          <w:sz w:val="20"/>
          <w:szCs w:val="20"/>
          <w:lang w:val="en-US"/>
        </w:rPr>
        <w:t xml:space="preserve">n </w:t>
      </w:r>
      <w:r w:rsidR="00BF319D" w:rsidRPr="00972E11">
        <w:rPr>
          <w:i/>
          <w:sz w:val="20"/>
          <w:szCs w:val="20"/>
          <w:lang w:val="en-US"/>
        </w:rPr>
        <w:t xml:space="preserve">Reg. v. </w:t>
      </w:r>
      <w:proofErr w:type="spellStart"/>
      <w:r w:rsidR="00BF319D" w:rsidRPr="00972E11">
        <w:rPr>
          <w:i/>
          <w:sz w:val="20"/>
          <w:szCs w:val="20"/>
          <w:lang w:val="en-US"/>
        </w:rPr>
        <w:t>Loewenthal</w:t>
      </w:r>
      <w:proofErr w:type="spellEnd"/>
      <w:r w:rsidR="00BF319D" w:rsidRPr="00972E11">
        <w:rPr>
          <w:i/>
          <w:sz w:val="20"/>
          <w:szCs w:val="20"/>
          <w:lang w:val="en-US"/>
        </w:rPr>
        <w:t xml:space="preserve">; Ex parte </w:t>
      </w:r>
      <w:proofErr w:type="spellStart"/>
      <w:r w:rsidR="00BF319D" w:rsidRPr="00972E11">
        <w:rPr>
          <w:i/>
          <w:sz w:val="20"/>
          <w:szCs w:val="20"/>
          <w:lang w:val="en-US"/>
        </w:rPr>
        <w:t>Blacklock</w:t>
      </w:r>
      <w:proofErr w:type="spellEnd"/>
      <w:r w:rsidRPr="00972E11">
        <w:rPr>
          <w:sz w:val="20"/>
          <w:szCs w:val="20"/>
          <w:lang w:val="en-US"/>
        </w:rPr>
        <w:t xml:space="preserve">  (1974) 131 CLR 338, at pp 346-347, I pointed out that such a provision in a Commonwealth law cannot displace the operation of s. 109 in rendering the State law</w:t>
      </w:r>
      <w:r w:rsidR="00BF319D" w:rsidRPr="00972E11">
        <w:rPr>
          <w:sz w:val="20"/>
          <w:szCs w:val="20"/>
          <w:lang w:val="en-US"/>
        </w:rPr>
        <w:t xml:space="preserve"> </w:t>
      </w:r>
      <w:r w:rsidRPr="00972E11">
        <w:rPr>
          <w:sz w:val="20"/>
          <w:szCs w:val="20"/>
          <w:lang w:val="en-US"/>
        </w:rPr>
        <w:t>inoperative.  But where there is no direct inconsistency, where inconsistency can only arise if the Commonwealth law is intended to be an exhaustive and exclusive law,  a   provision   of  the  kind  under  consideration  will  be  effective  to  avoid inconsistency by making it clear that the law is not intended to be exhaustive or exclusive."</w:t>
      </w:r>
    </w:p>
    <w:p w:rsidR="00BF319D" w:rsidRDefault="00BF319D" w:rsidP="00972E11">
      <w:pPr>
        <w:spacing w:line="360" w:lineRule="auto"/>
        <w:jc w:val="both"/>
        <w:rPr>
          <w:lang w:val="en-US"/>
        </w:rPr>
      </w:pPr>
    </w:p>
    <w:p w:rsidR="004B7023" w:rsidRPr="00972E11" w:rsidRDefault="004B7023" w:rsidP="00972E11">
      <w:pPr>
        <w:pStyle w:val="ListParagraph"/>
        <w:numPr>
          <w:ilvl w:val="0"/>
          <w:numId w:val="2"/>
        </w:numPr>
        <w:spacing w:line="360" w:lineRule="auto"/>
        <w:jc w:val="both"/>
        <w:rPr>
          <w:lang w:val="en-US"/>
        </w:rPr>
      </w:pPr>
      <w:r w:rsidRPr="00972E11">
        <w:rPr>
          <w:lang w:val="en-US"/>
        </w:rPr>
        <w:t xml:space="preserve">It  is  to  be  noted  from  the  above  that  there  is  a  middle  ground  between  the Commonwealth covering  the field  exclusively, and vacating  the field </w:t>
      </w:r>
      <w:r w:rsidR="00076912">
        <w:rPr>
          <w:lang w:val="en-US"/>
        </w:rPr>
        <w:t xml:space="preserve">entirely </w:t>
      </w:r>
      <w:r w:rsidRPr="00972E11">
        <w:rPr>
          <w:lang w:val="en-US"/>
        </w:rPr>
        <w:t xml:space="preserve"> in favour </w:t>
      </w:r>
      <w:r w:rsidR="00BF319D" w:rsidRPr="00972E11">
        <w:rPr>
          <w:lang w:val="en-US"/>
        </w:rPr>
        <w:t xml:space="preserve">of </w:t>
      </w:r>
      <w:r w:rsidRPr="00972E11">
        <w:rPr>
          <w:lang w:val="en-US"/>
        </w:rPr>
        <w:t>the exclusiv</w:t>
      </w:r>
      <w:r w:rsidR="00BF319D" w:rsidRPr="00972E11">
        <w:rPr>
          <w:lang w:val="en-US"/>
        </w:rPr>
        <w:t xml:space="preserve">e operation </w:t>
      </w:r>
      <w:r w:rsidRPr="00972E11">
        <w:rPr>
          <w:lang w:val="en-US"/>
        </w:rPr>
        <w:t>of State law - which is allowing section 109 do its work where a</w:t>
      </w:r>
      <w:r w:rsidR="00076912">
        <w:rPr>
          <w:lang w:val="en-US"/>
        </w:rPr>
        <w:t>n</w:t>
      </w:r>
      <w:r w:rsidRPr="00972E11">
        <w:rPr>
          <w:lang w:val="en-US"/>
        </w:rPr>
        <w:t xml:space="preserve"> inconsistency arises.  In the areas of exclusion identified by section 27, that is precisely the pos</w:t>
      </w:r>
      <w:r w:rsidR="00483635" w:rsidRPr="00972E11">
        <w:rPr>
          <w:lang w:val="en-US"/>
        </w:rPr>
        <w:t xml:space="preserve">ition (as is alluded to by </w:t>
      </w:r>
      <w:r w:rsidR="00806AFE" w:rsidRPr="00972E11">
        <w:rPr>
          <w:lang w:val="en-US"/>
        </w:rPr>
        <w:t>s</w:t>
      </w:r>
      <w:r w:rsidR="00483635" w:rsidRPr="00972E11">
        <w:rPr>
          <w:lang w:val="en-US"/>
        </w:rPr>
        <w:t>ection 30).</w:t>
      </w:r>
    </w:p>
    <w:p w:rsidR="00BF319D" w:rsidRDefault="00BF319D" w:rsidP="00972E11">
      <w:pPr>
        <w:spacing w:line="360" w:lineRule="auto"/>
        <w:jc w:val="both"/>
        <w:rPr>
          <w:u w:val="single"/>
          <w:lang w:val="en-US"/>
        </w:rPr>
      </w:pPr>
    </w:p>
    <w:p w:rsidR="004B7023" w:rsidRPr="00972E11" w:rsidRDefault="00BF319D" w:rsidP="00972E11">
      <w:pPr>
        <w:spacing w:line="360" w:lineRule="auto"/>
        <w:jc w:val="both"/>
        <w:rPr>
          <w:u w:val="single"/>
          <w:lang w:val="en-US"/>
        </w:rPr>
      </w:pPr>
      <w:r w:rsidRPr="00972E11">
        <w:rPr>
          <w:u w:val="single"/>
          <w:lang w:val="en-US"/>
        </w:rPr>
        <w:t>Long Service Leave and “the field”</w:t>
      </w:r>
    </w:p>
    <w:p w:rsidR="00DB5130" w:rsidRPr="00972E11" w:rsidRDefault="00DB5130" w:rsidP="00972E11">
      <w:pPr>
        <w:pStyle w:val="ListParagraph"/>
        <w:numPr>
          <w:ilvl w:val="0"/>
          <w:numId w:val="2"/>
        </w:numPr>
        <w:spacing w:line="360" w:lineRule="auto"/>
        <w:jc w:val="both"/>
        <w:rPr>
          <w:lang w:val="en-US"/>
        </w:rPr>
      </w:pPr>
      <w:r w:rsidRPr="00972E11">
        <w:rPr>
          <w:lang w:val="en-US"/>
        </w:rPr>
        <w:t xml:space="preserve">We have located </w:t>
      </w:r>
      <w:r w:rsidR="002B394A" w:rsidRPr="00972E11">
        <w:rPr>
          <w:lang w:val="en-US"/>
        </w:rPr>
        <w:t>only one decision</w:t>
      </w:r>
      <w:r w:rsidRPr="00972E11">
        <w:rPr>
          <w:lang w:val="en-US"/>
        </w:rPr>
        <w:t xml:space="preserve"> that deal</w:t>
      </w:r>
      <w:r w:rsidR="002B394A" w:rsidRPr="00972E11">
        <w:rPr>
          <w:lang w:val="en-US"/>
        </w:rPr>
        <w:t>s</w:t>
      </w:r>
      <w:r w:rsidRPr="00972E11">
        <w:rPr>
          <w:lang w:val="en-US"/>
        </w:rPr>
        <w:t xml:space="preserve"> with the</w:t>
      </w:r>
      <w:r w:rsidR="00794813" w:rsidRPr="00972E11">
        <w:rPr>
          <w:lang w:val="en-US"/>
        </w:rPr>
        <w:t xml:space="preserve"> treatment of </w:t>
      </w:r>
      <w:r w:rsidR="00972E11">
        <w:rPr>
          <w:lang w:val="en-US"/>
        </w:rPr>
        <w:t>long s</w:t>
      </w:r>
      <w:r w:rsidR="00794813" w:rsidRPr="00972E11">
        <w:rPr>
          <w:lang w:val="en-US"/>
        </w:rPr>
        <w:t xml:space="preserve">ervice </w:t>
      </w:r>
      <w:r w:rsidR="00972E11">
        <w:rPr>
          <w:lang w:val="en-US"/>
        </w:rPr>
        <w:t>l</w:t>
      </w:r>
      <w:r w:rsidR="00794813" w:rsidRPr="00972E11">
        <w:rPr>
          <w:lang w:val="en-US"/>
        </w:rPr>
        <w:t>eave under the scheme established by section</w:t>
      </w:r>
      <w:r w:rsidR="00076912">
        <w:rPr>
          <w:lang w:val="en-US"/>
        </w:rPr>
        <w:t xml:space="preserve">s 26 and </w:t>
      </w:r>
      <w:r w:rsidR="00794813" w:rsidRPr="00972E11">
        <w:rPr>
          <w:lang w:val="en-US"/>
        </w:rPr>
        <w:t>27</w:t>
      </w:r>
      <w:r w:rsidRPr="00972E11">
        <w:rPr>
          <w:lang w:val="en-US"/>
        </w:rPr>
        <w:t xml:space="preserve">.   In </w:t>
      </w:r>
      <w:proofErr w:type="spellStart"/>
      <w:r w:rsidRPr="00972E11">
        <w:rPr>
          <w:i/>
          <w:lang w:val="en-US"/>
        </w:rPr>
        <w:t>Armacell</w:t>
      </w:r>
      <w:proofErr w:type="spellEnd"/>
      <w:r w:rsidR="002B394A" w:rsidRPr="00972E11">
        <w:rPr>
          <w:lang w:val="en-US"/>
        </w:rPr>
        <w:t xml:space="preserve"> </w:t>
      </w:r>
      <w:r w:rsidR="002B394A" w:rsidRPr="00972E11">
        <w:rPr>
          <w:i/>
          <w:lang w:val="en-US"/>
        </w:rPr>
        <w:t xml:space="preserve">Australia Pty Ltd &amp; </w:t>
      </w:r>
      <w:proofErr w:type="spellStart"/>
      <w:r w:rsidR="002B394A" w:rsidRPr="00972E11">
        <w:rPr>
          <w:i/>
          <w:lang w:val="en-US"/>
        </w:rPr>
        <w:t>Ors</w:t>
      </w:r>
      <w:proofErr w:type="spellEnd"/>
      <w:r w:rsidR="002B394A">
        <w:rPr>
          <w:rStyle w:val="FootnoteReference"/>
          <w:i/>
          <w:lang w:val="en-US"/>
        </w:rPr>
        <w:footnoteReference w:id="4"/>
      </w:r>
      <w:r w:rsidRPr="00972E11">
        <w:rPr>
          <w:lang w:val="en-US"/>
        </w:rPr>
        <w:t>, a Full Bench of Fair Work Australia, as it then was, said as follows:</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bCs/>
          <w:color w:val="000000" w:themeColor="text1"/>
          <w:sz w:val="20"/>
          <w:szCs w:val="20"/>
        </w:rPr>
        <w:t>“</w:t>
      </w:r>
      <w:r w:rsidRPr="00972E11">
        <w:rPr>
          <w:rFonts w:asciiTheme="minorHAnsi" w:hAnsiTheme="minorHAnsi"/>
          <w:color w:val="000000" w:themeColor="text1"/>
          <w:sz w:val="20"/>
          <w:szCs w:val="20"/>
        </w:rPr>
        <w:t xml:space="preserve">It is necessary to summarise some aspects of the manner in which long service leave is regulated in Australia. </w:t>
      </w:r>
      <w:hyperlink r:id="rId9" w:history="1">
        <w:r w:rsidRPr="00972E11">
          <w:rPr>
            <w:rStyle w:val="Hyperlink"/>
            <w:rFonts w:asciiTheme="minorHAnsi" w:eastAsiaTheme="majorEastAsia" w:hAnsiTheme="minorHAnsi"/>
            <w:color w:val="000000" w:themeColor="text1"/>
            <w:sz w:val="20"/>
            <w:szCs w:val="20"/>
            <w:u w:val="none"/>
          </w:rPr>
          <w:t>Section 26</w:t>
        </w:r>
      </w:hyperlink>
      <w:r w:rsidRPr="00972E11">
        <w:rPr>
          <w:rFonts w:asciiTheme="minorHAnsi" w:hAnsiTheme="minorHAnsi"/>
          <w:color w:val="000000" w:themeColor="text1"/>
          <w:sz w:val="20"/>
          <w:szCs w:val="20"/>
        </w:rPr>
        <w:t xml:space="preserve"> of the </w:t>
      </w:r>
      <w:hyperlink r:id="rId10" w:history="1">
        <w:r w:rsidRPr="00972E11">
          <w:rPr>
            <w:rStyle w:val="Hyperlink"/>
            <w:rFonts w:asciiTheme="minorHAnsi" w:eastAsiaTheme="majorEastAsia" w:hAnsiTheme="minorHAnsi"/>
            <w:color w:val="000000" w:themeColor="text1"/>
            <w:sz w:val="20"/>
            <w:szCs w:val="20"/>
            <w:u w:val="none"/>
          </w:rPr>
          <w:t>Fair Work Act</w:t>
        </w:r>
      </w:hyperlink>
      <w:r w:rsidRPr="00972E11">
        <w:rPr>
          <w:rFonts w:asciiTheme="minorHAnsi" w:hAnsiTheme="minorHAnsi"/>
          <w:color w:val="000000" w:themeColor="text1"/>
          <w:sz w:val="20"/>
          <w:szCs w:val="20"/>
        </w:rPr>
        <w:t xml:space="preserve"> provides that it applies to the exclusion of State and Territory industrial laws. It is not necessary to set the section out. </w:t>
      </w:r>
      <w:hyperlink r:id="rId11" w:history="1">
        <w:r w:rsidRPr="00972E11">
          <w:rPr>
            <w:rStyle w:val="Hyperlink"/>
            <w:rFonts w:asciiTheme="minorHAnsi" w:eastAsiaTheme="majorEastAsia" w:hAnsiTheme="minorHAnsi"/>
            <w:color w:val="000000" w:themeColor="text1"/>
            <w:sz w:val="20"/>
            <w:szCs w:val="20"/>
            <w:u w:val="none"/>
          </w:rPr>
          <w:t>Section 27</w:t>
        </w:r>
      </w:hyperlink>
      <w:r w:rsidRPr="00972E11">
        <w:rPr>
          <w:rFonts w:asciiTheme="minorHAnsi" w:hAnsiTheme="minorHAnsi"/>
          <w:color w:val="000000" w:themeColor="text1"/>
          <w:sz w:val="20"/>
          <w:szCs w:val="20"/>
        </w:rPr>
        <w:t xml:space="preserve">, however, provides that a number of State and Territory laws are not excluded by </w:t>
      </w:r>
      <w:hyperlink r:id="rId12" w:history="1">
        <w:r w:rsidRPr="00972E11">
          <w:rPr>
            <w:rStyle w:val="Hyperlink"/>
            <w:rFonts w:asciiTheme="minorHAnsi" w:eastAsiaTheme="majorEastAsia" w:hAnsiTheme="minorHAnsi"/>
            <w:color w:val="000000" w:themeColor="text1"/>
            <w:sz w:val="20"/>
            <w:szCs w:val="20"/>
            <w:u w:val="none"/>
          </w:rPr>
          <w:t>s.26.</w:t>
        </w:r>
      </w:hyperlink>
      <w:r w:rsidRPr="00972E11">
        <w:rPr>
          <w:rFonts w:asciiTheme="minorHAnsi" w:hAnsiTheme="minorHAnsi"/>
          <w:color w:val="000000" w:themeColor="text1"/>
          <w:sz w:val="20"/>
          <w:szCs w:val="20"/>
        </w:rPr>
        <w:t xml:space="preserve"> In particular </w:t>
      </w:r>
      <w:hyperlink r:id="rId13" w:history="1">
        <w:proofErr w:type="gramStart"/>
        <w:r w:rsidRPr="00972E11">
          <w:rPr>
            <w:rStyle w:val="Hyperlink"/>
            <w:rFonts w:asciiTheme="minorHAnsi" w:eastAsiaTheme="majorEastAsia" w:hAnsiTheme="minorHAnsi"/>
            <w:color w:val="000000" w:themeColor="text1"/>
            <w:sz w:val="20"/>
            <w:szCs w:val="20"/>
            <w:u w:val="none"/>
          </w:rPr>
          <w:t>s.27(</w:t>
        </w:r>
        <w:proofErr w:type="gramEnd"/>
        <w:r w:rsidRPr="00972E11">
          <w:rPr>
            <w:rStyle w:val="Hyperlink"/>
            <w:rFonts w:asciiTheme="minorHAnsi" w:eastAsiaTheme="majorEastAsia" w:hAnsiTheme="minorHAnsi"/>
            <w:color w:val="000000" w:themeColor="text1"/>
            <w:sz w:val="20"/>
            <w:szCs w:val="20"/>
            <w:u w:val="none"/>
          </w:rPr>
          <w:t>1)(c)</w:t>
        </w:r>
      </w:hyperlink>
      <w:r w:rsidRPr="00972E11">
        <w:rPr>
          <w:rFonts w:asciiTheme="minorHAnsi" w:hAnsiTheme="minorHAnsi"/>
          <w:color w:val="000000" w:themeColor="text1"/>
          <w:sz w:val="20"/>
          <w:szCs w:val="20"/>
        </w:rPr>
        <w:t xml:space="preserve"> provides that State and Territory laws in relation to specified “non-excluded matters” are not excluded. </w:t>
      </w:r>
      <w:hyperlink r:id="rId14" w:history="1">
        <w:r w:rsidRPr="00972E11">
          <w:rPr>
            <w:rStyle w:val="Hyperlink"/>
            <w:rFonts w:asciiTheme="minorHAnsi" w:eastAsiaTheme="majorEastAsia" w:hAnsiTheme="minorHAnsi"/>
            <w:color w:val="000000" w:themeColor="text1"/>
            <w:sz w:val="20"/>
            <w:szCs w:val="20"/>
            <w:u w:val="none"/>
          </w:rPr>
          <w:t>Section 27(2</w:t>
        </w:r>
        <w:proofErr w:type="gramStart"/>
        <w:r w:rsidRPr="00972E11">
          <w:rPr>
            <w:rStyle w:val="Hyperlink"/>
            <w:rFonts w:asciiTheme="minorHAnsi" w:eastAsiaTheme="majorEastAsia" w:hAnsiTheme="minorHAnsi"/>
            <w:color w:val="000000" w:themeColor="text1"/>
            <w:sz w:val="20"/>
            <w:szCs w:val="20"/>
            <w:u w:val="none"/>
          </w:rPr>
          <w:t>)(</w:t>
        </w:r>
        <w:proofErr w:type="gramEnd"/>
        <w:r w:rsidRPr="00972E11">
          <w:rPr>
            <w:rStyle w:val="Hyperlink"/>
            <w:rFonts w:asciiTheme="minorHAnsi" w:eastAsiaTheme="majorEastAsia" w:hAnsiTheme="minorHAnsi"/>
            <w:color w:val="000000" w:themeColor="text1"/>
            <w:sz w:val="20"/>
            <w:szCs w:val="20"/>
            <w:u w:val="none"/>
          </w:rPr>
          <w:t>g)</w:t>
        </w:r>
      </w:hyperlink>
      <w:r w:rsidRPr="00972E11">
        <w:rPr>
          <w:rFonts w:asciiTheme="minorHAnsi" w:hAnsiTheme="minorHAnsi"/>
          <w:color w:val="000000" w:themeColor="text1"/>
          <w:sz w:val="20"/>
          <w:szCs w:val="20"/>
        </w:rPr>
        <w:t xml:space="preserve"> deals with long service leave. It reads:</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w:t>
      </w:r>
      <w:r w:rsidRPr="00972E11">
        <w:rPr>
          <w:rFonts w:asciiTheme="minorHAnsi" w:hAnsiTheme="minorHAnsi"/>
          <w:bCs/>
          <w:color w:val="000000" w:themeColor="text1"/>
          <w:sz w:val="20"/>
          <w:szCs w:val="20"/>
        </w:rPr>
        <w:t xml:space="preserve">State and Territory Laws that are not excluded by </w:t>
      </w:r>
      <w:hyperlink r:id="rId15" w:history="1">
        <w:r w:rsidRPr="00972E11">
          <w:rPr>
            <w:rStyle w:val="Hyperlink"/>
            <w:rFonts w:asciiTheme="minorHAnsi" w:eastAsiaTheme="majorEastAsia" w:hAnsiTheme="minorHAnsi"/>
            <w:bCs/>
            <w:color w:val="000000" w:themeColor="text1"/>
            <w:sz w:val="20"/>
            <w:szCs w:val="20"/>
            <w:u w:val="none"/>
          </w:rPr>
          <w:t>Section 26</w:t>
        </w:r>
      </w:hyperlink>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xml:space="preserve">(2) The </w:t>
      </w:r>
      <w:r w:rsidRPr="00972E11">
        <w:rPr>
          <w:rFonts w:asciiTheme="minorHAnsi" w:hAnsiTheme="minorHAnsi"/>
          <w:bCs/>
          <w:i/>
          <w:iCs/>
          <w:color w:val="000000" w:themeColor="text1"/>
          <w:sz w:val="20"/>
          <w:szCs w:val="20"/>
        </w:rPr>
        <w:t>non-excluded matters</w:t>
      </w:r>
      <w:r w:rsidRPr="00972E11">
        <w:rPr>
          <w:rFonts w:asciiTheme="minorHAnsi" w:hAnsiTheme="minorHAnsi"/>
          <w:color w:val="000000" w:themeColor="text1"/>
          <w:sz w:val="20"/>
          <w:szCs w:val="20"/>
        </w:rPr>
        <w:t xml:space="preserve"> are as follows:</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xml:space="preserve">(g) </w:t>
      </w:r>
      <w:proofErr w:type="gramStart"/>
      <w:r w:rsidRPr="00972E11">
        <w:rPr>
          <w:rFonts w:asciiTheme="minorHAnsi" w:hAnsiTheme="minorHAnsi"/>
          <w:color w:val="000000" w:themeColor="text1"/>
          <w:sz w:val="20"/>
          <w:szCs w:val="20"/>
        </w:rPr>
        <w:t>long</w:t>
      </w:r>
      <w:proofErr w:type="gramEnd"/>
      <w:r w:rsidRPr="00972E11">
        <w:rPr>
          <w:rFonts w:asciiTheme="minorHAnsi" w:hAnsiTheme="minorHAnsi"/>
          <w:color w:val="000000" w:themeColor="text1"/>
          <w:sz w:val="20"/>
          <w:szCs w:val="20"/>
        </w:rPr>
        <w:t xml:space="preserve"> service leave, except in relation to an employee who is entitled under Division 9 of </w:t>
      </w:r>
      <w:hyperlink r:id="rId16" w:anchor="p2" w:history="1">
        <w:r w:rsidRPr="00972E11">
          <w:rPr>
            <w:rStyle w:val="Hyperlink"/>
            <w:rFonts w:asciiTheme="minorHAnsi" w:eastAsiaTheme="majorEastAsia" w:hAnsiTheme="minorHAnsi"/>
            <w:color w:val="000000" w:themeColor="text1"/>
            <w:sz w:val="20"/>
            <w:szCs w:val="20"/>
            <w:u w:val="none"/>
          </w:rPr>
          <w:t>Part 2</w:t>
        </w:r>
      </w:hyperlink>
      <w:r w:rsidRPr="00972E11">
        <w:rPr>
          <w:rFonts w:asciiTheme="minorHAnsi" w:hAnsiTheme="minorHAnsi"/>
          <w:color w:val="000000" w:themeColor="text1"/>
          <w:sz w:val="20"/>
          <w:szCs w:val="20"/>
        </w:rPr>
        <w:t>-</w:t>
      </w:r>
      <w:hyperlink r:id="rId17" w:anchor="p2" w:history="1">
        <w:r w:rsidRPr="00972E11">
          <w:rPr>
            <w:rStyle w:val="Hyperlink"/>
            <w:rFonts w:asciiTheme="minorHAnsi" w:eastAsiaTheme="majorEastAsia" w:hAnsiTheme="minorHAnsi"/>
            <w:color w:val="000000" w:themeColor="text1"/>
            <w:sz w:val="20"/>
            <w:szCs w:val="20"/>
            <w:u w:val="none"/>
          </w:rPr>
          <w:t>2</w:t>
        </w:r>
      </w:hyperlink>
      <w:r w:rsidRPr="00972E11">
        <w:rPr>
          <w:rFonts w:asciiTheme="minorHAnsi" w:hAnsiTheme="minorHAnsi"/>
          <w:color w:val="000000" w:themeColor="text1"/>
          <w:sz w:val="20"/>
          <w:szCs w:val="20"/>
        </w:rPr>
        <w:t xml:space="preserve"> to long service leave;</w:t>
      </w: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w:t>
      </w:r>
    </w:p>
    <w:p w:rsidR="00972E11" w:rsidRDefault="00972E11" w:rsidP="00972E11">
      <w:pPr>
        <w:pStyle w:val="NormalWeb"/>
        <w:spacing w:before="0" w:beforeAutospacing="0" w:after="0" w:afterAutospacing="0"/>
        <w:ind w:left="1134" w:right="567"/>
        <w:jc w:val="both"/>
        <w:rPr>
          <w:rFonts w:asciiTheme="minorHAnsi" w:hAnsiTheme="minorHAnsi"/>
          <w:bCs/>
          <w:color w:val="000000" w:themeColor="text1"/>
          <w:sz w:val="20"/>
          <w:szCs w:val="20"/>
        </w:rPr>
      </w:pP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bCs/>
          <w:color w:val="000000" w:themeColor="text1"/>
          <w:sz w:val="20"/>
          <w:szCs w:val="20"/>
        </w:rPr>
        <w:lastRenderedPageBreak/>
        <w:t xml:space="preserve"> </w:t>
      </w:r>
      <w:r w:rsidRPr="00972E11">
        <w:rPr>
          <w:rFonts w:asciiTheme="minorHAnsi" w:hAnsiTheme="minorHAnsi"/>
          <w:color w:val="000000" w:themeColor="text1"/>
          <w:sz w:val="20"/>
          <w:szCs w:val="20"/>
        </w:rPr>
        <w:t xml:space="preserve">In order to ascertain whether an employee is entitled to long service leave under Division 9 of </w:t>
      </w:r>
      <w:hyperlink r:id="rId18" w:anchor="p2" w:history="1">
        <w:r w:rsidRPr="00972E11">
          <w:rPr>
            <w:rStyle w:val="Hyperlink"/>
            <w:rFonts w:asciiTheme="minorHAnsi" w:eastAsiaTheme="majorEastAsia" w:hAnsiTheme="minorHAnsi"/>
            <w:color w:val="000000" w:themeColor="text1"/>
            <w:sz w:val="20"/>
            <w:szCs w:val="20"/>
            <w:u w:val="none"/>
          </w:rPr>
          <w:t>Part 2</w:t>
        </w:r>
      </w:hyperlink>
      <w:r w:rsidRPr="00972E11">
        <w:rPr>
          <w:rFonts w:asciiTheme="minorHAnsi" w:hAnsiTheme="minorHAnsi"/>
          <w:color w:val="000000" w:themeColor="text1"/>
          <w:sz w:val="20"/>
          <w:szCs w:val="20"/>
        </w:rPr>
        <w:t>–</w:t>
      </w:r>
      <w:hyperlink r:id="rId19" w:anchor="p2" w:history="1">
        <w:r w:rsidRPr="00972E11">
          <w:rPr>
            <w:rStyle w:val="Hyperlink"/>
            <w:rFonts w:asciiTheme="minorHAnsi" w:eastAsiaTheme="majorEastAsia" w:hAnsiTheme="minorHAnsi"/>
            <w:color w:val="000000" w:themeColor="text1"/>
            <w:sz w:val="20"/>
            <w:szCs w:val="20"/>
            <w:u w:val="none"/>
          </w:rPr>
          <w:t>2</w:t>
        </w:r>
      </w:hyperlink>
      <w:r w:rsidRPr="00972E11">
        <w:rPr>
          <w:rFonts w:asciiTheme="minorHAnsi" w:hAnsiTheme="minorHAnsi"/>
          <w:color w:val="000000" w:themeColor="text1"/>
          <w:sz w:val="20"/>
          <w:szCs w:val="20"/>
        </w:rPr>
        <w:t xml:space="preserve"> it is necessary to have regard </w:t>
      </w:r>
      <w:proofErr w:type="gramStart"/>
      <w:r w:rsidRPr="00972E11">
        <w:rPr>
          <w:rFonts w:asciiTheme="minorHAnsi" w:hAnsiTheme="minorHAnsi"/>
          <w:color w:val="000000" w:themeColor="text1"/>
          <w:sz w:val="20"/>
          <w:szCs w:val="20"/>
        </w:rPr>
        <w:t xml:space="preserve">to </w:t>
      </w:r>
      <w:r w:rsidRPr="00972E11">
        <w:rPr>
          <w:rFonts w:asciiTheme="minorHAnsi" w:hAnsiTheme="minorHAnsi"/>
          <w:bCs/>
          <w:color w:val="000000" w:themeColor="text1"/>
          <w:sz w:val="20"/>
          <w:szCs w:val="20"/>
        </w:rPr>
        <w:t> </w:t>
      </w:r>
      <w:proofErr w:type="gramEnd"/>
      <w:r w:rsidR="0031541B">
        <w:fldChar w:fldCharType="begin"/>
      </w:r>
      <w:r w:rsidR="0031541B">
        <w:instrText xml:space="preserve"> HYPERLINK "http://www.austlii.edu.au/au/legis/cth/consol_act/fwa2009114/s113.html" </w:instrText>
      </w:r>
      <w:r w:rsidR="0031541B">
        <w:fldChar w:fldCharType="separate"/>
      </w:r>
      <w:r w:rsidRPr="00972E11">
        <w:rPr>
          <w:rStyle w:val="Hyperlink"/>
          <w:rFonts w:asciiTheme="minorHAnsi" w:eastAsiaTheme="majorEastAsia" w:hAnsiTheme="minorHAnsi"/>
          <w:bCs/>
          <w:color w:val="000000" w:themeColor="text1"/>
          <w:sz w:val="20"/>
          <w:szCs w:val="20"/>
          <w:u w:val="none"/>
        </w:rPr>
        <w:t>s.113.</w:t>
      </w:r>
      <w:r w:rsidR="0031541B">
        <w:rPr>
          <w:rStyle w:val="Hyperlink"/>
          <w:rFonts w:asciiTheme="minorHAnsi" w:eastAsiaTheme="majorEastAsia" w:hAnsiTheme="minorHAnsi"/>
          <w:bCs/>
          <w:color w:val="000000" w:themeColor="text1"/>
          <w:sz w:val="20"/>
          <w:szCs w:val="20"/>
          <w:u w:val="none"/>
        </w:rPr>
        <w:fldChar w:fldCharType="end"/>
      </w:r>
      <w:r w:rsidRPr="00972E11">
        <w:rPr>
          <w:rFonts w:asciiTheme="minorHAnsi" w:hAnsiTheme="minorHAnsi"/>
          <w:bCs/>
          <w:color w:val="000000" w:themeColor="text1"/>
          <w:sz w:val="20"/>
          <w:szCs w:val="20"/>
        </w:rPr>
        <w:t> </w:t>
      </w:r>
      <w:r w:rsidRPr="00972E11">
        <w:rPr>
          <w:rFonts w:asciiTheme="minorHAnsi" w:hAnsiTheme="minorHAnsi"/>
          <w:color w:val="000000" w:themeColor="text1"/>
          <w:sz w:val="20"/>
          <w:szCs w:val="20"/>
        </w:rPr>
        <w:t xml:space="preserve"> </w:t>
      </w:r>
      <w:r w:rsidRPr="00972E11">
        <w:rPr>
          <w:rFonts w:asciiTheme="minorHAnsi" w:hAnsiTheme="minorHAnsi"/>
          <w:bCs/>
          <w:color w:val="000000" w:themeColor="text1"/>
          <w:sz w:val="20"/>
          <w:szCs w:val="20"/>
        </w:rPr>
        <w:t> </w:t>
      </w:r>
      <w:hyperlink r:id="rId20" w:history="1">
        <w:r w:rsidRPr="00972E11">
          <w:rPr>
            <w:rStyle w:val="Hyperlink"/>
            <w:rFonts w:asciiTheme="minorHAnsi" w:eastAsiaTheme="majorEastAsia" w:hAnsiTheme="minorHAnsi"/>
            <w:bCs/>
            <w:color w:val="000000" w:themeColor="text1"/>
            <w:sz w:val="20"/>
            <w:szCs w:val="20"/>
            <w:u w:val="none"/>
          </w:rPr>
          <w:t>Section 113</w:t>
        </w:r>
      </w:hyperlink>
      <w:r w:rsidRPr="00972E11">
        <w:rPr>
          <w:rFonts w:asciiTheme="minorHAnsi" w:hAnsiTheme="minorHAnsi"/>
          <w:bCs/>
          <w:color w:val="000000" w:themeColor="text1"/>
          <w:sz w:val="20"/>
          <w:szCs w:val="20"/>
        </w:rPr>
        <w:t> </w:t>
      </w:r>
      <w:r w:rsidRPr="00972E11">
        <w:rPr>
          <w:rFonts w:asciiTheme="minorHAnsi" w:hAnsiTheme="minorHAnsi"/>
          <w:color w:val="000000" w:themeColor="text1"/>
          <w:sz w:val="20"/>
          <w:szCs w:val="20"/>
        </w:rPr>
        <w:t xml:space="preserve">, which is in Division 9 of </w:t>
      </w:r>
      <w:hyperlink r:id="rId21" w:anchor="p2" w:history="1">
        <w:r w:rsidRPr="00972E11">
          <w:rPr>
            <w:rStyle w:val="Hyperlink"/>
            <w:rFonts w:asciiTheme="minorHAnsi" w:eastAsiaTheme="majorEastAsia" w:hAnsiTheme="minorHAnsi"/>
            <w:color w:val="000000" w:themeColor="text1"/>
            <w:sz w:val="20"/>
            <w:szCs w:val="20"/>
            <w:u w:val="none"/>
          </w:rPr>
          <w:t>Part 2</w:t>
        </w:r>
      </w:hyperlink>
      <w:r w:rsidRPr="00972E11">
        <w:rPr>
          <w:rFonts w:asciiTheme="minorHAnsi" w:hAnsiTheme="minorHAnsi"/>
          <w:color w:val="000000" w:themeColor="text1"/>
          <w:sz w:val="20"/>
          <w:szCs w:val="20"/>
        </w:rPr>
        <w:t>–</w:t>
      </w:r>
      <w:hyperlink r:id="rId22" w:anchor="p2" w:history="1">
        <w:r w:rsidRPr="00972E11">
          <w:rPr>
            <w:rStyle w:val="Hyperlink"/>
            <w:rFonts w:asciiTheme="minorHAnsi" w:eastAsiaTheme="majorEastAsia" w:hAnsiTheme="minorHAnsi"/>
            <w:color w:val="000000" w:themeColor="text1"/>
            <w:sz w:val="20"/>
            <w:szCs w:val="20"/>
            <w:u w:val="none"/>
          </w:rPr>
          <w:t>2</w:t>
        </w:r>
      </w:hyperlink>
      <w:r w:rsidRPr="00972E11">
        <w:rPr>
          <w:rFonts w:asciiTheme="minorHAnsi" w:hAnsiTheme="minorHAnsi"/>
          <w:color w:val="000000" w:themeColor="text1"/>
          <w:sz w:val="20"/>
          <w:szCs w:val="20"/>
        </w:rPr>
        <w:t>, provides in part that a long service leave provision in a federal award or State reference transitional award that was in operation immediately before 1 July 2009 or, for a Division 2B State reference employee, immediately before 1 January 2010, is preserved for the benefit of an employee.</w:t>
      </w:r>
    </w:p>
    <w:p w:rsidR="00972E11" w:rsidRDefault="00972E11" w:rsidP="00972E11">
      <w:pPr>
        <w:pStyle w:val="NormalWeb"/>
        <w:spacing w:before="0" w:beforeAutospacing="0" w:after="0" w:afterAutospacing="0"/>
        <w:ind w:left="1134" w:right="567"/>
        <w:jc w:val="both"/>
        <w:rPr>
          <w:rFonts w:asciiTheme="minorHAnsi" w:hAnsiTheme="minorHAnsi"/>
          <w:color w:val="000000" w:themeColor="text1"/>
          <w:sz w:val="20"/>
          <w:szCs w:val="20"/>
        </w:rPr>
      </w:pPr>
    </w:p>
    <w:p w:rsidR="007A3E9D" w:rsidRPr="00972E11" w:rsidRDefault="007A3E9D" w:rsidP="00972E11">
      <w:pPr>
        <w:pStyle w:val="NormalWeb"/>
        <w:spacing w:before="0" w:beforeAutospacing="0" w:after="0" w:afterAutospacing="0"/>
        <w:ind w:left="1134" w:right="567"/>
        <w:jc w:val="both"/>
        <w:rPr>
          <w:rFonts w:asciiTheme="minorHAnsi" w:hAnsiTheme="minorHAnsi"/>
          <w:color w:val="000000" w:themeColor="text1"/>
          <w:sz w:val="20"/>
          <w:szCs w:val="20"/>
        </w:rPr>
      </w:pPr>
      <w:r w:rsidRPr="00972E11">
        <w:rPr>
          <w:rFonts w:asciiTheme="minorHAnsi" w:hAnsiTheme="minorHAnsi"/>
          <w:color w:val="000000" w:themeColor="text1"/>
          <w:sz w:val="20"/>
          <w:szCs w:val="20"/>
        </w:rPr>
        <w:t xml:space="preserve">While the relevant terms of </w:t>
      </w:r>
      <w:hyperlink r:id="rId23" w:history="1">
        <w:r w:rsidRPr="00972E11">
          <w:rPr>
            <w:rStyle w:val="Hyperlink"/>
            <w:rFonts w:asciiTheme="minorHAnsi" w:eastAsiaTheme="majorEastAsia" w:hAnsiTheme="minorHAnsi"/>
            <w:color w:val="000000" w:themeColor="text1"/>
            <w:sz w:val="20"/>
            <w:szCs w:val="20"/>
            <w:u w:val="none"/>
          </w:rPr>
          <w:t>ss.26</w:t>
        </w:r>
      </w:hyperlink>
      <w:r w:rsidRPr="00972E11">
        <w:rPr>
          <w:rFonts w:asciiTheme="minorHAnsi" w:hAnsiTheme="minorHAnsi"/>
          <w:color w:val="000000" w:themeColor="text1"/>
          <w:sz w:val="20"/>
          <w:szCs w:val="20"/>
        </w:rPr>
        <w:t xml:space="preserve"> and </w:t>
      </w:r>
      <w:hyperlink r:id="rId24" w:history="1">
        <w:r w:rsidRPr="00972E11">
          <w:rPr>
            <w:rStyle w:val="Hyperlink"/>
            <w:rFonts w:asciiTheme="minorHAnsi" w:eastAsiaTheme="majorEastAsia" w:hAnsiTheme="minorHAnsi"/>
            <w:color w:val="000000" w:themeColor="text1"/>
            <w:sz w:val="20"/>
            <w:szCs w:val="20"/>
            <w:u w:val="none"/>
          </w:rPr>
          <w:t>27</w:t>
        </w:r>
      </w:hyperlink>
      <w:r w:rsidRPr="00972E11">
        <w:rPr>
          <w:rFonts w:asciiTheme="minorHAnsi" w:hAnsiTheme="minorHAnsi"/>
          <w:color w:val="000000" w:themeColor="text1"/>
          <w:sz w:val="20"/>
          <w:szCs w:val="20"/>
        </w:rPr>
        <w:t xml:space="preserve"> are cast in the negative, it is clear enough that the NES does not create a general entitlement to long service leave. The position can be contrasted with that applying in relation to annual leave where the NES contains a standard which applies to all employees. Speaking generally, where an employee would have had an entitlement to long service leave under a federal award if that award had continued to apply there is an entitlement under the </w:t>
      </w:r>
      <w:hyperlink r:id="rId25" w:history="1">
        <w:r w:rsidRPr="00972E11">
          <w:rPr>
            <w:rStyle w:val="Hyperlink"/>
            <w:rFonts w:asciiTheme="minorHAnsi" w:eastAsiaTheme="majorEastAsia" w:hAnsiTheme="minorHAnsi"/>
            <w:color w:val="000000" w:themeColor="text1"/>
            <w:sz w:val="20"/>
            <w:szCs w:val="20"/>
            <w:u w:val="none"/>
          </w:rPr>
          <w:t>Fair Work Act</w:t>
        </w:r>
      </w:hyperlink>
      <w:r w:rsidRPr="00972E11">
        <w:rPr>
          <w:rFonts w:asciiTheme="minorHAnsi" w:hAnsiTheme="minorHAnsi"/>
          <w:color w:val="000000" w:themeColor="text1"/>
          <w:sz w:val="20"/>
          <w:szCs w:val="20"/>
        </w:rPr>
        <w:t xml:space="preserve">. All other cases are governed by the relevant State legislation. State long service leave laws are not excluded by the operation of the </w:t>
      </w:r>
      <w:hyperlink r:id="rId26" w:history="1">
        <w:r w:rsidRPr="00972E11">
          <w:rPr>
            <w:rStyle w:val="Hyperlink"/>
            <w:rFonts w:asciiTheme="minorHAnsi" w:eastAsiaTheme="majorEastAsia" w:hAnsiTheme="minorHAnsi"/>
            <w:color w:val="000000" w:themeColor="text1"/>
            <w:sz w:val="20"/>
            <w:szCs w:val="20"/>
            <w:u w:val="none"/>
          </w:rPr>
          <w:t>Fair Work Act</w:t>
        </w:r>
      </w:hyperlink>
      <w:r w:rsidRPr="00972E11">
        <w:rPr>
          <w:rFonts w:asciiTheme="minorHAnsi" w:hAnsiTheme="minorHAnsi"/>
          <w:color w:val="000000" w:themeColor="text1"/>
          <w:sz w:val="20"/>
          <w:szCs w:val="20"/>
        </w:rPr>
        <w:t xml:space="preserve"> unless an employee is entitled to long service leave in accordance with a relevant federal award or State reference transitional award operating immediately prior to 1 July 2009 or 1 January 2010 as the case may be.”</w:t>
      </w:r>
      <w:r w:rsidR="00687326" w:rsidRPr="00972E11">
        <w:rPr>
          <w:rStyle w:val="FootnoteReference"/>
          <w:rFonts w:asciiTheme="minorHAnsi" w:hAnsiTheme="minorHAnsi"/>
          <w:color w:val="000000" w:themeColor="text1"/>
          <w:sz w:val="20"/>
          <w:szCs w:val="20"/>
        </w:rPr>
        <w:footnoteReference w:id="5"/>
      </w:r>
    </w:p>
    <w:p w:rsidR="00972E11" w:rsidRDefault="00972E11" w:rsidP="00972E11">
      <w:pPr>
        <w:pStyle w:val="ListParagraph"/>
        <w:spacing w:line="360" w:lineRule="auto"/>
        <w:jc w:val="both"/>
        <w:rPr>
          <w:lang w:val="en-US"/>
        </w:rPr>
      </w:pPr>
    </w:p>
    <w:p w:rsidR="00F17878" w:rsidRDefault="00DB5130" w:rsidP="00972E11">
      <w:pPr>
        <w:pStyle w:val="ListParagraph"/>
        <w:numPr>
          <w:ilvl w:val="0"/>
          <w:numId w:val="2"/>
        </w:numPr>
        <w:spacing w:line="360" w:lineRule="auto"/>
        <w:jc w:val="both"/>
        <w:rPr>
          <w:lang w:val="en-US"/>
        </w:rPr>
      </w:pPr>
      <w:r w:rsidRPr="00972E11">
        <w:rPr>
          <w:lang w:val="en-US"/>
        </w:rPr>
        <w:t>It appears that</w:t>
      </w:r>
      <w:r w:rsidR="002B394A" w:rsidRPr="00972E11">
        <w:rPr>
          <w:lang w:val="en-US"/>
        </w:rPr>
        <w:t xml:space="preserve"> in </w:t>
      </w:r>
      <w:proofErr w:type="spellStart"/>
      <w:r w:rsidR="002B394A" w:rsidRPr="00972E11">
        <w:rPr>
          <w:i/>
          <w:lang w:val="en-US"/>
        </w:rPr>
        <w:t>Armacell</w:t>
      </w:r>
      <w:proofErr w:type="spellEnd"/>
      <w:r w:rsidR="002B394A" w:rsidRPr="00972E11">
        <w:rPr>
          <w:lang w:val="en-US"/>
        </w:rPr>
        <w:t xml:space="preserve">, </w:t>
      </w:r>
      <w:r w:rsidRPr="00972E11">
        <w:rPr>
          <w:lang w:val="en-US"/>
        </w:rPr>
        <w:t xml:space="preserve">the definition by section 27(2)(g) of “long service leave, except in relation to an employee who is entitled under Division 9 of Part 2-2 to long service leave” </w:t>
      </w:r>
      <w:r w:rsidR="002B394A" w:rsidRPr="00972E11">
        <w:rPr>
          <w:lang w:val="en-US"/>
        </w:rPr>
        <w:t xml:space="preserve">as a “non-excluded matter” </w:t>
      </w:r>
      <w:r w:rsidRPr="00972E11">
        <w:rPr>
          <w:lang w:val="en-US"/>
        </w:rPr>
        <w:t xml:space="preserve">was taken, in the absence of any indication that it was matter of argument, as being determinative </w:t>
      </w:r>
      <w:r w:rsidR="00F17878">
        <w:rPr>
          <w:lang w:val="en-US"/>
        </w:rPr>
        <w:t>of the issue of whether or not (</w:t>
      </w:r>
      <w:r w:rsidRPr="00972E11">
        <w:rPr>
          <w:lang w:val="en-US"/>
        </w:rPr>
        <w:t>and</w:t>
      </w:r>
      <w:r w:rsidR="00972E11">
        <w:rPr>
          <w:lang w:val="en-US"/>
        </w:rPr>
        <w:t xml:space="preserve"> the extent to which</w:t>
      </w:r>
      <w:r w:rsidR="00F17878">
        <w:rPr>
          <w:lang w:val="en-US"/>
        </w:rPr>
        <w:t xml:space="preserve">) </w:t>
      </w:r>
      <w:r w:rsidR="00972E11">
        <w:rPr>
          <w:lang w:val="en-US"/>
        </w:rPr>
        <w:t xml:space="preserve"> State l</w:t>
      </w:r>
      <w:r w:rsidRPr="00972E11">
        <w:rPr>
          <w:lang w:val="en-US"/>
        </w:rPr>
        <w:t xml:space="preserve">ong </w:t>
      </w:r>
      <w:r w:rsidR="00972E11">
        <w:rPr>
          <w:lang w:val="en-US"/>
        </w:rPr>
        <w:t>s</w:t>
      </w:r>
      <w:r w:rsidRPr="00972E11">
        <w:rPr>
          <w:lang w:val="en-US"/>
        </w:rPr>
        <w:t xml:space="preserve">ervice </w:t>
      </w:r>
      <w:r w:rsidR="00972E11">
        <w:rPr>
          <w:lang w:val="en-US"/>
        </w:rPr>
        <w:t>l</w:t>
      </w:r>
      <w:r w:rsidRPr="00972E11">
        <w:rPr>
          <w:lang w:val="en-US"/>
        </w:rPr>
        <w:t xml:space="preserve">eave laws were excluded by </w:t>
      </w:r>
      <w:r w:rsidR="00F17878">
        <w:rPr>
          <w:lang w:val="en-US"/>
        </w:rPr>
        <w:t xml:space="preserve">the </w:t>
      </w:r>
      <w:r w:rsidR="007A3E9D" w:rsidRPr="00972E11">
        <w:rPr>
          <w:lang w:val="en-US"/>
        </w:rPr>
        <w:t>field marked out by the Commonwealth</w:t>
      </w:r>
      <w:r w:rsidRPr="00972E11">
        <w:rPr>
          <w:lang w:val="en-US"/>
        </w:rPr>
        <w:t>.</w:t>
      </w:r>
      <w:r w:rsidR="007A3E9D" w:rsidRPr="00972E11">
        <w:rPr>
          <w:lang w:val="en-US"/>
        </w:rPr>
        <w:t xml:space="preserve">  With respect, such an analysis in our view may fail to appropriately construe the introductory words of section 27(1), which identifies the laws that “Section 26 does not apply to…</w:t>
      </w:r>
      <w:proofErr w:type="gramStart"/>
      <w:r w:rsidR="007A3E9D" w:rsidRPr="00972E11">
        <w:rPr>
          <w:lang w:val="en-US"/>
        </w:rPr>
        <w:t>”.</w:t>
      </w:r>
      <w:proofErr w:type="gramEnd"/>
      <w:r w:rsidR="007A3E9D" w:rsidRPr="00972E11">
        <w:rPr>
          <w:lang w:val="en-US"/>
        </w:rPr>
        <w:t xml:space="preserve">  In our view, it is arguable that section 27(1) </w:t>
      </w:r>
      <w:r w:rsidR="002B394A" w:rsidRPr="00972E11">
        <w:rPr>
          <w:lang w:val="en-US"/>
        </w:rPr>
        <w:t xml:space="preserve">only </w:t>
      </w:r>
      <w:r w:rsidR="007A3E9D" w:rsidRPr="00972E11">
        <w:rPr>
          <w:lang w:val="en-US"/>
        </w:rPr>
        <w:t xml:space="preserve">sets out exceptions to the rule established by section 26.  Accordingly, an identification of the relevant “field” ought to begin with an examination of whether State </w:t>
      </w:r>
      <w:r w:rsidR="00F17878">
        <w:rPr>
          <w:lang w:val="en-US"/>
        </w:rPr>
        <w:t>l</w:t>
      </w:r>
      <w:r w:rsidR="007A3E9D" w:rsidRPr="00972E11">
        <w:rPr>
          <w:lang w:val="en-US"/>
        </w:rPr>
        <w:t xml:space="preserve">ong </w:t>
      </w:r>
      <w:r w:rsidR="00F17878">
        <w:rPr>
          <w:lang w:val="en-US"/>
        </w:rPr>
        <w:t>s</w:t>
      </w:r>
      <w:r w:rsidR="007A3E9D" w:rsidRPr="00972E11">
        <w:rPr>
          <w:lang w:val="en-US"/>
        </w:rPr>
        <w:t xml:space="preserve">ervice </w:t>
      </w:r>
      <w:r w:rsidR="00F17878">
        <w:rPr>
          <w:lang w:val="en-US"/>
        </w:rPr>
        <w:t>l</w:t>
      </w:r>
      <w:r w:rsidR="007A3E9D" w:rsidRPr="00972E11">
        <w:rPr>
          <w:lang w:val="en-US"/>
        </w:rPr>
        <w:t>eave laws are</w:t>
      </w:r>
      <w:r w:rsidR="00076912">
        <w:rPr>
          <w:lang w:val="en-US"/>
        </w:rPr>
        <w:t xml:space="preserve"> </w:t>
      </w:r>
      <w:r w:rsidR="007A3E9D" w:rsidRPr="00972E11">
        <w:rPr>
          <w:lang w:val="en-US"/>
        </w:rPr>
        <w:t>captured by section 26 as laws that the Act “..</w:t>
      </w:r>
      <w:proofErr w:type="gramStart"/>
      <w:r w:rsidR="007A3E9D" w:rsidRPr="00972E11">
        <w:rPr>
          <w:lang w:val="en-US"/>
        </w:rPr>
        <w:t>is</w:t>
      </w:r>
      <w:proofErr w:type="gramEnd"/>
      <w:r w:rsidR="007A3E9D" w:rsidRPr="00972E11">
        <w:rPr>
          <w:lang w:val="en-US"/>
        </w:rPr>
        <w:t xml:space="preserve"> intended to apply to the exclusion of”. </w:t>
      </w:r>
      <w:r w:rsidRPr="00972E11">
        <w:rPr>
          <w:lang w:val="en-US"/>
        </w:rPr>
        <w:t xml:space="preserve">   </w:t>
      </w:r>
    </w:p>
    <w:p w:rsidR="00F17878" w:rsidRDefault="00F17878" w:rsidP="00F17878">
      <w:pPr>
        <w:pStyle w:val="ListParagraph"/>
        <w:spacing w:line="360" w:lineRule="auto"/>
        <w:jc w:val="both"/>
        <w:rPr>
          <w:lang w:val="en-US"/>
        </w:rPr>
      </w:pPr>
    </w:p>
    <w:p w:rsidR="00DB5130" w:rsidRPr="00972E11" w:rsidRDefault="002B394A" w:rsidP="00972E11">
      <w:pPr>
        <w:pStyle w:val="ListParagraph"/>
        <w:numPr>
          <w:ilvl w:val="0"/>
          <w:numId w:val="2"/>
        </w:numPr>
        <w:spacing w:line="360" w:lineRule="auto"/>
        <w:jc w:val="both"/>
        <w:rPr>
          <w:lang w:val="en-US"/>
        </w:rPr>
      </w:pPr>
      <w:r w:rsidRPr="00972E11">
        <w:rPr>
          <w:lang w:val="en-US"/>
        </w:rPr>
        <w:t xml:space="preserve">Section 26(2)(c) gives a rather strong indication that </w:t>
      </w:r>
      <w:r w:rsidR="00F17878">
        <w:rPr>
          <w:lang w:val="en-US"/>
        </w:rPr>
        <w:t>State long service leave</w:t>
      </w:r>
      <w:r w:rsidRPr="00972E11">
        <w:rPr>
          <w:lang w:val="en-US"/>
        </w:rPr>
        <w:t xml:space="preserve"> laws were not intended to fall within the description of laws that the Act “..is intended to apply to the exclusion of” in that it identifies “a law of a State or Territory that applies to employment generally and deals with leave (</w:t>
      </w:r>
      <w:r w:rsidRPr="00972E11">
        <w:rPr>
          <w:u w:val="single"/>
          <w:lang w:val="en-US"/>
        </w:rPr>
        <w:t>other than long service leave</w:t>
      </w:r>
      <w:r w:rsidRPr="00972E11">
        <w:rPr>
          <w:lang w:val="en-US"/>
        </w:rPr>
        <w:t xml:space="preserve"> or leave for victims of crime)” </w:t>
      </w:r>
      <w:r w:rsidR="00B57994" w:rsidRPr="00972E11">
        <w:rPr>
          <w:lang w:val="en-US"/>
        </w:rPr>
        <w:t>as one of the many categories of excluded laws.  None of the other types of laws described in paragraphs 26(2</w:t>
      </w:r>
      <w:proofErr w:type="gramStart"/>
      <w:r w:rsidR="00B57994" w:rsidRPr="00972E11">
        <w:rPr>
          <w:lang w:val="en-US"/>
        </w:rPr>
        <w:t>)(</w:t>
      </w:r>
      <w:proofErr w:type="gramEnd"/>
      <w:r w:rsidR="00B57994" w:rsidRPr="00972E11">
        <w:rPr>
          <w:lang w:val="en-US"/>
        </w:rPr>
        <w:t>d)-(</w:t>
      </w:r>
      <w:r w:rsidR="00321A5D" w:rsidRPr="00972E11">
        <w:rPr>
          <w:lang w:val="en-US"/>
        </w:rPr>
        <w:t>h</w:t>
      </w:r>
      <w:r w:rsidR="00B57994" w:rsidRPr="00972E11">
        <w:rPr>
          <w:lang w:val="en-US"/>
        </w:rPr>
        <w:t xml:space="preserve">) </w:t>
      </w:r>
      <w:r w:rsidR="00321A5D" w:rsidRPr="00972E11">
        <w:rPr>
          <w:lang w:val="en-US"/>
        </w:rPr>
        <w:t>capture State or Territory Long Service Leave Laws.  Nor could such laws be said to be have as a “main purpose” any of the matters listed in sub-paragraphs 26(2</w:t>
      </w:r>
      <w:proofErr w:type="gramStart"/>
      <w:r w:rsidR="00321A5D" w:rsidRPr="00972E11">
        <w:rPr>
          <w:lang w:val="en-US"/>
        </w:rPr>
        <w:t>)(</w:t>
      </w:r>
      <w:proofErr w:type="gramEnd"/>
      <w:r w:rsidR="00321A5D" w:rsidRPr="00972E11">
        <w:rPr>
          <w:lang w:val="en-US"/>
        </w:rPr>
        <w:t>b)(</w:t>
      </w:r>
      <w:proofErr w:type="spellStart"/>
      <w:r w:rsidR="00321A5D" w:rsidRPr="00972E11">
        <w:rPr>
          <w:lang w:val="en-US"/>
        </w:rPr>
        <w:t>i</w:t>
      </w:r>
      <w:proofErr w:type="spellEnd"/>
      <w:r w:rsidR="00321A5D" w:rsidRPr="00972E11">
        <w:rPr>
          <w:lang w:val="en-US"/>
        </w:rPr>
        <w:t xml:space="preserve">)-(vi).  The closest those </w:t>
      </w:r>
      <w:r w:rsidR="002D0442" w:rsidRPr="00972E11">
        <w:rPr>
          <w:lang w:val="en-US"/>
        </w:rPr>
        <w:t>sub-</w:t>
      </w:r>
      <w:r w:rsidR="00321A5D" w:rsidRPr="00972E11">
        <w:rPr>
          <w:lang w:val="en-US"/>
        </w:rPr>
        <w:t xml:space="preserve">paragraphs come to capturing such laws is sub-paragraph (iii), however whilst such laws provide a term or condition of employment (long </w:t>
      </w:r>
      <w:r w:rsidR="00321A5D" w:rsidRPr="00972E11">
        <w:rPr>
          <w:lang w:val="en-US"/>
        </w:rPr>
        <w:lastRenderedPageBreak/>
        <w:t xml:space="preserve">service leave) and </w:t>
      </w:r>
      <w:r w:rsidR="00F17878">
        <w:rPr>
          <w:lang w:val="en-US"/>
        </w:rPr>
        <w:t xml:space="preserve">for </w:t>
      </w:r>
      <w:r w:rsidR="00321A5D" w:rsidRPr="00972E11">
        <w:rPr>
          <w:lang w:val="en-US"/>
        </w:rPr>
        <w:t xml:space="preserve">its enforcement, they do not provide “for the establishment” of that term or condition.  Other language, used in other </w:t>
      </w:r>
      <w:r w:rsidR="002D0442" w:rsidRPr="00972E11">
        <w:rPr>
          <w:lang w:val="en-US"/>
        </w:rPr>
        <w:t>sub-</w:t>
      </w:r>
      <w:r w:rsidR="00321A5D" w:rsidRPr="00972E11">
        <w:rPr>
          <w:lang w:val="en-US"/>
        </w:rPr>
        <w:t>para</w:t>
      </w:r>
      <w:r w:rsidR="002D0442" w:rsidRPr="00972E11">
        <w:rPr>
          <w:lang w:val="en-US"/>
        </w:rPr>
        <w:t>graphs and not used  in sub-paragraph(iii), is more apt to describe a law that directly prescribes a term or condition or right such as “regulating” (in (</w:t>
      </w:r>
      <w:proofErr w:type="spellStart"/>
      <w:r w:rsidR="002D0442" w:rsidRPr="00972E11">
        <w:rPr>
          <w:lang w:val="en-US"/>
        </w:rPr>
        <w:t>i</w:t>
      </w:r>
      <w:proofErr w:type="spellEnd"/>
      <w:r w:rsidR="002D0442" w:rsidRPr="00972E11">
        <w:rPr>
          <w:lang w:val="en-US"/>
        </w:rPr>
        <w:t>)), “prohibiting conduct” (in (iv)) and “providing for rights” (in (v) and (vii)).</w:t>
      </w:r>
      <w:r w:rsidR="002D0442" w:rsidRPr="00972E11">
        <w:rPr>
          <w:rStyle w:val="FootnoteReference"/>
          <w:lang w:val="en-US"/>
        </w:rPr>
        <w:t xml:space="preserve"> </w:t>
      </w:r>
      <w:r w:rsidR="002D0442">
        <w:rPr>
          <w:rStyle w:val="FootnoteReference"/>
          <w:lang w:val="en-US"/>
        </w:rPr>
        <w:footnoteReference w:id="6"/>
      </w:r>
    </w:p>
    <w:p w:rsidR="00F17878" w:rsidRDefault="00F17878" w:rsidP="00F17878">
      <w:pPr>
        <w:pStyle w:val="ListParagraph"/>
        <w:spacing w:line="360" w:lineRule="auto"/>
        <w:jc w:val="both"/>
        <w:rPr>
          <w:lang w:val="en-US"/>
        </w:rPr>
      </w:pPr>
    </w:p>
    <w:p w:rsidR="002D0442" w:rsidRPr="00972E11" w:rsidRDefault="002D0442" w:rsidP="00972E11">
      <w:pPr>
        <w:pStyle w:val="ListParagraph"/>
        <w:numPr>
          <w:ilvl w:val="0"/>
          <w:numId w:val="2"/>
        </w:numPr>
        <w:spacing w:line="360" w:lineRule="auto"/>
        <w:jc w:val="both"/>
        <w:rPr>
          <w:lang w:val="en-US"/>
        </w:rPr>
      </w:pPr>
      <w:r w:rsidRPr="00972E11">
        <w:rPr>
          <w:lang w:val="en-US"/>
        </w:rPr>
        <w:t xml:space="preserve">We recognise that the above analysis leaves section 27(2)(g) with no obvious work to do, except perhaps in conjunction with section 29(2)(b).  We nonetheless believe </w:t>
      </w:r>
      <w:r w:rsidR="00806AFE" w:rsidRPr="00972E11">
        <w:rPr>
          <w:lang w:val="en-US"/>
        </w:rPr>
        <w:t>our analysis</w:t>
      </w:r>
      <w:r w:rsidRPr="00972E11">
        <w:rPr>
          <w:lang w:val="en-US"/>
        </w:rPr>
        <w:t xml:space="preserve"> to be correct.  In the result, sections 26 and 27 are ineffective at marking out a field that either includes o</w:t>
      </w:r>
      <w:r w:rsidR="00F17878">
        <w:rPr>
          <w:lang w:val="en-US"/>
        </w:rPr>
        <w:t>r excludes State and Territory l</w:t>
      </w:r>
      <w:r w:rsidRPr="00972E11">
        <w:rPr>
          <w:lang w:val="en-US"/>
        </w:rPr>
        <w:t xml:space="preserve">ong </w:t>
      </w:r>
      <w:r w:rsidR="00F17878">
        <w:rPr>
          <w:lang w:val="en-US"/>
        </w:rPr>
        <w:t>s</w:t>
      </w:r>
      <w:r w:rsidRPr="00972E11">
        <w:rPr>
          <w:lang w:val="en-US"/>
        </w:rPr>
        <w:t xml:space="preserve">ervice </w:t>
      </w:r>
      <w:r w:rsidR="00F17878">
        <w:rPr>
          <w:lang w:val="en-US"/>
        </w:rPr>
        <w:t>l</w:t>
      </w:r>
      <w:r w:rsidRPr="00972E11">
        <w:rPr>
          <w:lang w:val="en-US"/>
        </w:rPr>
        <w:t>eave laws.</w:t>
      </w:r>
      <w:r w:rsidR="00806AFE" w:rsidRPr="00972E11">
        <w:rPr>
          <w:lang w:val="en-US"/>
        </w:rPr>
        <w:t xml:space="preserve">   </w:t>
      </w:r>
    </w:p>
    <w:p w:rsidR="00F17878" w:rsidRDefault="00F17878" w:rsidP="00F17878">
      <w:pPr>
        <w:pStyle w:val="ListParagraph"/>
        <w:spacing w:line="360" w:lineRule="auto"/>
        <w:jc w:val="both"/>
        <w:rPr>
          <w:u w:val="single"/>
          <w:lang w:val="en-US"/>
        </w:rPr>
      </w:pPr>
    </w:p>
    <w:p w:rsidR="00DB5130" w:rsidRPr="00972E11" w:rsidRDefault="002D0442" w:rsidP="00F17878">
      <w:pPr>
        <w:pStyle w:val="ListParagraph"/>
        <w:spacing w:line="360" w:lineRule="auto"/>
        <w:jc w:val="both"/>
        <w:rPr>
          <w:u w:val="single"/>
          <w:lang w:val="en-US"/>
        </w:rPr>
      </w:pPr>
      <w:r w:rsidRPr="00972E11">
        <w:rPr>
          <w:u w:val="single"/>
          <w:lang w:val="en-US"/>
        </w:rPr>
        <w:t xml:space="preserve">Section 113 </w:t>
      </w:r>
    </w:p>
    <w:p w:rsidR="002D0442" w:rsidRPr="00972E11" w:rsidRDefault="00806AFE" w:rsidP="00972E11">
      <w:pPr>
        <w:pStyle w:val="ListParagraph"/>
        <w:numPr>
          <w:ilvl w:val="0"/>
          <w:numId w:val="2"/>
        </w:numPr>
        <w:spacing w:line="360" w:lineRule="auto"/>
        <w:jc w:val="both"/>
        <w:rPr>
          <w:lang w:val="en-US"/>
        </w:rPr>
      </w:pPr>
      <w:r w:rsidRPr="00972E11">
        <w:rPr>
          <w:lang w:val="en-US"/>
        </w:rPr>
        <w:t xml:space="preserve">Section 113 was set out in the background paper and we do not set it out in full here.   For present purposes we highlight that it provides that where there are “applicable award derived long service leave terms”, an employee “is entitled to long service leave in accordance with those terms”.  </w:t>
      </w:r>
      <w:r w:rsidR="006242C4" w:rsidRPr="00972E11">
        <w:rPr>
          <w:lang w:val="en-US"/>
        </w:rPr>
        <w:t xml:space="preserve"> Taken on its own, such a statement might be considered sufficient to mark out a field of Commonwealth </w:t>
      </w:r>
      <w:r w:rsidR="00C1611E" w:rsidRPr="00972E11">
        <w:rPr>
          <w:lang w:val="en-US"/>
        </w:rPr>
        <w:t>regulation, if not create the conditions for a direct inconsistency wherein a State long service law would invariably “alter, impair or distract from the operation”</w:t>
      </w:r>
      <w:r w:rsidR="00C1611E">
        <w:rPr>
          <w:rStyle w:val="FootnoteReference"/>
          <w:lang w:val="en-US"/>
        </w:rPr>
        <w:footnoteReference w:id="7"/>
      </w:r>
      <w:r w:rsidR="00C1611E" w:rsidRPr="00972E11">
        <w:rPr>
          <w:lang w:val="en-US"/>
        </w:rPr>
        <w:t xml:space="preserve"> of section 113.  Indeed, in the matter of </w:t>
      </w:r>
      <w:proofErr w:type="spellStart"/>
      <w:r w:rsidR="00C1611E" w:rsidRPr="00972E11">
        <w:rPr>
          <w:i/>
          <w:lang w:val="en-US"/>
        </w:rPr>
        <w:t>Maughan</w:t>
      </w:r>
      <w:proofErr w:type="spellEnd"/>
      <w:r w:rsidR="00C1611E" w:rsidRPr="00972E11">
        <w:rPr>
          <w:i/>
          <w:lang w:val="en-US"/>
        </w:rPr>
        <w:t xml:space="preserve"> </w:t>
      </w:r>
      <w:proofErr w:type="spellStart"/>
      <w:r w:rsidR="00C1611E" w:rsidRPr="00972E11">
        <w:rPr>
          <w:i/>
          <w:lang w:val="en-US"/>
        </w:rPr>
        <w:t>Theim</w:t>
      </w:r>
      <w:proofErr w:type="spellEnd"/>
      <w:r w:rsidR="00C1611E" w:rsidRPr="00972E11">
        <w:rPr>
          <w:i/>
          <w:lang w:val="en-US"/>
        </w:rPr>
        <w:t xml:space="preserve"> Auto Sales v. Cooper</w:t>
      </w:r>
      <w:r w:rsidR="00C1611E">
        <w:rPr>
          <w:rStyle w:val="FootnoteReference"/>
          <w:i/>
          <w:lang w:val="en-US"/>
        </w:rPr>
        <w:footnoteReference w:id="8"/>
      </w:r>
      <w:r w:rsidR="00C1611E" w:rsidRPr="00972E11">
        <w:rPr>
          <w:i/>
          <w:lang w:val="en-US"/>
        </w:rPr>
        <w:t xml:space="preserve">, </w:t>
      </w:r>
      <w:r w:rsidR="00C1611E" w:rsidRPr="00972E11">
        <w:rPr>
          <w:lang w:val="en-US"/>
        </w:rPr>
        <w:t xml:space="preserve">referred to in the MTA </w:t>
      </w:r>
      <w:proofErr w:type="spellStart"/>
      <w:r w:rsidR="00C1611E" w:rsidRPr="00972E11">
        <w:rPr>
          <w:lang w:val="en-US"/>
        </w:rPr>
        <w:t>organisations</w:t>
      </w:r>
      <w:r w:rsidR="00F17878">
        <w:rPr>
          <w:lang w:val="en-US"/>
        </w:rPr>
        <w:t>’</w:t>
      </w:r>
      <w:proofErr w:type="spellEnd"/>
      <w:r w:rsidR="00C1611E" w:rsidRPr="00972E11">
        <w:rPr>
          <w:lang w:val="en-US"/>
        </w:rPr>
        <w:t xml:space="preserve"> submissions, the Court approached the issue on the assumption that either section 113 would apply, or State law would apply, but not both:</w:t>
      </w:r>
    </w:p>
    <w:p w:rsidR="00C1611E" w:rsidRPr="00F17878" w:rsidRDefault="00C1611E" w:rsidP="00F17878">
      <w:pPr>
        <w:pStyle w:val="ListParagraph"/>
        <w:spacing w:line="240" w:lineRule="auto"/>
        <w:ind w:left="1134" w:right="567"/>
        <w:jc w:val="both"/>
        <w:rPr>
          <w:sz w:val="20"/>
          <w:szCs w:val="20"/>
          <w:lang w:val="en-US"/>
        </w:rPr>
      </w:pPr>
      <w:r w:rsidRPr="00F17878">
        <w:rPr>
          <w:sz w:val="20"/>
          <w:szCs w:val="20"/>
        </w:rPr>
        <w:t>“It was common ground that, if s 113(3</w:t>
      </w:r>
      <w:proofErr w:type="gramStart"/>
      <w:r w:rsidRPr="00F17878">
        <w:rPr>
          <w:sz w:val="20"/>
          <w:szCs w:val="20"/>
        </w:rPr>
        <w:t>)(</w:t>
      </w:r>
      <w:proofErr w:type="gramEnd"/>
      <w:r w:rsidRPr="00F17878">
        <w:rPr>
          <w:sz w:val="20"/>
          <w:szCs w:val="20"/>
        </w:rPr>
        <w:t>a) applied, then the State Act did not govern Mr Cooper’s long service leave claim. In other words, Mr Cooper was entitled to long service leave under the State Act only if there were no “applicable award-derived long service leave terms” (as defined in subsection (3)) that related to him. Consequently, the question below was whether s 113(3</w:t>
      </w:r>
      <w:proofErr w:type="gramStart"/>
      <w:r w:rsidRPr="00F17878">
        <w:rPr>
          <w:sz w:val="20"/>
          <w:szCs w:val="20"/>
        </w:rPr>
        <w:t>)(</w:t>
      </w:r>
      <w:proofErr w:type="gramEnd"/>
      <w:r w:rsidRPr="00F17878">
        <w:rPr>
          <w:sz w:val="20"/>
          <w:szCs w:val="20"/>
        </w:rPr>
        <w:t xml:space="preserve">a) applied to him. To answer that question it was necessary to decide first, whether there was an award containing terms which would have applied to Mr Cooper immediately before Part 2-2 of the Act commenced and secondly, whether the terms of that award would have entitled him to long service leave. </w:t>
      </w:r>
      <w:proofErr w:type="spellStart"/>
      <w:r w:rsidRPr="00F17878">
        <w:rPr>
          <w:sz w:val="20"/>
          <w:szCs w:val="20"/>
        </w:rPr>
        <w:t>Maughan’s</w:t>
      </w:r>
      <w:proofErr w:type="spellEnd"/>
      <w:r w:rsidRPr="00F17878">
        <w:rPr>
          <w:sz w:val="20"/>
          <w:szCs w:val="20"/>
        </w:rPr>
        <w:t xml:space="preserve"> case was that there are terms in the LSL award that would have applied to Mr Cooper at the test time and that would have entitled him to long service leave. Consequently, </w:t>
      </w:r>
      <w:proofErr w:type="spellStart"/>
      <w:r w:rsidRPr="00F17878">
        <w:rPr>
          <w:sz w:val="20"/>
          <w:szCs w:val="20"/>
        </w:rPr>
        <w:t>Maughan</w:t>
      </w:r>
      <w:proofErr w:type="spellEnd"/>
      <w:r w:rsidRPr="00F17878">
        <w:rPr>
          <w:sz w:val="20"/>
          <w:szCs w:val="20"/>
        </w:rPr>
        <w:t xml:space="preserve"> contended that the State Act did not govern Mr Cooper’s long service leave claim.”</w:t>
      </w:r>
      <w:r w:rsidR="00AE7996" w:rsidRPr="00F17878">
        <w:rPr>
          <w:rStyle w:val="FootnoteReference"/>
          <w:sz w:val="20"/>
          <w:szCs w:val="20"/>
        </w:rPr>
        <w:footnoteReference w:id="9"/>
      </w:r>
    </w:p>
    <w:p w:rsidR="00F17878" w:rsidRDefault="00F17878" w:rsidP="00F17878">
      <w:pPr>
        <w:pStyle w:val="ListParagraph"/>
        <w:spacing w:line="360" w:lineRule="auto"/>
        <w:jc w:val="both"/>
        <w:rPr>
          <w:lang w:val="en-US"/>
        </w:rPr>
      </w:pPr>
    </w:p>
    <w:p w:rsidR="00751949" w:rsidRPr="00751949" w:rsidRDefault="00751949" w:rsidP="00751949">
      <w:pPr>
        <w:pStyle w:val="ListParagraph"/>
        <w:spacing w:line="360" w:lineRule="auto"/>
        <w:jc w:val="both"/>
        <w:rPr>
          <w:lang w:val="en-US"/>
        </w:rPr>
      </w:pPr>
      <w:r>
        <w:rPr>
          <w:lang w:val="en-US"/>
        </w:rPr>
        <w:t xml:space="preserve">The same approach is evident from the final paragraph in the extract from </w:t>
      </w:r>
      <w:proofErr w:type="spellStart"/>
      <w:r>
        <w:rPr>
          <w:i/>
          <w:lang w:val="en-US"/>
        </w:rPr>
        <w:t>Armacell</w:t>
      </w:r>
      <w:proofErr w:type="spellEnd"/>
      <w:r>
        <w:rPr>
          <w:lang w:val="en-US"/>
        </w:rPr>
        <w:t xml:space="preserve"> above.</w:t>
      </w:r>
    </w:p>
    <w:p w:rsidR="00751949" w:rsidRDefault="00751949" w:rsidP="00751949">
      <w:pPr>
        <w:pStyle w:val="ListParagraph"/>
        <w:spacing w:line="360" w:lineRule="auto"/>
        <w:jc w:val="both"/>
        <w:rPr>
          <w:lang w:val="en-US"/>
        </w:rPr>
      </w:pPr>
    </w:p>
    <w:p w:rsidR="00AE7996" w:rsidRPr="00972E11" w:rsidRDefault="00AE7996" w:rsidP="00972E11">
      <w:pPr>
        <w:pStyle w:val="ListParagraph"/>
        <w:numPr>
          <w:ilvl w:val="0"/>
          <w:numId w:val="2"/>
        </w:numPr>
        <w:spacing w:line="360" w:lineRule="auto"/>
        <w:jc w:val="both"/>
        <w:rPr>
          <w:lang w:val="en-US"/>
        </w:rPr>
      </w:pPr>
      <w:r w:rsidRPr="00972E11">
        <w:rPr>
          <w:lang w:val="en-US"/>
        </w:rPr>
        <w:lastRenderedPageBreak/>
        <w:t xml:space="preserve">However, section 113 ought </w:t>
      </w:r>
      <w:proofErr w:type="gramStart"/>
      <w:r w:rsidRPr="00972E11">
        <w:rPr>
          <w:lang w:val="en-US"/>
        </w:rPr>
        <w:t>not</w:t>
      </w:r>
      <w:proofErr w:type="gramEnd"/>
      <w:r w:rsidRPr="00972E11">
        <w:rPr>
          <w:lang w:val="en-US"/>
        </w:rPr>
        <w:t xml:space="preserve"> be considered in isolation.   It forms part Division 9 of Part 2-2 of the Act and therefore forms part of the National Employment Standards</w:t>
      </w:r>
      <w:r>
        <w:rPr>
          <w:rStyle w:val="FootnoteReference"/>
          <w:lang w:val="en-US"/>
        </w:rPr>
        <w:footnoteReference w:id="10"/>
      </w:r>
      <w:r w:rsidRPr="00972E11">
        <w:rPr>
          <w:lang w:val="en-US"/>
        </w:rPr>
        <w:t xml:space="preserve">.  Of the National Employment Standards, section 61 </w:t>
      </w:r>
      <w:r w:rsidR="00546FAE" w:rsidRPr="00972E11">
        <w:rPr>
          <w:lang w:val="en-US"/>
        </w:rPr>
        <w:t xml:space="preserve">relevantly </w:t>
      </w:r>
      <w:r w:rsidRPr="00972E11">
        <w:rPr>
          <w:lang w:val="en-US"/>
        </w:rPr>
        <w:t>says:</w:t>
      </w:r>
    </w:p>
    <w:p w:rsidR="00AE7996" w:rsidRPr="00F17878" w:rsidRDefault="00546FAE" w:rsidP="00F17878">
      <w:pPr>
        <w:pStyle w:val="ListParagraph"/>
        <w:spacing w:line="240" w:lineRule="auto"/>
        <w:ind w:leftChars="515" w:left="1985" w:rightChars="258" w:right="568" w:hanging="852"/>
        <w:jc w:val="both"/>
        <w:rPr>
          <w:sz w:val="20"/>
          <w:szCs w:val="20"/>
          <w:lang w:val="en-US"/>
        </w:rPr>
      </w:pPr>
      <w:r w:rsidRPr="00F17878">
        <w:rPr>
          <w:sz w:val="20"/>
          <w:szCs w:val="20"/>
          <w:lang w:val="en-US"/>
        </w:rPr>
        <w:t>“</w:t>
      </w:r>
      <w:r w:rsidR="00AE7996" w:rsidRPr="00F17878">
        <w:rPr>
          <w:sz w:val="20"/>
          <w:szCs w:val="20"/>
          <w:lang w:val="en-US"/>
        </w:rPr>
        <w:t>61(1)</w:t>
      </w:r>
      <w:r w:rsidR="00AE7996" w:rsidRPr="00F17878">
        <w:rPr>
          <w:sz w:val="20"/>
          <w:szCs w:val="20"/>
          <w:lang w:val="en-US"/>
        </w:rPr>
        <w:tab/>
        <w:t xml:space="preserve">This Part </w:t>
      </w:r>
      <w:r w:rsidR="00AE7996" w:rsidRPr="00F17878">
        <w:rPr>
          <w:sz w:val="20"/>
          <w:szCs w:val="20"/>
          <w:u w:val="single"/>
          <w:lang w:val="en-US"/>
        </w:rPr>
        <w:t>sets minimum standards</w:t>
      </w:r>
      <w:r w:rsidR="00AE7996" w:rsidRPr="00F17878">
        <w:rPr>
          <w:sz w:val="20"/>
          <w:szCs w:val="20"/>
          <w:lang w:val="en-US"/>
        </w:rPr>
        <w:t xml:space="preserve"> that apply to the employment of employees which cannot be displaced, even if an enterprise agreement includes terms of the kind referred to in subsection 55(5)</w:t>
      </w:r>
    </w:p>
    <w:p w:rsidR="00AE7996" w:rsidRPr="00F17878" w:rsidRDefault="00AE7996" w:rsidP="00F17878">
      <w:pPr>
        <w:pStyle w:val="ListParagraph"/>
        <w:spacing w:line="240" w:lineRule="auto"/>
        <w:ind w:left="1475" w:right="567"/>
        <w:jc w:val="both"/>
        <w:rPr>
          <w:sz w:val="20"/>
          <w:szCs w:val="20"/>
          <w:lang w:val="en-US"/>
        </w:rPr>
      </w:pPr>
      <w:r w:rsidRPr="00F17878">
        <w:rPr>
          <w:sz w:val="20"/>
          <w:szCs w:val="20"/>
          <w:lang w:val="en-US"/>
        </w:rPr>
        <w:t xml:space="preserve">(2) The </w:t>
      </w:r>
      <w:r w:rsidRPr="00F17878">
        <w:rPr>
          <w:sz w:val="20"/>
          <w:szCs w:val="20"/>
          <w:u w:val="single"/>
          <w:lang w:val="en-US"/>
        </w:rPr>
        <w:t>minimum standards</w:t>
      </w:r>
      <w:r w:rsidRPr="00F17878">
        <w:rPr>
          <w:sz w:val="20"/>
          <w:szCs w:val="20"/>
          <w:lang w:val="en-US"/>
        </w:rPr>
        <w:t xml:space="preserve"> relate to the following matters</w:t>
      </w:r>
      <w:r w:rsidR="00546FAE" w:rsidRPr="00F17878">
        <w:rPr>
          <w:sz w:val="20"/>
          <w:szCs w:val="20"/>
          <w:lang w:val="en-US"/>
        </w:rPr>
        <w:t>:</w:t>
      </w:r>
    </w:p>
    <w:p w:rsidR="00546FAE" w:rsidRPr="00F17878" w:rsidRDefault="00546FAE" w:rsidP="00F17878">
      <w:pPr>
        <w:pStyle w:val="ListParagraph"/>
        <w:spacing w:line="240" w:lineRule="auto"/>
        <w:ind w:left="1475" w:right="567"/>
        <w:jc w:val="both"/>
        <w:rPr>
          <w:sz w:val="20"/>
          <w:szCs w:val="20"/>
          <w:lang w:val="en-US"/>
        </w:rPr>
      </w:pPr>
      <w:r w:rsidRPr="00F17878">
        <w:rPr>
          <w:sz w:val="20"/>
          <w:szCs w:val="20"/>
          <w:lang w:val="en-US"/>
        </w:rPr>
        <w:t>…..</w:t>
      </w:r>
    </w:p>
    <w:p w:rsidR="00546FAE" w:rsidRPr="00F17878" w:rsidRDefault="00546FAE" w:rsidP="00F17878">
      <w:pPr>
        <w:pStyle w:val="ListParagraph"/>
        <w:spacing w:line="240" w:lineRule="auto"/>
        <w:ind w:left="1475" w:right="567" w:firstLine="685"/>
        <w:jc w:val="both"/>
        <w:rPr>
          <w:sz w:val="20"/>
          <w:szCs w:val="20"/>
          <w:lang w:val="en-US"/>
        </w:rPr>
      </w:pPr>
      <w:r w:rsidRPr="00F17878">
        <w:rPr>
          <w:sz w:val="20"/>
          <w:szCs w:val="20"/>
          <w:lang w:val="en-US"/>
        </w:rPr>
        <w:t xml:space="preserve">(g) </w:t>
      </w:r>
      <w:proofErr w:type="gramStart"/>
      <w:r w:rsidRPr="00F17878">
        <w:rPr>
          <w:sz w:val="20"/>
          <w:szCs w:val="20"/>
          <w:lang w:val="en-US"/>
        </w:rPr>
        <w:t>long</w:t>
      </w:r>
      <w:proofErr w:type="gramEnd"/>
      <w:r w:rsidRPr="00F17878">
        <w:rPr>
          <w:sz w:val="20"/>
          <w:szCs w:val="20"/>
          <w:lang w:val="en-US"/>
        </w:rPr>
        <w:t xml:space="preserve"> service leave (Division 9)” (emphasis added)</w:t>
      </w:r>
    </w:p>
    <w:p w:rsidR="00F17878" w:rsidRDefault="00F17878" w:rsidP="00F17878">
      <w:pPr>
        <w:pStyle w:val="ListParagraph"/>
        <w:spacing w:line="360" w:lineRule="auto"/>
        <w:jc w:val="both"/>
        <w:rPr>
          <w:lang w:val="en-US"/>
        </w:rPr>
      </w:pPr>
    </w:p>
    <w:p w:rsidR="00A47460" w:rsidRDefault="00546FAE" w:rsidP="00972E11">
      <w:pPr>
        <w:pStyle w:val="ListParagraph"/>
        <w:numPr>
          <w:ilvl w:val="0"/>
          <w:numId w:val="2"/>
        </w:numPr>
        <w:spacing w:line="360" w:lineRule="auto"/>
        <w:jc w:val="both"/>
        <w:rPr>
          <w:lang w:val="en-US"/>
        </w:rPr>
      </w:pPr>
      <w:r w:rsidRPr="00972E11">
        <w:rPr>
          <w:lang w:val="en-US"/>
        </w:rPr>
        <w:t>Once section 113 is correctly understood as prescribing a minimum standard, it cannot be contended that it is intended to operate entirely to the exclusion of State laws where they provide a gr</w:t>
      </w:r>
      <w:r w:rsidR="00A47460">
        <w:rPr>
          <w:lang w:val="en-US"/>
        </w:rPr>
        <w:t xml:space="preserve">eater benefit.   Nor could the impossibility </w:t>
      </w:r>
      <w:r w:rsidR="00751949">
        <w:rPr>
          <w:lang w:val="en-US"/>
        </w:rPr>
        <w:t>of simultaneous obedience conceivably arise where the Commonwealth law clearly and unambiguously states that it is concerned only with prescribing a minimum standard rather than a mandatory prescription or prohibition of particular conduct.</w:t>
      </w:r>
    </w:p>
    <w:p w:rsidR="00A47460" w:rsidRDefault="00A47460" w:rsidP="00A47460">
      <w:pPr>
        <w:pStyle w:val="ListParagraph"/>
        <w:spacing w:line="360" w:lineRule="auto"/>
        <w:jc w:val="both"/>
        <w:rPr>
          <w:lang w:val="en-US"/>
        </w:rPr>
      </w:pPr>
    </w:p>
    <w:p w:rsidR="00F17878" w:rsidRDefault="00334CED" w:rsidP="00972E11">
      <w:pPr>
        <w:pStyle w:val="ListParagraph"/>
        <w:numPr>
          <w:ilvl w:val="0"/>
          <w:numId w:val="2"/>
        </w:numPr>
        <w:spacing w:line="360" w:lineRule="auto"/>
        <w:jc w:val="both"/>
        <w:rPr>
          <w:lang w:val="en-US"/>
        </w:rPr>
      </w:pPr>
      <w:r w:rsidRPr="00972E11">
        <w:rPr>
          <w:lang w:val="en-US"/>
        </w:rPr>
        <w:t xml:space="preserve"> A conclusion that section 113 does operate</w:t>
      </w:r>
      <w:r w:rsidR="00751949">
        <w:rPr>
          <w:lang w:val="en-US"/>
        </w:rPr>
        <w:t xml:space="preserve"> mandatorily</w:t>
      </w:r>
      <w:r w:rsidRPr="00972E11">
        <w:rPr>
          <w:lang w:val="en-US"/>
        </w:rPr>
        <w:t xml:space="preserve"> to the exclusion of State long service </w:t>
      </w:r>
      <w:r w:rsidR="00482213" w:rsidRPr="00972E11">
        <w:rPr>
          <w:lang w:val="en-US"/>
        </w:rPr>
        <w:t xml:space="preserve">leave </w:t>
      </w:r>
      <w:r w:rsidRPr="00972E11">
        <w:rPr>
          <w:lang w:val="en-US"/>
        </w:rPr>
        <w:t xml:space="preserve">laws </w:t>
      </w:r>
      <w:r w:rsidR="00A47460">
        <w:rPr>
          <w:lang w:val="en-US"/>
        </w:rPr>
        <w:t>would require, as a pre-condition,</w:t>
      </w:r>
      <w:r w:rsidRPr="00972E11">
        <w:rPr>
          <w:lang w:val="en-US"/>
        </w:rPr>
        <w:t xml:space="preserve"> </w:t>
      </w:r>
      <w:r w:rsidR="00482213" w:rsidRPr="00972E11">
        <w:rPr>
          <w:lang w:val="en-US"/>
        </w:rPr>
        <w:t>discerning</w:t>
      </w:r>
      <w:r w:rsidR="00751949">
        <w:rPr>
          <w:lang w:val="en-US"/>
        </w:rPr>
        <w:t xml:space="preserve"> an intention that section 113 </w:t>
      </w:r>
      <w:r w:rsidR="00482213" w:rsidRPr="00972E11">
        <w:rPr>
          <w:lang w:val="en-US"/>
        </w:rPr>
        <w:t>is a</w:t>
      </w:r>
      <w:r w:rsidRPr="00972E11">
        <w:rPr>
          <w:lang w:val="en-US"/>
        </w:rPr>
        <w:t xml:space="preserve"> statement of “minimum long service leave standards” intended to apply to the exclusion of </w:t>
      </w:r>
      <w:r w:rsidR="00A32FAC">
        <w:rPr>
          <w:lang w:val="en-US"/>
        </w:rPr>
        <w:t xml:space="preserve">the entirety of any State law that also contained </w:t>
      </w:r>
      <w:r w:rsidRPr="00972E11">
        <w:rPr>
          <w:lang w:val="en-US"/>
        </w:rPr>
        <w:t xml:space="preserve">“minimum long service </w:t>
      </w:r>
      <w:r w:rsidR="00482213" w:rsidRPr="00972E11">
        <w:rPr>
          <w:lang w:val="en-US"/>
        </w:rPr>
        <w:t xml:space="preserve">leave </w:t>
      </w:r>
      <w:r w:rsidRPr="00972E11">
        <w:rPr>
          <w:lang w:val="en-US"/>
        </w:rPr>
        <w:t xml:space="preserve">standards”.  If that were the </w:t>
      </w:r>
      <w:r w:rsidR="00482213" w:rsidRPr="00972E11">
        <w:rPr>
          <w:lang w:val="en-US"/>
        </w:rPr>
        <w:t>intention</w:t>
      </w:r>
      <w:r w:rsidRPr="00972E11">
        <w:rPr>
          <w:lang w:val="en-US"/>
        </w:rPr>
        <w:t>, one wou</w:t>
      </w:r>
      <w:r w:rsidR="00F17878">
        <w:rPr>
          <w:lang w:val="en-US"/>
        </w:rPr>
        <w:t>ld have expected:</w:t>
      </w:r>
    </w:p>
    <w:p w:rsidR="00F17878" w:rsidRDefault="00334CED" w:rsidP="00F17878">
      <w:pPr>
        <w:pStyle w:val="ListParagraph"/>
        <w:numPr>
          <w:ilvl w:val="1"/>
          <w:numId w:val="2"/>
        </w:numPr>
        <w:spacing w:line="360" w:lineRule="auto"/>
        <w:jc w:val="both"/>
        <w:rPr>
          <w:lang w:val="en-US"/>
        </w:rPr>
      </w:pPr>
      <w:r w:rsidRPr="00972E11">
        <w:rPr>
          <w:lang w:val="en-US"/>
        </w:rPr>
        <w:t>that section 26 would entirely capture such laws</w:t>
      </w:r>
      <w:r w:rsidR="00A32FAC">
        <w:rPr>
          <w:lang w:val="en-US"/>
        </w:rPr>
        <w:t xml:space="preserve"> to begin with</w:t>
      </w:r>
      <w:r w:rsidRPr="00972E11">
        <w:rPr>
          <w:lang w:val="en-US"/>
        </w:rPr>
        <w:t>, rather than ensuring in section 26(2)(c) that they were not captured at all</w:t>
      </w:r>
      <w:r w:rsidR="00F17878">
        <w:rPr>
          <w:lang w:val="en-US"/>
        </w:rPr>
        <w:t>;</w:t>
      </w:r>
      <w:r w:rsidR="00482213" w:rsidRPr="00972E11">
        <w:rPr>
          <w:lang w:val="en-US"/>
        </w:rPr>
        <w:t xml:space="preserve">, </w:t>
      </w:r>
      <w:r w:rsidR="00482213" w:rsidRPr="00F17878">
        <w:rPr>
          <w:u w:val="single"/>
          <w:lang w:val="en-US"/>
        </w:rPr>
        <w:t>and</w:t>
      </w:r>
      <w:r w:rsidR="00482213" w:rsidRPr="00972E11">
        <w:rPr>
          <w:lang w:val="en-US"/>
        </w:rPr>
        <w:t xml:space="preserve"> </w:t>
      </w:r>
    </w:p>
    <w:p w:rsidR="00482213" w:rsidRPr="00972E11" w:rsidRDefault="00F17878" w:rsidP="00F17878">
      <w:pPr>
        <w:pStyle w:val="ListParagraph"/>
        <w:numPr>
          <w:ilvl w:val="1"/>
          <w:numId w:val="2"/>
        </w:numPr>
        <w:spacing w:line="360" w:lineRule="auto"/>
        <w:jc w:val="both"/>
        <w:rPr>
          <w:lang w:val="en-US"/>
        </w:rPr>
      </w:pPr>
      <w:proofErr w:type="gramStart"/>
      <w:r>
        <w:rPr>
          <w:lang w:val="en-US"/>
        </w:rPr>
        <w:t>that</w:t>
      </w:r>
      <w:proofErr w:type="gramEnd"/>
      <w:r>
        <w:rPr>
          <w:lang w:val="en-US"/>
        </w:rPr>
        <w:t xml:space="preserve"> </w:t>
      </w:r>
      <w:r w:rsidR="00482213" w:rsidRPr="00972E11">
        <w:rPr>
          <w:lang w:val="en-US"/>
        </w:rPr>
        <w:t>section 27 would contain an exclusion to support the application of State laws to persons who did not have either “applicable award derived long service leave terms” or “applicable agreement derived long service leave terms”.</w:t>
      </w:r>
    </w:p>
    <w:p w:rsidR="00F17878" w:rsidRDefault="00F17878" w:rsidP="00F17878">
      <w:pPr>
        <w:pStyle w:val="ListParagraph"/>
        <w:spacing w:line="360" w:lineRule="auto"/>
        <w:jc w:val="both"/>
        <w:rPr>
          <w:lang w:val="en-US"/>
        </w:rPr>
      </w:pPr>
      <w:proofErr w:type="gramStart"/>
      <w:r>
        <w:rPr>
          <w:lang w:val="en-US"/>
        </w:rPr>
        <w:t xml:space="preserve">Doing only the later, as explained in the </w:t>
      </w:r>
      <w:r w:rsidR="000C16D9">
        <w:rPr>
          <w:lang w:val="en-US"/>
        </w:rPr>
        <w:t>p</w:t>
      </w:r>
      <w:r w:rsidR="00A32FAC">
        <w:rPr>
          <w:lang w:val="en-US"/>
        </w:rPr>
        <w:t>revious section, is meaningless and ineffective.</w:t>
      </w:r>
      <w:proofErr w:type="gramEnd"/>
    </w:p>
    <w:p w:rsidR="000C16D9" w:rsidRDefault="000C16D9" w:rsidP="00F17878">
      <w:pPr>
        <w:pStyle w:val="ListParagraph"/>
        <w:spacing w:line="360" w:lineRule="auto"/>
        <w:jc w:val="both"/>
        <w:rPr>
          <w:lang w:val="en-US"/>
        </w:rPr>
      </w:pPr>
    </w:p>
    <w:p w:rsidR="000C16D9" w:rsidRDefault="00A47460" w:rsidP="00972E11">
      <w:pPr>
        <w:pStyle w:val="ListParagraph"/>
        <w:numPr>
          <w:ilvl w:val="0"/>
          <w:numId w:val="2"/>
        </w:numPr>
        <w:spacing w:line="360" w:lineRule="auto"/>
        <w:jc w:val="both"/>
        <w:rPr>
          <w:lang w:val="en-US"/>
        </w:rPr>
      </w:pPr>
      <w:r>
        <w:rPr>
          <w:lang w:val="en-US"/>
        </w:rPr>
        <w:t xml:space="preserve">A consequence of the </w:t>
      </w:r>
      <w:r w:rsidR="00482213" w:rsidRPr="00972E11">
        <w:rPr>
          <w:lang w:val="en-US"/>
        </w:rPr>
        <w:t xml:space="preserve"> interpretation </w:t>
      </w:r>
      <w:r>
        <w:rPr>
          <w:lang w:val="en-US"/>
        </w:rPr>
        <w:t xml:space="preserve">we provide at paragraph 11 above </w:t>
      </w:r>
      <w:r w:rsidR="00482213" w:rsidRPr="00972E11">
        <w:rPr>
          <w:lang w:val="en-US"/>
        </w:rPr>
        <w:t>is that it may be rather difficult to ascertain</w:t>
      </w:r>
      <w:r w:rsidR="000C16D9">
        <w:rPr>
          <w:lang w:val="en-US"/>
        </w:rPr>
        <w:t>,</w:t>
      </w:r>
      <w:r w:rsidR="00482213" w:rsidRPr="00972E11">
        <w:rPr>
          <w:lang w:val="en-US"/>
        </w:rPr>
        <w:t xml:space="preserve"> for any given employee to who section 113(1) applies</w:t>
      </w:r>
      <w:r w:rsidR="000C16D9">
        <w:rPr>
          <w:lang w:val="en-US"/>
        </w:rPr>
        <w:t>:</w:t>
      </w:r>
    </w:p>
    <w:p w:rsidR="000C16D9" w:rsidRDefault="00482213" w:rsidP="000C16D9">
      <w:pPr>
        <w:pStyle w:val="ListParagraph"/>
        <w:numPr>
          <w:ilvl w:val="1"/>
          <w:numId w:val="2"/>
        </w:numPr>
        <w:spacing w:line="360" w:lineRule="auto"/>
        <w:jc w:val="both"/>
        <w:rPr>
          <w:lang w:val="en-US"/>
        </w:rPr>
      </w:pPr>
      <w:r w:rsidRPr="00972E11">
        <w:rPr>
          <w:lang w:val="en-US"/>
        </w:rPr>
        <w:t xml:space="preserve"> wh</w:t>
      </w:r>
      <w:r w:rsidR="000C16D9">
        <w:rPr>
          <w:lang w:val="en-US"/>
        </w:rPr>
        <w:t>at their entitlements are;</w:t>
      </w:r>
    </w:p>
    <w:p w:rsidR="000C16D9" w:rsidRDefault="00482213" w:rsidP="000C16D9">
      <w:pPr>
        <w:pStyle w:val="ListParagraph"/>
        <w:numPr>
          <w:ilvl w:val="1"/>
          <w:numId w:val="2"/>
        </w:numPr>
        <w:spacing w:line="360" w:lineRule="auto"/>
        <w:jc w:val="both"/>
        <w:rPr>
          <w:lang w:val="en-US"/>
        </w:rPr>
      </w:pPr>
      <w:r w:rsidRPr="00972E11">
        <w:rPr>
          <w:lang w:val="en-US"/>
        </w:rPr>
        <w:t xml:space="preserve"> which law th</w:t>
      </w:r>
      <w:r w:rsidR="000C16D9">
        <w:rPr>
          <w:lang w:val="en-US"/>
        </w:rPr>
        <w:t>ose entitlements</w:t>
      </w:r>
      <w:r w:rsidRPr="00972E11">
        <w:rPr>
          <w:lang w:val="en-US"/>
        </w:rPr>
        <w:t xml:space="preserve"> arise under</w:t>
      </w:r>
      <w:r w:rsidR="000C16D9">
        <w:rPr>
          <w:lang w:val="en-US"/>
        </w:rPr>
        <w:t>;</w:t>
      </w:r>
      <w:r w:rsidRPr="00972E11">
        <w:rPr>
          <w:lang w:val="en-US"/>
        </w:rPr>
        <w:t xml:space="preserve"> and </w:t>
      </w:r>
    </w:p>
    <w:p w:rsidR="000C16D9" w:rsidRDefault="00482213" w:rsidP="000C16D9">
      <w:pPr>
        <w:pStyle w:val="ListParagraph"/>
        <w:numPr>
          <w:ilvl w:val="1"/>
          <w:numId w:val="2"/>
        </w:numPr>
        <w:spacing w:line="360" w:lineRule="auto"/>
        <w:jc w:val="both"/>
        <w:rPr>
          <w:lang w:val="en-US"/>
        </w:rPr>
      </w:pPr>
      <w:r w:rsidRPr="00972E11">
        <w:rPr>
          <w:lang w:val="en-US"/>
        </w:rPr>
        <w:t>which law th</w:t>
      </w:r>
      <w:r w:rsidR="000C16D9">
        <w:rPr>
          <w:lang w:val="en-US"/>
        </w:rPr>
        <w:t xml:space="preserve">ose entitlements </w:t>
      </w:r>
      <w:r w:rsidRPr="00972E11">
        <w:rPr>
          <w:lang w:val="en-US"/>
        </w:rPr>
        <w:t xml:space="preserve"> may be enforced under</w:t>
      </w:r>
    </w:p>
    <w:p w:rsidR="00482213" w:rsidRPr="000C16D9" w:rsidRDefault="00482213" w:rsidP="000C16D9">
      <w:pPr>
        <w:spacing w:line="360" w:lineRule="auto"/>
        <w:ind w:left="720" w:firstLine="45"/>
        <w:jc w:val="both"/>
        <w:rPr>
          <w:lang w:val="en-US"/>
        </w:rPr>
      </w:pPr>
      <w:proofErr w:type="gramStart"/>
      <w:r w:rsidRPr="000C16D9">
        <w:rPr>
          <w:lang w:val="en-US"/>
        </w:rPr>
        <w:lastRenderedPageBreak/>
        <w:t>given</w:t>
      </w:r>
      <w:proofErr w:type="gramEnd"/>
      <w:r w:rsidRPr="000C16D9">
        <w:rPr>
          <w:lang w:val="en-US"/>
        </w:rPr>
        <w:t xml:space="preserve"> the variability in accrual rates, the level of accrual before leave may be taken and the restrictions on the “blocks” in which leave may be taken.</w:t>
      </w:r>
      <w:r w:rsidR="008730E5" w:rsidRPr="000C16D9">
        <w:rPr>
          <w:lang w:val="en-US"/>
        </w:rPr>
        <w:t xml:space="preserve">  For example</w:t>
      </w:r>
      <w:r w:rsidR="000C16D9">
        <w:rPr>
          <w:lang w:val="en-US"/>
        </w:rPr>
        <w:t>,</w:t>
      </w:r>
      <w:r w:rsidR="008730E5" w:rsidRPr="000C16D9">
        <w:rPr>
          <w:lang w:val="en-US"/>
        </w:rPr>
        <w:t xml:space="preserve"> the NES would apply and be enforceable where the “applicable award derived long service leave terms” provided for an accrual rate that was more beneficial than the State legislation, however the employee would retain any rights they may have under the State legislation to insist on payment on termination at earlier time than the “applicable award derived long service leave terms” allow for.</w:t>
      </w:r>
      <w:r w:rsidR="00A32FAC">
        <w:rPr>
          <w:lang w:val="en-US"/>
        </w:rPr>
        <w:t xml:space="preserve">  Such is the consequence the Commonwealth minimum standard prevailing to the extent of any lesser standard in the State law.</w:t>
      </w:r>
    </w:p>
    <w:p w:rsidR="000C16D9" w:rsidRPr="00972E11" w:rsidRDefault="000C16D9" w:rsidP="000C16D9">
      <w:pPr>
        <w:pStyle w:val="ListParagraph"/>
        <w:spacing w:line="360" w:lineRule="auto"/>
        <w:jc w:val="both"/>
        <w:rPr>
          <w:lang w:val="en-US"/>
        </w:rPr>
      </w:pPr>
    </w:p>
    <w:p w:rsidR="008730E5" w:rsidRPr="00972E11" w:rsidRDefault="008730E5" w:rsidP="00972E11">
      <w:pPr>
        <w:pStyle w:val="ListParagraph"/>
        <w:numPr>
          <w:ilvl w:val="0"/>
          <w:numId w:val="2"/>
        </w:numPr>
        <w:spacing w:line="360" w:lineRule="auto"/>
        <w:jc w:val="both"/>
        <w:rPr>
          <w:lang w:val="en-US"/>
        </w:rPr>
      </w:pPr>
      <w:r w:rsidRPr="00972E11">
        <w:rPr>
          <w:lang w:val="en-US"/>
        </w:rPr>
        <w:t>The complexity of this outcome rather suggests that the Commonwealth ought to place a greater priority on devising a National Long Service Leave scheme than was evident from its submission.</w:t>
      </w:r>
    </w:p>
    <w:p w:rsidR="008730E5" w:rsidRDefault="008730E5" w:rsidP="00972E11">
      <w:pPr>
        <w:spacing w:line="360" w:lineRule="auto"/>
        <w:jc w:val="both"/>
        <w:rPr>
          <w:lang w:val="en-US"/>
        </w:rPr>
      </w:pPr>
    </w:p>
    <w:p w:rsidR="00A32FAC" w:rsidRDefault="0031541B" w:rsidP="00972E11">
      <w:pPr>
        <w:spacing w:line="360" w:lineRule="auto"/>
        <w:jc w:val="both"/>
        <w:rPr>
          <w:lang w:val="en-US"/>
        </w:rPr>
      </w:pPr>
      <w:r>
        <w:rPr>
          <w:lang w:val="en-US"/>
        </w:rPr>
        <w:t>ACTU</w:t>
      </w:r>
    </w:p>
    <w:p w:rsidR="0031541B" w:rsidRDefault="0031541B" w:rsidP="00972E11">
      <w:pPr>
        <w:spacing w:line="360" w:lineRule="auto"/>
        <w:jc w:val="both"/>
        <w:rPr>
          <w:lang w:val="en-US"/>
        </w:rPr>
      </w:pPr>
      <w:r>
        <w:rPr>
          <w:lang w:val="en-US"/>
        </w:rPr>
        <w:t>28 October 2016</w:t>
      </w:r>
    </w:p>
    <w:p w:rsidR="00A32FAC" w:rsidRDefault="00A32FAC" w:rsidP="00972E11">
      <w:pPr>
        <w:spacing w:line="360" w:lineRule="auto"/>
        <w:jc w:val="both"/>
        <w:rPr>
          <w:lang w:val="en-US"/>
        </w:rPr>
      </w:pPr>
      <w:bookmarkStart w:id="0" w:name="_GoBack"/>
      <w:bookmarkEnd w:id="0"/>
    </w:p>
    <w:p w:rsidR="008730E5" w:rsidRDefault="008730E5" w:rsidP="00972E11">
      <w:pPr>
        <w:spacing w:line="360" w:lineRule="auto"/>
        <w:jc w:val="both"/>
        <w:rPr>
          <w:lang w:val="en-US"/>
        </w:rPr>
      </w:pPr>
    </w:p>
    <w:sectPr w:rsidR="008730E5" w:rsidSect="008730E5">
      <w:footerReference w:type="default" r:id="rId27"/>
      <w:pgSz w:w="11900" w:h="16840"/>
      <w:pgMar w:top="1580" w:right="1300" w:bottom="280" w:left="1360" w:header="0" w:footer="10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60" w:rsidRDefault="00EA1260" w:rsidP="004B7023">
      <w:pPr>
        <w:spacing w:after="0" w:line="240" w:lineRule="auto"/>
      </w:pPr>
      <w:r>
        <w:separator/>
      </w:r>
    </w:p>
  </w:endnote>
  <w:endnote w:type="continuationSeparator" w:id="0">
    <w:p w:rsidR="00EA1260" w:rsidRDefault="00EA1260" w:rsidP="004B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62515"/>
      <w:docPartObj>
        <w:docPartGallery w:val="Page Numbers (Bottom of Page)"/>
        <w:docPartUnique/>
      </w:docPartObj>
    </w:sdtPr>
    <w:sdtEndPr>
      <w:rPr>
        <w:noProof/>
      </w:rPr>
    </w:sdtEndPr>
    <w:sdtContent>
      <w:p w:rsidR="000C16D9" w:rsidRDefault="000C16D9">
        <w:pPr>
          <w:pStyle w:val="Footer"/>
          <w:jc w:val="right"/>
        </w:pPr>
        <w:r>
          <w:fldChar w:fldCharType="begin"/>
        </w:r>
        <w:r>
          <w:instrText xml:space="preserve"> PAGE   \* MERGEFORMAT </w:instrText>
        </w:r>
        <w:r>
          <w:fldChar w:fldCharType="separate"/>
        </w:r>
        <w:r w:rsidR="0031541B">
          <w:rPr>
            <w:noProof/>
          </w:rPr>
          <w:t>1</w:t>
        </w:r>
        <w:r>
          <w:rPr>
            <w:noProof/>
          </w:rPr>
          <w:fldChar w:fldCharType="end"/>
        </w:r>
      </w:p>
    </w:sdtContent>
  </w:sdt>
  <w:p w:rsidR="000C16D9" w:rsidRDefault="000C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60" w:rsidRDefault="00EA1260" w:rsidP="004B7023">
      <w:pPr>
        <w:spacing w:after="0" w:line="240" w:lineRule="auto"/>
      </w:pPr>
      <w:r>
        <w:separator/>
      </w:r>
    </w:p>
  </w:footnote>
  <w:footnote w:type="continuationSeparator" w:id="0">
    <w:p w:rsidR="00EA1260" w:rsidRDefault="00EA1260" w:rsidP="004B7023">
      <w:pPr>
        <w:spacing w:after="0" w:line="240" w:lineRule="auto"/>
      </w:pPr>
      <w:r>
        <w:continuationSeparator/>
      </w:r>
    </w:p>
  </w:footnote>
  <w:footnote w:id="1">
    <w:p w:rsidR="004B7023" w:rsidRPr="00791B6D" w:rsidRDefault="004B7023">
      <w:pPr>
        <w:pStyle w:val="FootnoteText"/>
      </w:pPr>
      <w:r>
        <w:rPr>
          <w:rStyle w:val="FootnoteReference"/>
        </w:rPr>
        <w:footnoteRef/>
      </w:r>
      <w:r>
        <w:t xml:space="preserve"> </w:t>
      </w:r>
      <w:proofErr w:type="gramStart"/>
      <w:r w:rsidR="00791B6D">
        <w:rPr>
          <w:i/>
        </w:rPr>
        <w:t>NSW v. the Commonwealth</w:t>
      </w:r>
      <w:r w:rsidR="00791B6D">
        <w:t xml:space="preserve"> [2006] HCA 2 at [198].</w:t>
      </w:r>
      <w:proofErr w:type="gramEnd"/>
    </w:p>
  </w:footnote>
  <w:footnote w:id="2">
    <w:p w:rsidR="00791B6D" w:rsidRDefault="00791B6D">
      <w:pPr>
        <w:pStyle w:val="FootnoteText"/>
      </w:pPr>
      <w:r>
        <w:rPr>
          <w:rStyle w:val="FootnoteReference"/>
        </w:rPr>
        <w:footnoteRef/>
      </w:r>
      <w:r>
        <w:t xml:space="preserve"> [1948] HCA 13</w:t>
      </w:r>
    </w:p>
  </w:footnote>
  <w:footnote w:id="3">
    <w:p w:rsidR="00791B6D" w:rsidRDefault="00791B6D">
      <w:pPr>
        <w:pStyle w:val="FootnoteText"/>
      </w:pPr>
      <w:r>
        <w:rPr>
          <w:rStyle w:val="FootnoteReference"/>
        </w:rPr>
        <w:footnoteRef/>
      </w:r>
      <w:r>
        <w:t xml:space="preserve"> [1977] HCA 34</w:t>
      </w:r>
    </w:p>
  </w:footnote>
  <w:footnote w:id="4">
    <w:p w:rsidR="002B394A" w:rsidRDefault="002B394A">
      <w:pPr>
        <w:pStyle w:val="FootnoteText"/>
      </w:pPr>
      <w:r>
        <w:rPr>
          <w:rStyle w:val="FootnoteReference"/>
        </w:rPr>
        <w:footnoteRef/>
      </w:r>
      <w:r>
        <w:t xml:space="preserve"> [2010] FWAFB 9985</w:t>
      </w:r>
    </w:p>
  </w:footnote>
  <w:footnote w:id="5">
    <w:p w:rsidR="00687326" w:rsidRDefault="00687326">
      <w:pPr>
        <w:pStyle w:val="FootnoteText"/>
      </w:pPr>
      <w:r>
        <w:rPr>
          <w:rStyle w:val="FootnoteReference"/>
        </w:rPr>
        <w:footnoteRef/>
      </w:r>
      <w:r>
        <w:t xml:space="preserve"> At [24]-[26]</w:t>
      </w:r>
    </w:p>
  </w:footnote>
  <w:footnote w:id="6">
    <w:p w:rsidR="002D0442" w:rsidRDefault="002D0442" w:rsidP="002D0442">
      <w:pPr>
        <w:pStyle w:val="FootnoteText"/>
      </w:pPr>
      <w:r>
        <w:rPr>
          <w:rStyle w:val="FootnoteReference"/>
        </w:rPr>
        <w:footnoteRef/>
      </w:r>
      <w:r>
        <w:t xml:space="preserve"> See also </w:t>
      </w:r>
      <w:r>
        <w:rPr>
          <w:i/>
        </w:rPr>
        <w:t xml:space="preserve">Endeavour Coal Pty Ltd v. CFMEU </w:t>
      </w:r>
      <w:r>
        <w:t xml:space="preserve">[2007] FCAFC 177 at [65] </w:t>
      </w:r>
    </w:p>
  </w:footnote>
  <w:footnote w:id="7">
    <w:p w:rsidR="00C1611E" w:rsidRPr="00C1611E" w:rsidRDefault="00C1611E">
      <w:pPr>
        <w:pStyle w:val="FootnoteText"/>
      </w:pPr>
      <w:r>
        <w:rPr>
          <w:rStyle w:val="FootnoteReference"/>
        </w:rPr>
        <w:footnoteRef/>
      </w:r>
      <w:r>
        <w:t xml:space="preserve"> </w:t>
      </w:r>
      <w:proofErr w:type="gramStart"/>
      <w:r>
        <w:rPr>
          <w:i/>
        </w:rPr>
        <w:t xml:space="preserve">Victoria v. the Commonwealth </w:t>
      </w:r>
      <w:r>
        <w:t>[1937] HCA 82 per Dixon J.</w:t>
      </w:r>
      <w:proofErr w:type="gramEnd"/>
      <w:r>
        <w:rPr>
          <w:i/>
        </w:rPr>
        <w:t xml:space="preserve"> </w:t>
      </w:r>
    </w:p>
  </w:footnote>
  <w:footnote w:id="8">
    <w:p w:rsidR="00C1611E" w:rsidRDefault="00C1611E">
      <w:pPr>
        <w:pStyle w:val="FootnoteText"/>
      </w:pPr>
      <w:r>
        <w:rPr>
          <w:rStyle w:val="FootnoteReference"/>
        </w:rPr>
        <w:footnoteRef/>
      </w:r>
      <w:r>
        <w:t xml:space="preserve"> [2014] FCAFC 94 </w:t>
      </w:r>
    </w:p>
  </w:footnote>
  <w:footnote w:id="9">
    <w:p w:rsidR="00AE7996" w:rsidRDefault="00AE7996">
      <w:pPr>
        <w:pStyle w:val="FootnoteText"/>
      </w:pPr>
      <w:r>
        <w:rPr>
          <w:rStyle w:val="FootnoteReference"/>
        </w:rPr>
        <w:footnoteRef/>
      </w:r>
      <w:r>
        <w:t xml:space="preserve"> At [29]</w:t>
      </w:r>
    </w:p>
  </w:footnote>
  <w:footnote w:id="10">
    <w:p w:rsidR="00AE7996" w:rsidRDefault="00AE7996">
      <w:pPr>
        <w:pStyle w:val="FootnoteText"/>
      </w:pPr>
      <w:r>
        <w:rPr>
          <w:rStyle w:val="FootnoteReference"/>
        </w:rPr>
        <w:footnoteRef/>
      </w:r>
      <w:r>
        <w:t xml:space="preserve"> S.61(3)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1942"/>
    <w:multiLevelType w:val="multilevel"/>
    <w:tmpl w:val="517EDF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FD23D8B"/>
    <w:multiLevelType w:val="hybridMultilevel"/>
    <w:tmpl w:val="971A24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B3"/>
    <w:rsid w:val="00076912"/>
    <w:rsid w:val="00087CC1"/>
    <w:rsid w:val="000C16D9"/>
    <w:rsid w:val="000C3D48"/>
    <w:rsid w:val="001078A7"/>
    <w:rsid w:val="00162FAA"/>
    <w:rsid w:val="002B394A"/>
    <w:rsid w:val="002D0442"/>
    <w:rsid w:val="0031541B"/>
    <w:rsid w:val="00321A5D"/>
    <w:rsid w:val="00334CED"/>
    <w:rsid w:val="00482213"/>
    <w:rsid w:val="00483635"/>
    <w:rsid w:val="004B7023"/>
    <w:rsid w:val="00541642"/>
    <w:rsid w:val="00546FAE"/>
    <w:rsid w:val="006242C4"/>
    <w:rsid w:val="00687326"/>
    <w:rsid w:val="00751949"/>
    <w:rsid w:val="00791B6D"/>
    <w:rsid w:val="00794813"/>
    <w:rsid w:val="007A3E9D"/>
    <w:rsid w:val="00806AFE"/>
    <w:rsid w:val="008730E5"/>
    <w:rsid w:val="00972E11"/>
    <w:rsid w:val="009E3FBD"/>
    <w:rsid w:val="00A32FAC"/>
    <w:rsid w:val="00A47460"/>
    <w:rsid w:val="00AE7996"/>
    <w:rsid w:val="00B57994"/>
    <w:rsid w:val="00BF319D"/>
    <w:rsid w:val="00C1611E"/>
    <w:rsid w:val="00C80BA6"/>
    <w:rsid w:val="00D34DB3"/>
    <w:rsid w:val="00DB5130"/>
    <w:rsid w:val="00E1428B"/>
    <w:rsid w:val="00E16559"/>
    <w:rsid w:val="00EA1260"/>
    <w:rsid w:val="00F17878"/>
    <w:rsid w:val="00FE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BD"/>
  </w:style>
  <w:style w:type="paragraph" w:styleId="Heading1">
    <w:name w:val="heading 1"/>
    <w:basedOn w:val="Normal"/>
    <w:next w:val="Normal"/>
    <w:link w:val="Heading1Char"/>
    <w:uiPriority w:val="9"/>
    <w:qFormat/>
    <w:rsid w:val="004B702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B702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B702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B7023"/>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B7023"/>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4B702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B7023"/>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B7023"/>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B702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2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B702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B702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B7023"/>
    <w:rPr>
      <w:rFonts w:eastAsiaTheme="minorEastAsia"/>
      <w:b/>
      <w:bCs/>
      <w:sz w:val="28"/>
      <w:szCs w:val="28"/>
      <w:lang w:val="en-US"/>
    </w:rPr>
  </w:style>
  <w:style w:type="character" w:customStyle="1" w:styleId="Heading5Char">
    <w:name w:val="Heading 5 Char"/>
    <w:basedOn w:val="DefaultParagraphFont"/>
    <w:link w:val="Heading5"/>
    <w:uiPriority w:val="9"/>
    <w:semiHidden/>
    <w:rsid w:val="004B7023"/>
    <w:rPr>
      <w:rFonts w:eastAsiaTheme="minorEastAsia"/>
      <w:b/>
      <w:bCs/>
      <w:i/>
      <w:iCs/>
      <w:sz w:val="26"/>
      <w:szCs w:val="26"/>
      <w:lang w:val="en-US"/>
    </w:rPr>
  </w:style>
  <w:style w:type="character" w:customStyle="1" w:styleId="Heading6Char">
    <w:name w:val="Heading 6 Char"/>
    <w:basedOn w:val="DefaultParagraphFont"/>
    <w:link w:val="Heading6"/>
    <w:rsid w:val="004B702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B7023"/>
    <w:rPr>
      <w:rFonts w:eastAsiaTheme="minorEastAsia"/>
      <w:sz w:val="24"/>
      <w:szCs w:val="24"/>
      <w:lang w:val="en-US"/>
    </w:rPr>
  </w:style>
  <w:style w:type="character" w:customStyle="1" w:styleId="Heading8Char">
    <w:name w:val="Heading 8 Char"/>
    <w:basedOn w:val="DefaultParagraphFont"/>
    <w:link w:val="Heading8"/>
    <w:uiPriority w:val="9"/>
    <w:semiHidden/>
    <w:rsid w:val="004B7023"/>
    <w:rPr>
      <w:rFonts w:eastAsiaTheme="minorEastAsia"/>
      <w:i/>
      <w:iCs/>
      <w:sz w:val="24"/>
      <w:szCs w:val="24"/>
      <w:lang w:val="en-US"/>
    </w:rPr>
  </w:style>
  <w:style w:type="character" w:customStyle="1" w:styleId="Heading9Char">
    <w:name w:val="Heading 9 Char"/>
    <w:basedOn w:val="DefaultParagraphFont"/>
    <w:link w:val="Heading9"/>
    <w:uiPriority w:val="9"/>
    <w:semiHidden/>
    <w:rsid w:val="004B7023"/>
    <w:rPr>
      <w:rFonts w:asciiTheme="majorHAnsi" w:eastAsiaTheme="majorEastAsia" w:hAnsiTheme="majorHAnsi" w:cstheme="majorBidi"/>
      <w:lang w:val="en-US"/>
    </w:rPr>
  </w:style>
  <w:style w:type="paragraph" w:styleId="FootnoteText">
    <w:name w:val="footnote text"/>
    <w:basedOn w:val="Normal"/>
    <w:link w:val="FootnoteTextChar"/>
    <w:uiPriority w:val="99"/>
    <w:semiHidden/>
    <w:unhideWhenUsed/>
    <w:rsid w:val="004B7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23"/>
    <w:rPr>
      <w:sz w:val="20"/>
      <w:szCs w:val="20"/>
    </w:rPr>
  </w:style>
  <w:style w:type="character" w:styleId="FootnoteReference">
    <w:name w:val="footnote reference"/>
    <w:basedOn w:val="DefaultParagraphFont"/>
    <w:uiPriority w:val="99"/>
    <w:semiHidden/>
    <w:unhideWhenUsed/>
    <w:rsid w:val="004B7023"/>
    <w:rPr>
      <w:vertAlign w:val="superscript"/>
    </w:rPr>
  </w:style>
  <w:style w:type="paragraph" w:styleId="NormalWeb">
    <w:name w:val="Normal (Web)"/>
    <w:basedOn w:val="Normal"/>
    <w:uiPriority w:val="99"/>
    <w:semiHidden/>
    <w:unhideWhenUsed/>
    <w:rsid w:val="007A3E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A3E9D"/>
    <w:rPr>
      <w:color w:val="0000FF"/>
      <w:u w:val="single"/>
    </w:rPr>
  </w:style>
  <w:style w:type="paragraph" w:styleId="ListParagraph">
    <w:name w:val="List Paragraph"/>
    <w:basedOn w:val="Normal"/>
    <w:uiPriority w:val="34"/>
    <w:qFormat/>
    <w:rsid w:val="00972E11"/>
    <w:pPr>
      <w:ind w:left="720"/>
      <w:contextualSpacing/>
    </w:pPr>
  </w:style>
  <w:style w:type="paragraph" w:styleId="Header">
    <w:name w:val="header"/>
    <w:basedOn w:val="Normal"/>
    <w:link w:val="HeaderChar"/>
    <w:uiPriority w:val="99"/>
    <w:unhideWhenUsed/>
    <w:rsid w:val="000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D9"/>
  </w:style>
  <w:style w:type="paragraph" w:styleId="Footer">
    <w:name w:val="footer"/>
    <w:basedOn w:val="Normal"/>
    <w:link w:val="FooterChar"/>
    <w:uiPriority w:val="99"/>
    <w:unhideWhenUsed/>
    <w:rsid w:val="000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BD"/>
  </w:style>
  <w:style w:type="paragraph" w:styleId="Heading1">
    <w:name w:val="heading 1"/>
    <w:basedOn w:val="Normal"/>
    <w:next w:val="Normal"/>
    <w:link w:val="Heading1Char"/>
    <w:uiPriority w:val="9"/>
    <w:qFormat/>
    <w:rsid w:val="004B702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B702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B702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B7023"/>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B7023"/>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4B702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B7023"/>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B7023"/>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B702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2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B702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B702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B7023"/>
    <w:rPr>
      <w:rFonts w:eastAsiaTheme="minorEastAsia"/>
      <w:b/>
      <w:bCs/>
      <w:sz w:val="28"/>
      <w:szCs w:val="28"/>
      <w:lang w:val="en-US"/>
    </w:rPr>
  </w:style>
  <w:style w:type="character" w:customStyle="1" w:styleId="Heading5Char">
    <w:name w:val="Heading 5 Char"/>
    <w:basedOn w:val="DefaultParagraphFont"/>
    <w:link w:val="Heading5"/>
    <w:uiPriority w:val="9"/>
    <w:semiHidden/>
    <w:rsid w:val="004B7023"/>
    <w:rPr>
      <w:rFonts w:eastAsiaTheme="minorEastAsia"/>
      <w:b/>
      <w:bCs/>
      <w:i/>
      <w:iCs/>
      <w:sz w:val="26"/>
      <w:szCs w:val="26"/>
      <w:lang w:val="en-US"/>
    </w:rPr>
  </w:style>
  <w:style w:type="character" w:customStyle="1" w:styleId="Heading6Char">
    <w:name w:val="Heading 6 Char"/>
    <w:basedOn w:val="DefaultParagraphFont"/>
    <w:link w:val="Heading6"/>
    <w:rsid w:val="004B702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B7023"/>
    <w:rPr>
      <w:rFonts w:eastAsiaTheme="minorEastAsia"/>
      <w:sz w:val="24"/>
      <w:szCs w:val="24"/>
      <w:lang w:val="en-US"/>
    </w:rPr>
  </w:style>
  <w:style w:type="character" w:customStyle="1" w:styleId="Heading8Char">
    <w:name w:val="Heading 8 Char"/>
    <w:basedOn w:val="DefaultParagraphFont"/>
    <w:link w:val="Heading8"/>
    <w:uiPriority w:val="9"/>
    <w:semiHidden/>
    <w:rsid w:val="004B7023"/>
    <w:rPr>
      <w:rFonts w:eastAsiaTheme="minorEastAsia"/>
      <w:i/>
      <w:iCs/>
      <w:sz w:val="24"/>
      <w:szCs w:val="24"/>
      <w:lang w:val="en-US"/>
    </w:rPr>
  </w:style>
  <w:style w:type="character" w:customStyle="1" w:styleId="Heading9Char">
    <w:name w:val="Heading 9 Char"/>
    <w:basedOn w:val="DefaultParagraphFont"/>
    <w:link w:val="Heading9"/>
    <w:uiPriority w:val="9"/>
    <w:semiHidden/>
    <w:rsid w:val="004B7023"/>
    <w:rPr>
      <w:rFonts w:asciiTheme="majorHAnsi" w:eastAsiaTheme="majorEastAsia" w:hAnsiTheme="majorHAnsi" w:cstheme="majorBidi"/>
      <w:lang w:val="en-US"/>
    </w:rPr>
  </w:style>
  <w:style w:type="paragraph" w:styleId="FootnoteText">
    <w:name w:val="footnote text"/>
    <w:basedOn w:val="Normal"/>
    <w:link w:val="FootnoteTextChar"/>
    <w:uiPriority w:val="99"/>
    <w:semiHidden/>
    <w:unhideWhenUsed/>
    <w:rsid w:val="004B70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23"/>
    <w:rPr>
      <w:sz w:val="20"/>
      <w:szCs w:val="20"/>
    </w:rPr>
  </w:style>
  <w:style w:type="character" w:styleId="FootnoteReference">
    <w:name w:val="footnote reference"/>
    <w:basedOn w:val="DefaultParagraphFont"/>
    <w:uiPriority w:val="99"/>
    <w:semiHidden/>
    <w:unhideWhenUsed/>
    <w:rsid w:val="004B7023"/>
    <w:rPr>
      <w:vertAlign w:val="superscript"/>
    </w:rPr>
  </w:style>
  <w:style w:type="paragraph" w:styleId="NormalWeb">
    <w:name w:val="Normal (Web)"/>
    <w:basedOn w:val="Normal"/>
    <w:uiPriority w:val="99"/>
    <w:semiHidden/>
    <w:unhideWhenUsed/>
    <w:rsid w:val="007A3E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A3E9D"/>
    <w:rPr>
      <w:color w:val="0000FF"/>
      <w:u w:val="single"/>
    </w:rPr>
  </w:style>
  <w:style w:type="paragraph" w:styleId="ListParagraph">
    <w:name w:val="List Paragraph"/>
    <w:basedOn w:val="Normal"/>
    <w:uiPriority w:val="34"/>
    <w:qFormat/>
    <w:rsid w:val="00972E11"/>
    <w:pPr>
      <w:ind w:left="720"/>
      <w:contextualSpacing/>
    </w:pPr>
  </w:style>
  <w:style w:type="paragraph" w:styleId="Header">
    <w:name w:val="header"/>
    <w:basedOn w:val="Normal"/>
    <w:link w:val="HeaderChar"/>
    <w:uiPriority w:val="99"/>
    <w:unhideWhenUsed/>
    <w:rsid w:val="000C1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6D9"/>
  </w:style>
  <w:style w:type="paragraph" w:styleId="Footer">
    <w:name w:val="footer"/>
    <w:basedOn w:val="Normal"/>
    <w:link w:val="FooterChar"/>
    <w:uiPriority w:val="99"/>
    <w:unhideWhenUsed/>
    <w:rsid w:val="000C1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consol_act/fwa2009114/s27.html" TargetMode="External"/><Relationship Id="rId18" Type="http://schemas.openxmlformats.org/officeDocument/2006/relationships/hyperlink" Target="http://www.austlii.edu.au/au/legis/cth/consol_act/fwa2009114/index.html" TargetMode="External"/><Relationship Id="rId26" Type="http://schemas.openxmlformats.org/officeDocument/2006/relationships/hyperlink" Target="http://www.austlii.edu.au/au/legis/cth/consol_act/fwa2009114/" TargetMode="External"/><Relationship Id="rId3" Type="http://schemas.openxmlformats.org/officeDocument/2006/relationships/styles" Target="styles.xml"/><Relationship Id="rId21" Type="http://schemas.openxmlformats.org/officeDocument/2006/relationships/hyperlink" Target="http://www.austlii.edu.au/au/legis/cth/consol_act/fwa2009114/index.html" TargetMode="External"/><Relationship Id="rId7" Type="http://schemas.openxmlformats.org/officeDocument/2006/relationships/footnotes" Target="footnotes.xml"/><Relationship Id="rId12" Type="http://schemas.openxmlformats.org/officeDocument/2006/relationships/hyperlink" Target="http://www.austlii.edu.au/au/legis/cth/consol_act/fwa2009114/s26.html" TargetMode="External"/><Relationship Id="rId17" Type="http://schemas.openxmlformats.org/officeDocument/2006/relationships/hyperlink" Target="http://www.austlii.edu.au/au/legis/cth/consol_act/fwa2009114/index.html" TargetMode="External"/><Relationship Id="rId25" Type="http://schemas.openxmlformats.org/officeDocument/2006/relationships/hyperlink" Target="http://www.austlii.edu.au/au/legis/cth/consol_act/fwa2009114/" TargetMode="External"/><Relationship Id="rId2" Type="http://schemas.openxmlformats.org/officeDocument/2006/relationships/numbering" Target="numbering.xml"/><Relationship Id="rId16" Type="http://schemas.openxmlformats.org/officeDocument/2006/relationships/hyperlink" Target="http://www.austlii.edu.au/au/legis/cth/consol_act/fwa2009114/index.html" TargetMode="External"/><Relationship Id="rId20" Type="http://schemas.openxmlformats.org/officeDocument/2006/relationships/hyperlink" Target="http://www.austlii.edu.au/au/legis/cth/consol_act/fwa2009114/s11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consol_act/fwa2009114/s27.html" TargetMode="External"/><Relationship Id="rId24" Type="http://schemas.openxmlformats.org/officeDocument/2006/relationships/hyperlink" Target="http://www.austlii.edu.au/au/legis/cth/consol_act/fwa2009114/s27.html" TargetMode="External"/><Relationship Id="rId5" Type="http://schemas.openxmlformats.org/officeDocument/2006/relationships/settings" Target="settings.xml"/><Relationship Id="rId15" Type="http://schemas.openxmlformats.org/officeDocument/2006/relationships/hyperlink" Target="http://www.austlii.edu.au/au/legis/cth/consol_act/fwa2009114/s26.html" TargetMode="External"/><Relationship Id="rId23" Type="http://schemas.openxmlformats.org/officeDocument/2006/relationships/hyperlink" Target="http://www.austlii.edu.au/au/legis/cth/consol_act/fwa2009114/s26.html" TargetMode="External"/><Relationship Id="rId28" Type="http://schemas.openxmlformats.org/officeDocument/2006/relationships/fontTable" Target="fontTable.xml"/><Relationship Id="rId10" Type="http://schemas.openxmlformats.org/officeDocument/2006/relationships/hyperlink" Target="http://www.austlii.edu.au/au/legis/cth/consol_act/fwa2009114/" TargetMode="External"/><Relationship Id="rId19" Type="http://schemas.openxmlformats.org/officeDocument/2006/relationships/hyperlink" Target="http://www.austlii.edu.au/au/legis/cth/consol_act/fwa2009114/index.html" TargetMode="External"/><Relationship Id="rId4" Type="http://schemas.microsoft.com/office/2007/relationships/stylesWithEffects" Target="stylesWithEffects.xml"/><Relationship Id="rId9" Type="http://schemas.openxmlformats.org/officeDocument/2006/relationships/hyperlink" Target="http://www.austlii.edu.au/au/legis/cth/consol_act/fwa2009114/s26.html" TargetMode="External"/><Relationship Id="rId14" Type="http://schemas.openxmlformats.org/officeDocument/2006/relationships/hyperlink" Target="http://www.austlii.edu.au/au/legis/cth/consol_act/fwa2009114/s27.html" TargetMode="External"/><Relationship Id="rId22" Type="http://schemas.openxmlformats.org/officeDocument/2006/relationships/hyperlink" Target="http://www.austlii.edu.au/au/legis/cth/consol_act/fwa2009114/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E86D-D111-4C2F-AB13-578D2761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Clarke</dc:creator>
  <cp:lastModifiedBy>Margaret McKenzie</cp:lastModifiedBy>
  <cp:revision>2</cp:revision>
  <dcterms:created xsi:type="dcterms:W3CDTF">2016-10-28T03:06:00Z</dcterms:created>
  <dcterms:modified xsi:type="dcterms:W3CDTF">2016-10-28T03:06:00Z</dcterms:modified>
</cp:coreProperties>
</file>