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CE6" w:rsidRDefault="00E20CE6" w:rsidP="00AB3B91">
      <w:pPr>
        <w:jc w:val="center"/>
      </w:pPr>
      <w:r>
        <w:rPr>
          <w:b/>
        </w:rPr>
        <w:t>SUMMARY OF SUBMISSIONS</w:t>
      </w:r>
      <w:r w:rsidR="00D46B6C">
        <w:rPr>
          <w:b/>
        </w:rPr>
        <w:t>: REVIEW OF EXISITNG WAGE ARRANGEMENTS FOR EMPLOYEES WITH DISABILITY</w:t>
      </w:r>
    </w:p>
    <w:p w:rsidR="00AB3B91" w:rsidRPr="00A350D1" w:rsidRDefault="004269DF" w:rsidP="004153E8">
      <w:r>
        <w:t>This table is a summar</w:t>
      </w:r>
      <w:r w:rsidR="008D050B">
        <w:t xml:space="preserve">y of submissions lodged for the Annual Wage Review 2016–17 preliminary hearing into </w:t>
      </w:r>
      <w:r w:rsidR="0021674B">
        <w:t xml:space="preserve">a review of existing wage arrangements for employees with </w:t>
      </w:r>
      <w:r w:rsidR="008D050B">
        <w:t>disability.</w:t>
      </w:r>
    </w:p>
    <w:tbl>
      <w:tblPr>
        <w:tblStyle w:val="TableGrid"/>
        <w:tblW w:w="5000" w:type="pct"/>
        <w:tblLook w:val="04A0" w:firstRow="1" w:lastRow="0" w:firstColumn="1" w:lastColumn="0" w:noHBand="0" w:noVBand="1"/>
      </w:tblPr>
      <w:tblGrid>
        <w:gridCol w:w="816"/>
        <w:gridCol w:w="4822"/>
        <w:gridCol w:w="8536"/>
      </w:tblGrid>
      <w:tr w:rsidR="00197CF3" w:rsidRPr="008D5B94" w:rsidTr="00EF287A">
        <w:trPr>
          <w:trHeight w:val="347"/>
          <w:tblHeader/>
        </w:trPr>
        <w:tc>
          <w:tcPr>
            <w:tcW w:w="288" w:type="pct"/>
            <w:shd w:val="clear" w:color="auto" w:fill="C6D9F1" w:themeFill="text2" w:themeFillTint="33"/>
          </w:tcPr>
          <w:p w:rsidR="00197CF3" w:rsidRPr="008D5B94" w:rsidRDefault="00F16E71" w:rsidP="00381DD2">
            <w:pPr>
              <w:rPr>
                <w:b/>
              </w:rPr>
            </w:pPr>
            <w:r>
              <w:rPr>
                <w:b/>
              </w:rPr>
              <w:t>No</w:t>
            </w:r>
            <w:bookmarkStart w:id="0" w:name="_GoBack"/>
            <w:bookmarkEnd w:id="0"/>
            <w:r w:rsidR="00426BE9">
              <w:rPr>
                <w:b/>
              </w:rPr>
              <w:t>.</w:t>
            </w:r>
          </w:p>
        </w:tc>
        <w:tc>
          <w:tcPr>
            <w:tcW w:w="1701" w:type="pct"/>
            <w:shd w:val="clear" w:color="auto" w:fill="C6D9F1" w:themeFill="text2" w:themeFillTint="33"/>
          </w:tcPr>
          <w:p w:rsidR="00197CF3" w:rsidRPr="008D5B94" w:rsidRDefault="00197CF3" w:rsidP="00381DD2">
            <w:pPr>
              <w:rPr>
                <w:b/>
              </w:rPr>
            </w:pPr>
            <w:r w:rsidRPr="008D5B94">
              <w:rPr>
                <w:b/>
              </w:rPr>
              <w:t>QUESTION</w:t>
            </w:r>
          </w:p>
        </w:tc>
        <w:tc>
          <w:tcPr>
            <w:tcW w:w="3011" w:type="pct"/>
            <w:shd w:val="clear" w:color="auto" w:fill="C6D9F1" w:themeFill="text2" w:themeFillTint="33"/>
          </w:tcPr>
          <w:p w:rsidR="00197CF3" w:rsidRPr="008D5B94" w:rsidRDefault="00197CF3" w:rsidP="00381DD2">
            <w:pPr>
              <w:rPr>
                <w:b/>
              </w:rPr>
            </w:pPr>
            <w:r w:rsidRPr="008D5B94">
              <w:rPr>
                <w:b/>
              </w:rPr>
              <w:t>SUMMARY OF SUBMISSION</w:t>
            </w:r>
            <w:r w:rsidR="00044BCD" w:rsidRPr="008D5B94">
              <w:rPr>
                <w:b/>
              </w:rPr>
              <w:t>S</w:t>
            </w:r>
          </w:p>
        </w:tc>
      </w:tr>
      <w:tr w:rsidR="00197CF3" w:rsidRPr="008D5B94" w:rsidTr="00EF287A">
        <w:tc>
          <w:tcPr>
            <w:tcW w:w="288" w:type="pct"/>
          </w:tcPr>
          <w:p w:rsidR="00197CF3" w:rsidRPr="008D5B94" w:rsidRDefault="00197CF3" w:rsidP="00F558E7">
            <w:pPr>
              <w:pStyle w:val="ListParagraph"/>
              <w:ind w:left="0"/>
              <w:jc w:val="both"/>
            </w:pPr>
            <w:r w:rsidRPr="008D5B94">
              <w:t>1.</w:t>
            </w:r>
          </w:p>
          <w:p w:rsidR="00197CF3" w:rsidRPr="008D5B94" w:rsidRDefault="00197CF3" w:rsidP="00CA0E00">
            <w:pPr>
              <w:pStyle w:val="ListParagraph"/>
              <w:jc w:val="both"/>
            </w:pPr>
          </w:p>
        </w:tc>
        <w:tc>
          <w:tcPr>
            <w:tcW w:w="1701" w:type="pct"/>
          </w:tcPr>
          <w:p w:rsidR="00D7633D" w:rsidRPr="001226DF" w:rsidRDefault="00D7633D" w:rsidP="00D7633D">
            <w:pPr>
              <w:rPr>
                <w:b/>
                <w:lang w:eastAsia="en-AU"/>
              </w:rPr>
            </w:pPr>
            <w:r w:rsidRPr="001226DF">
              <w:rPr>
                <w:b/>
                <w:lang w:eastAsia="en-AU"/>
              </w:rPr>
              <w:t xml:space="preserve">Taking into account the historical and legislative development of special National Minimum Wage 1 (NMW1), is a special national minimum wage required to ensure minimum wage coverage for employees whose disabilities do not impact on their productive capacity? </w:t>
            </w:r>
          </w:p>
          <w:p w:rsidR="00197CF3" w:rsidRPr="001226DF" w:rsidRDefault="00197CF3" w:rsidP="00381DD2"/>
        </w:tc>
        <w:tc>
          <w:tcPr>
            <w:tcW w:w="3011" w:type="pct"/>
          </w:tcPr>
          <w:p w:rsidR="00AD0330" w:rsidRDefault="00F16E71" w:rsidP="00197CF3">
            <w:hyperlink r:id="rId9" w:history="1">
              <w:r w:rsidR="0041413A" w:rsidRPr="0019530A">
                <w:rPr>
                  <w:rStyle w:val="Hyperlink"/>
                </w:rPr>
                <w:t>Australian Government</w:t>
              </w:r>
            </w:hyperlink>
            <w:r w:rsidR="0041413A">
              <w:t xml:space="preserve"> </w:t>
            </w:r>
            <w:r w:rsidR="00C94C79">
              <w:t>(p. 8</w:t>
            </w:r>
            <w:r w:rsidR="0041413A">
              <w:t xml:space="preserve">) </w:t>
            </w:r>
            <w:r w:rsidR="0041413A">
              <w:rPr>
                <w:lang w:eastAsia="en-AU"/>
              </w:rPr>
              <w:t xml:space="preserve">submitted that s.294(3)(c) </w:t>
            </w:r>
            <w:r w:rsidR="0041413A">
              <w:t xml:space="preserve">of the </w:t>
            </w:r>
            <w:r w:rsidR="0041413A" w:rsidRPr="006A4553">
              <w:rPr>
                <w:i/>
              </w:rPr>
              <w:t>Fair Work Act 2009</w:t>
            </w:r>
            <w:r w:rsidR="005A188A">
              <w:t xml:space="preserve"> (</w:t>
            </w:r>
            <w:proofErr w:type="spellStart"/>
            <w:r w:rsidR="005A188A">
              <w:t>Cth</w:t>
            </w:r>
            <w:proofErr w:type="spellEnd"/>
            <w:r w:rsidR="005A188A">
              <w:t>)</w:t>
            </w:r>
            <w:r w:rsidR="0041413A" w:rsidRPr="006A4553">
              <w:rPr>
                <w:i/>
              </w:rPr>
              <w:t xml:space="preserve"> </w:t>
            </w:r>
            <w:r w:rsidR="0041413A">
              <w:t xml:space="preserve">(Act) excludes the NMW from covering employees with disability, so special NMW1 is necessary </w:t>
            </w:r>
            <w:r w:rsidR="00C94C79">
              <w:rPr>
                <w:lang w:eastAsia="en-AU"/>
              </w:rPr>
              <w:t xml:space="preserve">to provide a minimum wage for employees whose disability does not affect their productive capacity. </w:t>
            </w:r>
          </w:p>
          <w:p w:rsidR="008D5B94" w:rsidRDefault="008D5B94" w:rsidP="00197CF3"/>
          <w:p w:rsidR="00C94C79" w:rsidRDefault="00F16E71" w:rsidP="00197CF3">
            <w:pPr>
              <w:rPr>
                <w:lang w:eastAsia="en-AU"/>
              </w:rPr>
            </w:pPr>
            <w:hyperlink r:id="rId10" w:history="1">
              <w:r w:rsidR="00525A6F" w:rsidRPr="0019530A">
                <w:rPr>
                  <w:rStyle w:val="Hyperlink"/>
                </w:rPr>
                <w:t>ACTU</w:t>
              </w:r>
            </w:hyperlink>
            <w:r w:rsidR="00525A6F">
              <w:t xml:space="preserve"> (p.</w:t>
            </w:r>
            <w:r w:rsidR="002B0A65">
              <w:t xml:space="preserve"> 42</w:t>
            </w:r>
            <w:r w:rsidR="00525A6F">
              <w:t>) submitted that “</w:t>
            </w:r>
            <w:r w:rsidR="00525A6F">
              <w:rPr>
                <w:lang w:eastAsia="en-AU"/>
              </w:rPr>
              <w:t>it is entirely inappropriate national policy</w:t>
            </w:r>
            <w:r w:rsidR="002B0A65">
              <w:rPr>
                <w:lang w:eastAsia="en-AU"/>
              </w:rPr>
              <w:t>”</w:t>
            </w:r>
            <w:r w:rsidR="00525A6F">
              <w:rPr>
                <w:lang w:eastAsia="en-AU"/>
              </w:rPr>
              <w:t xml:space="preserve"> to maintain</w:t>
            </w:r>
            <w:r w:rsidR="002B0A65">
              <w:rPr>
                <w:lang w:eastAsia="en-AU"/>
              </w:rPr>
              <w:t xml:space="preserve"> such</w:t>
            </w:r>
            <w:r w:rsidR="00525A6F">
              <w:rPr>
                <w:lang w:eastAsia="en-AU"/>
              </w:rPr>
              <w:t xml:space="preserve"> a separate minimum wage</w:t>
            </w:r>
            <w:r w:rsidR="002B0A65">
              <w:rPr>
                <w:lang w:eastAsia="en-AU"/>
              </w:rPr>
              <w:t>, which is “at odds with ordinary conceptions of fairness”, but resolution of this issue was a matter of l</w:t>
            </w:r>
            <w:r w:rsidR="0040331E">
              <w:rPr>
                <w:lang w:eastAsia="en-AU"/>
              </w:rPr>
              <w:t>egislative amendment and the Commission should continue with current practice of wage-setting special NMW1 at the same rate as the NMW</w:t>
            </w:r>
            <w:r w:rsidR="002B0A65">
              <w:rPr>
                <w:lang w:eastAsia="en-AU"/>
              </w:rPr>
              <w:t>.</w:t>
            </w:r>
          </w:p>
          <w:p w:rsidR="002B0A65" w:rsidRDefault="002B0A65" w:rsidP="00197CF3">
            <w:pPr>
              <w:rPr>
                <w:lang w:eastAsia="en-AU"/>
              </w:rPr>
            </w:pPr>
          </w:p>
          <w:p w:rsidR="000842BF" w:rsidRDefault="00F16E71" w:rsidP="00197CF3">
            <w:pPr>
              <w:rPr>
                <w:lang w:eastAsia="en-AU"/>
              </w:rPr>
            </w:pPr>
            <w:hyperlink r:id="rId11" w:history="1">
              <w:r w:rsidR="000842BF" w:rsidRPr="0019530A">
                <w:rPr>
                  <w:rStyle w:val="Hyperlink"/>
                  <w:lang w:eastAsia="en-AU"/>
                </w:rPr>
                <w:t>Ai Group</w:t>
              </w:r>
            </w:hyperlink>
            <w:r w:rsidR="000842BF">
              <w:rPr>
                <w:lang w:eastAsia="en-AU"/>
              </w:rPr>
              <w:t xml:space="preserve"> (p. 11) supported maintaining special NMW1. </w:t>
            </w:r>
          </w:p>
          <w:p w:rsidR="00431CEA" w:rsidRDefault="00431CEA" w:rsidP="00197CF3">
            <w:pPr>
              <w:rPr>
                <w:lang w:eastAsia="en-AU"/>
              </w:rPr>
            </w:pPr>
          </w:p>
          <w:p w:rsidR="00431CEA" w:rsidRDefault="00F16E71" w:rsidP="00197CF3">
            <w:pPr>
              <w:rPr>
                <w:lang w:eastAsia="en-AU"/>
              </w:rPr>
            </w:pPr>
            <w:hyperlink r:id="rId12" w:history="1">
              <w:r w:rsidR="00431CEA" w:rsidRPr="00BA1094">
                <w:rPr>
                  <w:rStyle w:val="Hyperlink"/>
                  <w:lang w:eastAsia="en-AU"/>
                </w:rPr>
                <w:t>ACOSS</w:t>
              </w:r>
            </w:hyperlink>
            <w:r w:rsidR="00431CEA">
              <w:rPr>
                <w:lang w:eastAsia="en-AU"/>
              </w:rPr>
              <w:t xml:space="preserve"> (p. 4) restated its position from previous reviews, that “it </w:t>
            </w:r>
            <w:r w:rsidR="00431CEA" w:rsidRPr="00AD29C4">
              <w:t>should not be necessary to set a separate minimum wage for people with disabilities whose wo</w:t>
            </w:r>
            <w:r w:rsidR="00431CEA">
              <w:t>rk capacity is assessed at 100%”, but acknowledged that this was a matter of legislative amendment rather than fall</w:t>
            </w:r>
            <w:r w:rsidR="005A188A">
              <w:t xml:space="preserve">ing within the Commission’s </w:t>
            </w:r>
            <w:r w:rsidR="00431CEA">
              <w:t>powers.</w:t>
            </w:r>
          </w:p>
          <w:p w:rsidR="002B0A65" w:rsidRDefault="002B0A65" w:rsidP="00197CF3"/>
          <w:p w:rsidR="00E8426C" w:rsidRDefault="00F16E71" w:rsidP="00197CF3">
            <w:pPr>
              <w:rPr>
                <w:lang w:eastAsia="en-AU"/>
              </w:rPr>
            </w:pPr>
            <w:hyperlink r:id="rId13" w:history="1">
              <w:r w:rsidR="00AB550C">
                <w:rPr>
                  <w:rStyle w:val="Hyperlink"/>
                </w:rPr>
                <w:t>ABI&amp;</w:t>
              </w:r>
              <w:r w:rsidR="00C16EA9" w:rsidRPr="00BA1094">
                <w:rPr>
                  <w:rStyle w:val="Hyperlink"/>
                </w:rPr>
                <w:t>NSWBC</w:t>
              </w:r>
            </w:hyperlink>
            <w:r w:rsidR="00C16EA9">
              <w:t xml:space="preserve"> (</w:t>
            </w:r>
            <w:proofErr w:type="spellStart"/>
            <w:r w:rsidR="00FA3D23">
              <w:t>para</w:t>
            </w:r>
            <w:proofErr w:type="spellEnd"/>
            <w:r w:rsidR="00FA3D23">
              <w:t>. 5.4</w:t>
            </w:r>
            <w:r w:rsidR="00C16EA9">
              <w:t xml:space="preserve">) considered </w:t>
            </w:r>
            <w:r w:rsidR="00C16EA9">
              <w:rPr>
                <w:lang w:eastAsia="en-AU"/>
              </w:rPr>
              <w:t>the interaction between sections 12, 294(1</w:t>
            </w:r>
            <w:proofErr w:type="gramStart"/>
            <w:r w:rsidR="00C16EA9">
              <w:rPr>
                <w:lang w:eastAsia="en-AU"/>
              </w:rPr>
              <w:t>)(</w:t>
            </w:r>
            <w:proofErr w:type="gramEnd"/>
            <w:r w:rsidR="00C16EA9">
              <w:rPr>
                <w:lang w:eastAsia="en-AU"/>
              </w:rPr>
              <w:t>b)(iii) and 294(3) of the Act, submitting that these sections compel the existence of special NMW1.</w:t>
            </w:r>
          </w:p>
          <w:p w:rsidR="00C16EA9" w:rsidRDefault="00C16EA9" w:rsidP="00197CF3"/>
          <w:p w:rsidR="007D3F76" w:rsidRDefault="00F16E71" w:rsidP="00197CF3">
            <w:hyperlink r:id="rId14" w:history="1">
              <w:r w:rsidR="007D3F76" w:rsidRPr="00BA1094">
                <w:rPr>
                  <w:rStyle w:val="Hyperlink"/>
                </w:rPr>
                <w:t>NDS</w:t>
              </w:r>
            </w:hyperlink>
            <w:r w:rsidR="007D3F76">
              <w:t xml:space="preserve"> (p. 2) submitted </w:t>
            </w:r>
            <w:r w:rsidR="007D3F76">
              <w:rPr>
                <w:lang w:eastAsia="en-AU"/>
              </w:rPr>
              <w:t>that special NMW1 is no longer required, and “</w:t>
            </w:r>
            <w:r w:rsidR="007D3F76" w:rsidRPr="00FA1237">
              <w:rPr>
                <w:lang w:val="en-US"/>
              </w:rPr>
              <w:t>recommends that Special NMW1 be removed from future National Wage Case decisions</w:t>
            </w:r>
            <w:r w:rsidR="007D3F76">
              <w:rPr>
                <w:lang w:val="en-US"/>
              </w:rPr>
              <w:t>.”</w:t>
            </w:r>
          </w:p>
          <w:p w:rsidR="00525A6F" w:rsidRPr="00525A6F" w:rsidRDefault="00525A6F" w:rsidP="00197CF3"/>
        </w:tc>
      </w:tr>
      <w:tr w:rsidR="00197CF3" w:rsidRPr="008D5B94" w:rsidTr="00EF287A">
        <w:tc>
          <w:tcPr>
            <w:tcW w:w="288" w:type="pct"/>
          </w:tcPr>
          <w:p w:rsidR="00197CF3" w:rsidRPr="008D5B94" w:rsidRDefault="00197CF3" w:rsidP="00EF287A">
            <w:pPr>
              <w:keepNext/>
              <w:keepLines/>
            </w:pPr>
            <w:r w:rsidRPr="008D5B94">
              <w:lastRenderedPageBreak/>
              <w:t>2.</w:t>
            </w:r>
          </w:p>
        </w:tc>
        <w:tc>
          <w:tcPr>
            <w:tcW w:w="1701" w:type="pct"/>
          </w:tcPr>
          <w:p w:rsidR="00D7633D" w:rsidRPr="001226DF" w:rsidRDefault="00D7633D" w:rsidP="00EF287A">
            <w:pPr>
              <w:keepNext/>
              <w:keepLines/>
              <w:rPr>
                <w:b/>
                <w:lang w:eastAsia="en-AU"/>
              </w:rPr>
            </w:pPr>
            <w:r w:rsidRPr="001226DF">
              <w:rPr>
                <w:b/>
                <w:lang w:eastAsia="en-AU"/>
              </w:rPr>
              <w:t xml:space="preserve">Do current wage rates provide adequate incentives for employees with disability to participate in the workforce? </w:t>
            </w:r>
          </w:p>
          <w:p w:rsidR="00197CF3" w:rsidRPr="001226DF" w:rsidRDefault="00197CF3" w:rsidP="00EF287A">
            <w:pPr>
              <w:keepNext/>
              <w:keepLines/>
            </w:pPr>
          </w:p>
        </w:tc>
        <w:tc>
          <w:tcPr>
            <w:tcW w:w="3011" w:type="pct"/>
          </w:tcPr>
          <w:p w:rsidR="00197CF3" w:rsidRPr="00BA1094" w:rsidRDefault="00F16E71" w:rsidP="00EF287A">
            <w:pPr>
              <w:keepNext/>
              <w:keepLines/>
              <w:rPr>
                <w:u w:val="single"/>
              </w:rPr>
            </w:pPr>
            <w:hyperlink r:id="rId15" w:history="1">
              <w:r w:rsidR="00BA1094" w:rsidRPr="0019530A">
                <w:rPr>
                  <w:rStyle w:val="Hyperlink"/>
                </w:rPr>
                <w:t>Australian Government</w:t>
              </w:r>
            </w:hyperlink>
            <w:r w:rsidR="00BA1094">
              <w:t xml:space="preserve"> (p</w:t>
            </w:r>
            <w:r w:rsidR="006C30EB">
              <w:t>p</w:t>
            </w:r>
            <w:r w:rsidR="00BA1094">
              <w:t xml:space="preserve">. </w:t>
            </w:r>
            <w:r w:rsidR="006C30EB">
              <w:t>8</w:t>
            </w:r>
            <w:r w:rsidR="00C630D6">
              <w:t>–9</w:t>
            </w:r>
            <w:r w:rsidR="00BA1094">
              <w:t xml:space="preserve">) </w:t>
            </w:r>
            <w:r w:rsidR="006C30EB">
              <w:rPr>
                <w:lang w:eastAsia="en-AU"/>
              </w:rPr>
              <w:t>submitted that the</w:t>
            </w:r>
            <w:r w:rsidR="005A188A">
              <w:rPr>
                <w:lang w:eastAsia="en-AU"/>
              </w:rPr>
              <w:t xml:space="preserve"> Supported Wage System</w:t>
            </w:r>
            <w:r w:rsidR="006C30EB">
              <w:rPr>
                <w:lang w:eastAsia="en-AU"/>
              </w:rPr>
              <w:t xml:space="preserve"> </w:t>
            </w:r>
            <w:r w:rsidR="005A188A">
              <w:rPr>
                <w:lang w:eastAsia="en-AU"/>
              </w:rPr>
              <w:t>(</w:t>
            </w:r>
            <w:r w:rsidR="006C30EB">
              <w:rPr>
                <w:lang w:eastAsia="en-AU"/>
              </w:rPr>
              <w:t>SWS</w:t>
            </w:r>
            <w:r w:rsidR="005A188A">
              <w:rPr>
                <w:lang w:eastAsia="en-AU"/>
              </w:rPr>
              <w:t>)</w:t>
            </w:r>
            <w:r w:rsidR="006C30EB">
              <w:rPr>
                <w:lang w:eastAsia="en-AU"/>
              </w:rPr>
              <w:t xml:space="preserve"> provided more favourable wage rates when compared to other types of income support (</w:t>
            </w:r>
            <w:proofErr w:type="spellStart"/>
            <w:r w:rsidR="006C30EB">
              <w:rPr>
                <w:lang w:eastAsia="en-AU"/>
              </w:rPr>
              <w:t>Newstart</w:t>
            </w:r>
            <w:proofErr w:type="spellEnd"/>
            <w:r w:rsidR="006C30EB">
              <w:rPr>
                <w:lang w:eastAsia="en-AU"/>
              </w:rPr>
              <w:t xml:space="preserve"> and Youth Allowance). They provided tables showing</w:t>
            </w:r>
            <w:r w:rsidR="005A188A">
              <w:rPr>
                <w:lang w:eastAsia="en-AU"/>
              </w:rPr>
              <w:t xml:space="preserve"> an increase in the number of SWS arrangements in recent years</w:t>
            </w:r>
            <w:r w:rsidR="006C30EB">
              <w:rPr>
                <w:lang w:eastAsia="en-AU"/>
              </w:rPr>
              <w:t>. They submitted</w:t>
            </w:r>
            <w:r w:rsidR="00BA1094">
              <w:rPr>
                <w:lang w:eastAsia="en-AU"/>
              </w:rPr>
              <w:t xml:space="preserve"> that</w:t>
            </w:r>
            <w:r w:rsidR="006C30EB">
              <w:rPr>
                <w:lang w:eastAsia="en-AU"/>
              </w:rPr>
              <w:t xml:space="preserve"> the Commission should not determine wages for people with disability to vary or offset incentives which flow from taper rates of governmental income support.</w:t>
            </w:r>
          </w:p>
          <w:p w:rsidR="00BA1094" w:rsidRDefault="00BA1094" w:rsidP="00EF287A">
            <w:pPr>
              <w:keepNext/>
              <w:keepLines/>
              <w:rPr>
                <w:lang w:eastAsia="en-AU"/>
              </w:rPr>
            </w:pPr>
          </w:p>
          <w:p w:rsidR="00BA1094" w:rsidRDefault="00F16E71" w:rsidP="00EF287A">
            <w:pPr>
              <w:keepNext/>
              <w:keepLines/>
            </w:pPr>
            <w:hyperlink r:id="rId16" w:history="1">
              <w:r w:rsidR="00BA1094" w:rsidRPr="0019530A">
                <w:rPr>
                  <w:rStyle w:val="Hyperlink"/>
                </w:rPr>
                <w:t>ACTU</w:t>
              </w:r>
            </w:hyperlink>
            <w:r w:rsidR="00BA1094">
              <w:t xml:space="preserve"> (p</w:t>
            </w:r>
            <w:r w:rsidR="00A62BB0">
              <w:t>p</w:t>
            </w:r>
            <w:r w:rsidR="00BA1094">
              <w:t xml:space="preserve">. </w:t>
            </w:r>
            <w:r w:rsidR="00A62BB0">
              <w:t>45–46</w:t>
            </w:r>
            <w:r w:rsidR="00BA1094">
              <w:t>)</w:t>
            </w:r>
            <w:r w:rsidR="00A62BB0">
              <w:t xml:space="preserve"> submitted that the Commission should exercise caution when dealing with special NMW1, especially the SWS component, which came about from extensive research, consultation and consensus. </w:t>
            </w:r>
            <w:r w:rsidR="005A188A">
              <w:t>The ACTU suggested creating a new modern a</w:t>
            </w:r>
            <w:r w:rsidR="00A62BB0">
              <w:t>ward targeting occupations of employees covered by SWS, but only after matter AM2013/30 has been decided.</w:t>
            </w:r>
          </w:p>
          <w:p w:rsidR="00BA1094" w:rsidRDefault="00BA1094" w:rsidP="00EF287A">
            <w:pPr>
              <w:keepNext/>
              <w:keepLines/>
            </w:pPr>
          </w:p>
          <w:p w:rsidR="00BA1094" w:rsidRDefault="00F16E71" w:rsidP="00EF287A">
            <w:pPr>
              <w:keepNext/>
              <w:keepLines/>
              <w:rPr>
                <w:lang w:eastAsia="en-AU"/>
              </w:rPr>
            </w:pPr>
            <w:hyperlink r:id="rId17" w:history="1">
              <w:r w:rsidR="00BA1094" w:rsidRPr="0019530A">
                <w:rPr>
                  <w:rStyle w:val="Hyperlink"/>
                  <w:lang w:eastAsia="en-AU"/>
                </w:rPr>
                <w:t>Ai Group</w:t>
              </w:r>
            </w:hyperlink>
            <w:r w:rsidR="00BA1094">
              <w:rPr>
                <w:lang w:eastAsia="en-AU"/>
              </w:rPr>
              <w:t xml:space="preserve"> (p. </w:t>
            </w:r>
            <w:r w:rsidR="00C536BA">
              <w:rPr>
                <w:lang w:eastAsia="en-AU"/>
              </w:rPr>
              <w:t>11</w:t>
            </w:r>
            <w:r w:rsidR="00BA1094">
              <w:rPr>
                <w:lang w:eastAsia="en-AU"/>
              </w:rPr>
              <w:t>)</w:t>
            </w:r>
            <w:r w:rsidR="00C536BA">
              <w:rPr>
                <w:lang w:eastAsia="en-AU"/>
              </w:rPr>
              <w:t xml:space="preserve"> submitted that </w:t>
            </w:r>
            <w:r w:rsidR="00C536BA" w:rsidRPr="007C3B77">
              <w:t xml:space="preserve">higher wage rates would </w:t>
            </w:r>
            <w:r w:rsidR="00C536BA">
              <w:t>“</w:t>
            </w:r>
            <w:r w:rsidR="00C536BA" w:rsidRPr="007C3B77">
              <w:t>most likely lead to reduced workpla</w:t>
            </w:r>
            <w:r w:rsidR="00C536BA">
              <w:t>ce participation because the result would be</w:t>
            </w:r>
            <w:r w:rsidR="00C536BA" w:rsidRPr="007C3B77">
              <w:t xml:space="preserve"> </w:t>
            </w:r>
            <w:r w:rsidR="00C536BA">
              <w:t>fewer employment opportunities.”</w:t>
            </w:r>
          </w:p>
          <w:p w:rsidR="00BA1094" w:rsidRDefault="00BA1094" w:rsidP="00EF287A">
            <w:pPr>
              <w:keepNext/>
              <w:keepLines/>
            </w:pPr>
          </w:p>
          <w:p w:rsidR="00BA1094" w:rsidRDefault="00F16E71" w:rsidP="00EF287A">
            <w:pPr>
              <w:keepNext/>
              <w:keepLines/>
              <w:rPr>
                <w:lang w:eastAsia="en-AU"/>
              </w:rPr>
            </w:pPr>
            <w:hyperlink r:id="rId18" w:history="1">
              <w:r w:rsidR="00AB550C">
                <w:rPr>
                  <w:rStyle w:val="Hyperlink"/>
                </w:rPr>
                <w:t>ABI&amp;</w:t>
              </w:r>
              <w:r w:rsidR="00AB550C" w:rsidRPr="00BA1094">
                <w:rPr>
                  <w:rStyle w:val="Hyperlink"/>
                </w:rPr>
                <w:t>NSWBC</w:t>
              </w:r>
            </w:hyperlink>
            <w:r w:rsidR="00BA1094">
              <w:t xml:space="preserve"> (</w:t>
            </w:r>
            <w:proofErr w:type="spellStart"/>
            <w:r w:rsidR="00BA1094">
              <w:t>para</w:t>
            </w:r>
            <w:proofErr w:type="spellEnd"/>
            <w:r w:rsidR="00BA1094">
              <w:t xml:space="preserve">. </w:t>
            </w:r>
            <w:r w:rsidR="00AA4546">
              <w:t>5.5</w:t>
            </w:r>
            <w:r w:rsidR="00BA1094">
              <w:t xml:space="preserve">) </w:t>
            </w:r>
            <w:r w:rsidR="00AA4546">
              <w:rPr>
                <w:lang w:eastAsia="en-AU"/>
              </w:rPr>
              <w:t>submitted that current wage rates were “adequately set for employees with disability to participate in the workforce</w:t>
            </w:r>
            <w:r w:rsidR="005A188A">
              <w:rPr>
                <w:lang w:eastAsia="en-AU"/>
              </w:rPr>
              <w:t>.</w:t>
            </w:r>
            <w:r w:rsidR="00AA4546">
              <w:rPr>
                <w:lang w:eastAsia="en-AU"/>
              </w:rPr>
              <w:t>”</w:t>
            </w:r>
          </w:p>
          <w:p w:rsidR="00BA1094" w:rsidRDefault="00BA1094" w:rsidP="00EF287A">
            <w:pPr>
              <w:keepNext/>
              <w:keepLines/>
            </w:pPr>
          </w:p>
          <w:p w:rsidR="00BA1094" w:rsidRDefault="00F16E71" w:rsidP="00EF287A">
            <w:pPr>
              <w:keepNext/>
              <w:keepLines/>
              <w:rPr>
                <w:color w:val="000000"/>
                <w:lang w:val="en-US"/>
              </w:rPr>
            </w:pPr>
            <w:hyperlink r:id="rId19" w:history="1">
              <w:r w:rsidR="00BA1094" w:rsidRPr="00BA1094">
                <w:rPr>
                  <w:rStyle w:val="Hyperlink"/>
                </w:rPr>
                <w:t>NDS</w:t>
              </w:r>
            </w:hyperlink>
            <w:r w:rsidR="00BA1094">
              <w:t xml:space="preserve"> (p. </w:t>
            </w:r>
            <w:r w:rsidR="008C72F9">
              <w:t>2</w:t>
            </w:r>
            <w:r w:rsidR="00BA1094">
              <w:t xml:space="preserve">) </w:t>
            </w:r>
            <w:proofErr w:type="spellStart"/>
            <w:r w:rsidR="005A188A">
              <w:rPr>
                <w:color w:val="000000"/>
                <w:lang w:val="en-US"/>
              </w:rPr>
              <w:t>submitted</w:t>
            </w:r>
            <w:r w:rsidR="008C72F9" w:rsidRPr="00302093">
              <w:rPr>
                <w:color w:val="000000"/>
                <w:lang w:val="en-US"/>
              </w:rPr>
              <w:t>es</w:t>
            </w:r>
            <w:proofErr w:type="spellEnd"/>
            <w:r w:rsidR="008C72F9" w:rsidRPr="00302093">
              <w:rPr>
                <w:color w:val="000000"/>
                <w:lang w:val="en-US"/>
              </w:rPr>
              <w:t xml:space="preserve"> may be receiving the equivalent of the NMW or greater.”</w:t>
            </w:r>
          </w:p>
          <w:p w:rsidR="004153E8" w:rsidRPr="008D5B94" w:rsidRDefault="004153E8" w:rsidP="00EF287A">
            <w:pPr>
              <w:keepNext/>
              <w:keepLines/>
            </w:pPr>
          </w:p>
        </w:tc>
      </w:tr>
      <w:tr w:rsidR="00197CF3" w:rsidRPr="008D5B94" w:rsidTr="00EF287A">
        <w:tc>
          <w:tcPr>
            <w:tcW w:w="288" w:type="pct"/>
          </w:tcPr>
          <w:p w:rsidR="00197CF3" w:rsidRPr="008D5B94" w:rsidRDefault="00197CF3" w:rsidP="00381DD2">
            <w:r w:rsidRPr="008D5B94">
              <w:t>3.</w:t>
            </w:r>
          </w:p>
        </w:tc>
        <w:tc>
          <w:tcPr>
            <w:tcW w:w="1701" w:type="pct"/>
          </w:tcPr>
          <w:p w:rsidR="00197CF3" w:rsidRPr="001226DF" w:rsidRDefault="00D7633D" w:rsidP="00381DD2">
            <w:r w:rsidRPr="001226DF">
              <w:rPr>
                <w:b/>
                <w:lang w:eastAsia="en-AU"/>
              </w:rPr>
              <w:t>Would any increases to wages for employees with disability impact employees’ access to employment?</w:t>
            </w:r>
          </w:p>
        </w:tc>
        <w:tc>
          <w:tcPr>
            <w:tcW w:w="3011" w:type="pct"/>
          </w:tcPr>
          <w:p w:rsidR="00BA1094" w:rsidRDefault="00F16E71" w:rsidP="00BA1094">
            <w:pPr>
              <w:rPr>
                <w:lang w:eastAsia="en-AU"/>
              </w:rPr>
            </w:pPr>
            <w:hyperlink r:id="rId20" w:history="1">
              <w:r w:rsidR="00BA1094" w:rsidRPr="0019530A">
                <w:rPr>
                  <w:rStyle w:val="Hyperlink"/>
                </w:rPr>
                <w:t>Australian Government</w:t>
              </w:r>
            </w:hyperlink>
            <w:r w:rsidR="00BA1094">
              <w:t xml:space="preserve"> (p.</w:t>
            </w:r>
            <w:r w:rsidR="00C45370">
              <w:t xml:space="preserve"> 10</w:t>
            </w:r>
            <w:r w:rsidR="00BA1094">
              <w:t xml:space="preserve">) </w:t>
            </w:r>
            <w:r w:rsidR="00C45370">
              <w:t>recommended that the Panel should carefully consider the potential risks to employment opportunities for people with disability in making any revisions to wage arrangements.</w:t>
            </w:r>
          </w:p>
          <w:p w:rsidR="00BA1094" w:rsidRDefault="00BA1094" w:rsidP="00BA1094">
            <w:pPr>
              <w:rPr>
                <w:lang w:eastAsia="en-AU"/>
              </w:rPr>
            </w:pPr>
          </w:p>
          <w:p w:rsidR="00BA1094" w:rsidRDefault="00F16E71" w:rsidP="00BA1094">
            <w:hyperlink r:id="rId21" w:history="1">
              <w:r w:rsidR="00BA1094" w:rsidRPr="0019530A">
                <w:rPr>
                  <w:rStyle w:val="Hyperlink"/>
                </w:rPr>
                <w:t>ACTU</w:t>
              </w:r>
            </w:hyperlink>
            <w:r w:rsidR="00BA1094">
              <w:t xml:space="preserve"> (p. </w:t>
            </w:r>
            <w:r w:rsidR="00571F52">
              <w:t>47</w:t>
            </w:r>
            <w:r w:rsidR="00BA1094">
              <w:t>)</w:t>
            </w:r>
            <w:r w:rsidR="00571F52">
              <w:t xml:space="preserve"> note</w:t>
            </w:r>
            <w:r w:rsidR="005A188A">
              <w:t>d</w:t>
            </w:r>
            <w:r w:rsidR="00571F52">
              <w:t xml:space="preserve"> that the nature and extent of the labour market for people with disability is different to the broader market, and recommended that it was “inappropriate to approach the task on the basis that common assumptions are applicable.”</w:t>
            </w:r>
          </w:p>
          <w:p w:rsidR="00BA1094" w:rsidRDefault="00BA1094" w:rsidP="00BA1094"/>
          <w:p w:rsidR="00BA1094" w:rsidRDefault="00F16E71" w:rsidP="00BA1094">
            <w:pPr>
              <w:rPr>
                <w:lang w:eastAsia="en-AU"/>
              </w:rPr>
            </w:pPr>
            <w:hyperlink r:id="rId22" w:history="1">
              <w:r w:rsidR="00BA1094" w:rsidRPr="0019530A">
                <w:rPr>
                  <w:rStyle w:val="Hyperlink"/>
                  <w:lang w:eastAsia="en-AU"/>
                </w:rPr>
                <w:t>Ai Group</w:t>
              </w:r>
            </w:hyperlink>
            <w:r w:rsidR="00BA1094">
              <w:rPr>
                <w:lang w:eastAsia="en-AU"/>
              </w:rPr>
              <w:t xml:space="preserve"> (p. </w:t>
            </w:r>
            <w:r w:rsidR="00F61C77">
              <w:rPr>
                <w:lang w:eastAsia="en-AU"/>
              </w:rPr>
              <w:t>11</w:t>
            </w:r>
            <w:r w:rsidR="00BA1094">
              <w:rPr>
                <w:lang w:eastAsia="en-AU"/>
              </w:rPr>
              <w:t>)</w:t>
            </w:r>
            <w:r w:rsidR="00047497">
              <w:rPr>
                <w:lang w:eastAsia="en-AU"/>
              </w:rPr>
              <w:t xml:space="preserve"> </w:t>
            </w:r>
            <w:r w:rsidR="00F61C77">
              <w:t>submitted that increases to wages for employees with disability “would adversely impact employees’ access to employment</w:t>
            </w:r>
            <w:r w:rsidR="008F0CE8">
              <w:t>.</w:t>
            </w:r>
            <w:r w:rsidR="00F61C77">
              <w:t>”</w:t>
            </w:r>
          </w:p>
          <w:p w:rsidR="00BA1094" w:rsidRDefault="00BA1094" w:rsidP="00BA1094"/>
          <w:p w:rsidR="00BA1094" w:rsidRDefault="00F16E71" w:rsidP="008F0CE8">
            <w:pPr>
              <w:tabs>
                <w:tab w:val="center" w:pos="3992"/>
              </w:tabs>
              <w:rPr>
                <w:lang w:eastAsia="en-AU"/>
              </w:rPr>
            </w:pPr>
            <w:hyperlink r:id="rId23" w:history="1">
              <w:r w:rsidR="00AB550C">
                <w:rPr>
                  <w:rStyle w:val="Hyperlink"/>
                </w:rPr>
                <w:t>ABI&amp;</w:t>
              </w:r>
              <w:r w:rsidR="00AB550C" w:rsidRPr="00BA1094">
                <w:rPr>
                  <w:rStyle w:val="Hyperlink"/>
                </w:rPr>
                <w:t>NSWBC</w:t>
              </w:r>
            </w:hyperlink>
            <w:r w:rsidR="00BA1094">
              <w:t xml:space="preserve"> (</w:t>
            </w:r>
            <w:proofErr w:type="spellStart"/>
            <w:r w:rsidR="00BA1094">
              <w:t>para</w:t>
            </w:r>
            <w:proofErr w:type="spellEnd"/>
            <w:r w:rsidR="00BA1094">
              <w:t xml:space="preserve">. </w:t>
            </w:r>
            <w:r w:rsidR="008F0CE8">
              <w:t>5.6</w:t>
            </w:r>
            <w:r w:rsidR="00BA1094">
              <w:t xml:space="preserve">) </w:t>
            </w:r>
            <w:r w:rsidR="008F0CE8">
              <w:rPr>
                <w:lang w:eastAsia="en-AU"/>
              </w:rPr>
              <w:t>submitted that, having consulted with its members on the issue, “an increase to wages will have a deleterious effect on the attractiveness of employees to employers regardless of their capacity.”</w:t>
            </w:r>
            <w:r w:rsidR="008F0CE8">
              <w:tab/>
            </w:r>
          </w:p>
          <w:p w:rsidR="00BA1094" w:rsidRDefault="00BA1094" w:rsidP="00BA1094"/>
          <w:p w:rsidR="00BD5307" w:rsidRDefault="00F16E71" w:rsidP="00BA1094">
            <w:pPr>
              <w:rPr>
                <w:color w:val="182B49"/>
                <w:u w:val="single"/>
              </w:rPr>
            </w:pPr>
            <w:hyperlink r:id="rId24" w:history="1">
              <w:r w:rsidR="00BA1094" w:rsidRPr="00BA1094">
                <w:rPr>
                  <w:rStyle w:val="Hyperlink"/>
                </w:rPr>
                <w:t>NDS</w:t>
              </w:r>
            </w:hyperlink>
            <w:r w:rsidR="00BA1094">
              <w:t xml:space="preserve"> (p. </w:t>
            </w:r>
            <w:r w:rsidR="008F0CE8">
              <w:t>3</w:t>
            </w:r>
            <w:r w:rsidR="00BA1094">
              <w:t>)</w:t>
            </w:r>
            <w:r w:rsidR="008F0CE8">
              <w:t xml:space="preserve"> </w:t>
            </w:r>
            <w:r w:rsidR="005A188A">
              <w:t>submitted</w:t>
            </w:r>
            <w:r w:rsidR="005A188A">
              <w:rPr>
                <w:lang w:eastAsia="en-AU"/>
              </w:rPr>
              <w:t xml:space="preserve"> that wage increases “would simply price employees and job seekers with disability out of an already difficult labour market.”</w:t>
            </w:r>
          </w:p>
          <w:p w:rsidR="00BD5307" w:rsidRPr="008D5B94" w:rsidRDefault="00BD5307" w:rsidP="00AE2191"/>
        </w:tc>
      </w:tr>
      <w:tr w:rsidR="00197CF3" w:rsidRPr="00A350D1" w:rsidTr="00EF287A">
        <w:trPr>
          <w:trHeight w:val="1435"/>
        </w:trPr>
        <w:tc>
          <w:tcPr>
            <w:tcW w:w="288" w:type="pct"/>
          </w:tcPr>
          <w:p w:rsidR="00197CF3" w:rsidRPr="00A350D1" w:rsidRDefault="00FF3BB3" w:rsidP="004F0F59">
            <w:r>
              <w:lastRenderedPageBreak/>
              <w:t>4</w:t>
            </w:r>
            <w:r w:rsidR="00197CF3">
              <w:t>.</w:t>
            </w:r>
          </w:p>
        </w:tc>
        <w:tc>
          <w:tcPr>
            <w:tcW w:w="1701" w:type="pct"/>
          </w:tcPr>
          <w:p w:rsidR="00D7633D" w:rsidRPr="001226DF" w:rsidRDefault="00D7633D" w:rsidP="00D7633D">
            <w:pPr>
              <w:rPr>
                <w:b/>
                <w:lang w:eastAsia="en-AU"/>
              </w:rPr>
            </w:pPr>
            <w:r w:rsidRPr="001226DF">
              <w:rPr>
                <w:b/>
                <w:lang w:eastAsia="en-AU"/>
              </w:rPr>
              <w:t xml:space="preserve">Is it still appropriate to set the minimum wage for SWS employees at the income-free DSP threshold amount? If not, how should the threshold for these wages set? </w:t>
            </w:r>
          </w:p>
          <w:p w:rsidR="00FF3BB3" w:rsidRPr="001226DF" w:rsidRDefault="00FF3BB3" w:rsidP="00D7633D">
            <w:pPr>
              <w:keepNext/>
              <w:rPr>
                <w:b/>
              </w:rPr>
            </w:pPr>
          </w:p>
          <w:p w:rsidR="00FF3BB3" w:rsidRPr="001226DF" w:rsidRDefault="00FF3BB3" w:rsidP="00FF3BB3">
            <w:pPr>
              <w:keepNext/>
              <w:rPr>
                <w:b/>
              </w:rPr>
            </w:pPr>
          </w:p>
          <w:p w:rsidR="00197CF3" w:rsidRPr="001226DF" w:rsidRDefault="00197CF3" w:rsidP="00FF3BB3">
            <w:pPr>
              <w:rPr>
                <w:b/>
              </w:rPr>
            </w:pPr>
          </w:p>
        </w:tc>
        <w:tc>
          <w:tcPr>
            <w:tcW w:w="3011" w:type="pct"/>
          </w:tcPr>
          <w:p w:rsidR="00BA1094" w:rsidRDefault="00F16E71" w:rsidP="00BA1094">
            <w:pPr>
              <w:rPr>
                <w:lang w:eastAsia="en-AU"/>
              </w:rPr>
            </w:pPr>
            <w:hyperlink r:id="rId25" w:history="1">
              <w:r w:rsidR="00BA1094" w:rsidRPr="0019530A">
                <w:rPr>
                  <w:rStyle w:val="Hyperlink"/>
                </w:rPr>
                <w:t>Australian Government</w:t>
              </w:r>
            </w:hyperlink>
            <w:r w:rsidR="00BA1094">
              <w:t xml:space="preserve"> (p. </w:t>
            </w:r>
            <w:r w:rsidR="00067ADD">
              <w:t>11</w:t>
            </w:r>
            <w:r w:rsidR="00BA1094">
              <w:t xml:space="preserve">) </w:t>
            </w:r>
            <w:r w:rsidR="00067ADD">
              <w:t>submitted data on average S</w:t>
            </w:r>
            <w:r w:rsidR="00683AF7">
              <w:t>WS wage and hours, and noted</w:t>
            </w:r>
            <w:r w:rsidR="00067ADD">
              <w:t xml:space="preserve"> that “most people employed on SWS are having their DSP</w:t>
            </w:r>
            <w:r w:rsidR="003B3838">
              <w:t xml:space="preserve"> [Disability Support Pension]</w:t>
            </w:r>
            <w:r w:rsidR="00067ADD">
              <w:t xml:space="preserve"> reduced by some portion, and continue to partici</w:t>
            </w:r>
            <w:r w:rsidR="00683AF7">
              <w:t xml:space="preserve">pate in the workplace.” </w:t>
            </w:r>
            <w:r w:rsidR="00E02A97">
              <w:t>The submission suggested</w:t>
            </w:r>
            <w:r w:rsidR="00612819">
              <w:t xml:space="preserve"> two advantages of this method of wage setting: 1. It ensures that people on SWS have as a minimum a gross income of their maximum achievable DSP rate plus 100% of their SWS earnings, and 2. It avoids interactions between government policy on how DSP should be adjusted for other income, and NMW policy for people on SWS.</w:t>
            </w:r>
          </w:p>
          <w:p w:rsidR="00BA1094" w:rsidRDefault="00BA1094" w:rsidP="00BA1094">
            <w:pPr>
              <w:rPr>
                <w:lang w:eastAsia="en-AU"/>
              </w:rPr>
            </w:pPr>
          </w:p>
          <w:p w:rsidR="00BA1094" w:rsidRDefault="00F16E71" w:rsidP="00BA1094">
            <w:hyperlink r:id="rId26" w:history="1">
              <w:r w:rsidR="00BA1094" w:rsidRPr="0019530A">
                <w:rPr>
                  <w:rStyle w:val="Hyperlink"/>
                </w:rPr>
                <w:t>ACTU</w:t>
              </w:r>
            </w:hyperlink>
            <w:r w:rsidR="00BA1094">
              <w:t xml:space="preserve"> (p. </w:t>
            </w:r>
            <w:r w:rsidR="00284B8A">
              <w:t>48</w:t>
            </w:r>
            <w:r w:rsidR="00BA1094">
              <w:t>)</w:t>
            </w:r>
            <w:r w:rsidR="00612819">
              <w:t xml:space="preserve"> submitted that setting the SWS payment rate in this manner treats wages “as a welfare supplement”, makes the system “subject to gaming”, </w:t>
            </w:r>
            <w:proofErr w:type="gramStart"/>
            <w:r w:rsidR="00612819">
              <w:t>disadvantages</w:t>
            </w:r>
            <w:proofErr w:type="gramEnd"/>
            <w:r w:rsidR="00612819">
              <w:t xml:space="preserve"> workers who only have capacity to work a few hours, as well as disadvantaging workers on short term engagements of less than 12 weeks who may not be assessed. </w:t>
            </w:r>
          </w:p>
          <w:p w:rsidR="00BA1094" w:rsidRDefault="00BA1094" w:rsidP="00BA1094"/>
          <w:p w:rsidR="00BA1094" w:rsidRDefault="00F16E71" w:rsidP="00BA1094">
            <w:pPr>
              <w:rPr>
                <w:lang w:eastAsia="en-AU"/>
              </w:rPr>
            </w:pPr>
            <w:hyperlink r:id="rId27" w:history="1">
              <w:r w:rsidR="00BA1094" w:rsidRPr="0019530A">
                <w:rPr>
                  <w:rStyle w:val="Hyperlink"/>
                  <w:lang w:eastAsia="en-AU"/>
                </w:rPr>
                <w:t>Ai Group</w:t>
              </w:r>
            </w:hyperlink>
            <w:r w:rsidR="00BA1094">
              <w:rPr>
                <w:lang w:eastAsia="en-AU"/>
              </w:rPr>
              <w:t xml:space="preserve"> (p. </w:t>
            </w:r>
            <w:r w:rsidR="008E55BD">
              <w:rPr>
                <w:lang w:eastAsia="en-AU"/>
              </w:rPr>
              <w:t>60</w:t>
            </w:r>
            <w:r w:rsidR="00BA1094">
              <w:rPr>
                <w:lang w:eastAsia="en-AU"/>
              </w:rPr>
              <w:t>)</w:t>
            </w:r>
            <w:r w:rsidR="008E55BD">
              <w:rPr>
                <w:lang w:eastAsia="en-AU"/>
              </w:rPr>
              <w:t xml:space="preserve"> </w:t>
            </w:r>
            <w:r w:rsidR="008E55BD" w:rsidRPr="00242F74">
              <w:rPr>
                <w:lang w:eastAsia="en-AU"/>
              </w:rPr>
              <w:t>submitted that they have not identified any difficulties with the current arrangements of setting the minimum wage for SWS employees at the income-free DSP threshold.</w:t>
            </w:r>
          </w:p>
          <w:p w:rsidR="00BA1094" w:rsidRDefault="00BA1094" w:rsidP="00BA1094">
            <w:pPr>
              <w:rPr>
                <w:lang w:eastAsia="en-AU"/>
              </w:rPr>
            </w:pPr>
          </w:p>
          <w:p w:rsidR="00BA1094" w:rsidRDefault="00F16E71" w:rsidP="00BA1094">
            <w:pPr>
              <w:rPr>
                <w:lang w:eastAsia="en-AU"/>
              </w:rPr>
            </w:pPr>
            <w:hyperlink r:id="rId28" w:history="1">
              <w:r w:rsidR="00BA1094" w:rsidRPr="00BA1094">
                <w:rPr>
                  <w:rStyle w:val="Hyperlink"/>
                  <w:lang w:eastAsia="en-AU"/>
                </w:rPr>
                <w:t>ACOSS</w:t>
              </w:r>
            </w:hyperlink>
            <w:r w:rsidR="00BA1094">
              <w:rPr>
                <w:lang w:eastAsia="en-AU"/>
              </w:rPr>
              <w:t xml:space="preserve"> (p. </w:t>
            </w:r>
            <w:r w:rsidR="00284B8A">
              <w:rPr>
                <w:lang w:eastAsia="en-AU"/>
              </w:rPr>
              <w:t>68</w:t>
            </w:r>
            <w:r w:rsidR="00BA1094">
              <w:rPr>
                <w:lang w:eastAsia="en-AU"/>
              </w:rPr>
              <w:t xml:space="preserve">) </w:t>
            </w:r>
            <w:r w:rsidR="00284B8A" w:rsidRPr="00CB4F80">
              <w:rPr>
                <w:color w:val="000000"/>
                <w:lang w:eastAsia="en-AU"/>
              </w:rPr>
              <w:t xml:space="preserve">restated its position from previous </w:t>
            </w:r>
            <w:r w:rsidR="00284B8A">
              <w:rPr>
                <w:color w:val="000000"/>
                <w:lang w:eastAsia="en-AU"/>
              </w:rPr>
              <w:t>r</w:t>
            </w:r>
            <w:r w:rsidR="00284B8A" w:rsidRPr="00CB4F80">
              <w:rPr>
                <w:color w:val="000000"/>
                <w:lang w:eastAsia="en-AU"/>
              </w:rPr>
              <w:t>eviews</w:t>
            </w:r>
            <w:r w:rsidR="00284B8A" w:rsidRPr="00D61B2A">
              <w:rPr>
                <w:lang w:eastAsia="en-AU"/>
              </w:rPr>
              <w:t xml:space="preserve"> that </w:t>
            </w:r>
            <w:r w:rsidR="00284B8A" w:rsidRPr="00165140">
              <w:rPr>
                <w:lang w:eastAsia="en-AU"/>
              </w:rPr>
              <w:t>the minimum wage rate under the SWS for employees with disability was too low</w:t>
            </w:r>
            <w:r w:rsidR="00284B8A">
              <w:rPr>
                <w:lang w:eastAsia="en-AU"/>
              </w:rPr>
              <w:t xml:space="preserve">, and proposed setting </w:t>
            </w:r>
            <w:r w:rsidR="00284B8A">
              <w:rPr>
                <w:lang w:eastAsia="en-AU"/>
              </w:rPr>
              <w:lastRenderedPageBreak/>
              <w:t xml:space="preserve">the minimum </w:t>
            </w:r>
            <w:r w:rsidR="004121A5">
              <w:rPr>
                <w:lang w:eastAsia="en-AU"/>
              </w:rPr>
              <w:t xml:space="preserve">wage </w:t>
            </w:r>
            <w:r w:rsidR="00284B8A">
              <w:rPr>
                <w:lang w:eastAsia="en-AU"/>
              </w:rPr>
              <w:t>rate for special NMW2 as a percentage of the hourly NMW</w:t>
            </w:r>
            <w:r w:rsidR="00E02A97">
              <w:rPr>
                <w:lang w:eastAsia="en-AU"/>
              </w:rPr>
              <w:t>.</w:t>
            </w:r>
          </w:p>
          <w:p w:rsidR="00BA1094" w:rsidRDefault="00BA1094" w:rsidP="00BA1094"/>
          <w:p w:rsidR="00BA1094" w:rsidRDefault="00F16E71" w:rsidP="00BA1094">
            <w:pPr>
              <w:rPr>
                <w:lang w:eastAsia="en-AU"/>
              </w:rPr>
            </w:pPr>
            <w:hyperlink r:id="rId29" w:history="1">
              <w:r w:rsidR="00AB550C">
                <w:rPr>
                  <w:rStyle w:val="Hyperlink"/>
                </w:rPr>
                <w:t>ABI&amp;</w:t>
              </w:r>
              <w:r w:rsidR="00AB550C" w:rsidRPr="00BA1094">
                <w:rPr>
                  <w:rStyle w:val="Hyperlink"/>
                </w:rPr>
                <w:t>NSWBC</w:t>
              </w:r>
            </w:hyperlink>
            <w:r w:rsidR="00BA1094">
              <w:t xml:space="preserve"> (</w:t>
            </w:r>
            <w:proofErr w:type="spellStart"/>
            <w:r w:rsidR="00BA1094">
              <w:t>para</w:t>
            </w:r>
            <w:proofErr w:type="spellEnd"/>
            <w:r w:rsidR="00BA1094">
              <w:t xml:space="preserve">. </w:t>
            </w:r>
            <w:r w:rsidR="008E55BD">
              <w:t>5.8</w:t>
            </w:r>
            <w:r w:rsidR="00E02A97">
              <w:t>)</w:t>
            </w:r>
            <w:r w:rsidR="008E55BD" w:rsidRPr="00242F74">
              <w:rPr>
                <w:lang w:eastAsia="en-AU"/>
              </w:rPr>
              <w:t xml:space="preserve"> submitted that “</w:t>
            </w:r>
            <w:r w:rsidR="008E55BD" w:rsidRPr="00242F74">
              <w:t xml:space="preserve">having regard to the maintenance of employment opportunities for employees with a disability, </w:t>
            </w:r>
            <w:r w:rsidR="008E55BD" w:rsidRPr="00242F74">
              <w:rPr>
                <w:lang w:eastAsia="en-AU"/>
              </w:rPr>
              <w:t>the minimum wage for SWS employees should remain at the income-free DS</w:t>
            </w:r>
            <w:r w:rsidR="008E55BD">
              <w:rPr>
                <w:lang w:eastAsia="en-AU"/>
              </w:rPr>
              <w:t>P</w:t>
            </w:r>
            <w:r w:rsidR="008E55BD" w:rsidRPr="00242F74">
              <w:rPr>
                <w:lang w:eastAsia="en-AU"/>
              </w:rPr>
              <w:t xml:space="preserve"> threshold</w:t>
            </w:r>
            <w:r w:rsidR="008E55BD">
              <w:rPr>
                <w:lang w:eastAsia="en-AU"/>
              </w:rPr>
              <w:t xml:space="preserve"> amount</w:t>
            </w:r>
            <w:r w:rsidR="008E55BD" w:rsidRPr="00242F74">
              <w:rPr>
                <w:lang w:eastAsia="en-AU"/>
              </w:rPr>
              <w:t>.</w:t>
            </w:r>
            <w:r w:rsidR="008E55BD">
              <w:rPr>
                <w:lang w:eastAsia="en-AU"/>
              </w:rPr>
              <w:t>”</w:t>
            </w:r>
          </w:p>
          <w:p w:rsidR="00BA1094" w:rsidRDefault="00BA1094" w:rsidP="00BA1094"/>
          <w:p w:rsidR="008A3F7E" w:rsidRDefault="00F16E71" w:rsidP="00BA1094">
            <w:hyperlink r:id="rId30" w:history="1">
              <w:r w:rsidR="00BA1094" w:rsidRPr="00BA1094">
                <w:rPr>
                  <w:rStyle w:val="Hyperlink"/>
                </w:rPr>
                <w:t>NDS</w:t>
              </w:r>
            </w:hyperlink>
            <w:r w:rsidR="00BA1094">
              <w:t xml:space="preserve"> (p. </w:t>
            </w:r>
            <w:r w:rsidR="00723858">
              <w:t>4</w:t>
            </w:r>
            <w:r w:rsidR="00BA1094">
              <w:t>)</w:t>
            </w:r>
            <w:r w:rsidR="00723858">
              <w:t xml:space="preserve"> </w:t>
            </w:r>
            <w:r w:rsidR="00723858">
              <w:rPr>
                <w:lang w:val="en-US"/>
              </w:rPr>
              <w:t>submitted that income supplementation for higher costs of living associated with disability was not a wage setting issue, but an issue more appropriately addressed through government social policy; and recommended no increase to the minimum wage under the SWS.</w:t>
            </w:r>
          </w:p>
          <w:p w:rsidR="00723858" w:rsidRPr="00D93410" w:rsidRDefault="00723858" w:rsidP="00BA1094">
            <w:pPr>
              <w:rPr>
                <w:lang w:val="en-GB"/>
              </w:rPr>
            </w:pPr>
          </w:p>
        </w:tc>
      </w:tr>
      <w:tr w:rsidR="00E63342" w:rsidRPr="00A350D1" w:rsidTr="00EF287A">
        <w:trPr>
          <w:trHeight w:val="1134"/>
        </w:trPr>
        <w:tc>
          <w:tcPr>
            <w:tcW w:w="288" w:type="pct"/>
          </w:tcPr>
          <w:p w:rsidR="00E63342" w:rsidRPr="00A350D1" w:rsidRDefault="00E63342" w:rsidP="004E3EC3">
            <w:r>
              <w:lastRenderedPageBreak/>
              <w:t>5.</w:t>
            </w:r>
          </w:p>
        </w:tc>
        <w:tc>
          <w:tcPr>
            <w:tcW w:w="1701" w:type="pct"/>
          </w:tcPr>
          <w:p w:rsidR="00E63342" w:rsidRPr="001226DF" w:rsidRDefault="00D7633D" w:rsidP="00D7633D">
            <w:pPr>
              <w:rPr>
                <w:b/>
              </w:rPr>
            </w:pPr>
            <w:r w:rsidRPr="001226DF">
              <w:rPr>
                <w:b/>
                <w:lang w:eastAsia="en-AU"/>
              </w:rPr>
              <w:t>What is the likely impact on employers of employees with disability to any changes in wage-setting arrangements or wage rates?</w:t>
            </w:r>
          </w:p>
        </w:tc>
        <w:tc>
          <w:tcPr>
            <w:tcW w:w="3011" w:type="pct"/>
          </w:tcPr>
          <w:p w:rsidR="00BA1094" w:rsidRDefault="00F16E71" w:rsidP="00BA1094">
            <w:pPr>
              <w:rPr>
                <w:lang w:eastAsia="en-AU"/>
              </w:rPr>
            </w:pPr>
            <w:hyperlink r:id="rId31" w:history="1">
              <w:r w:rsidR="00BA1094" w:rsidRPr="0019530A">
                <w:rPr>
                  <w:rStyle w:val="Hyperlink"/>
                </w:rPr>
                <w:t>Australian Government</w:t>
              </w:r>
            </w:hyperlink>
            <w:r w:rsidR="00BA1094">
              <w:t xml:space="preserve"> (p. </w:t>
            </w:r>
            <w:r w:rsidR="001913FD">
              <w:t>13</w:t>
            </w:r>
            <w:r w:rsidR="00BA1094">
              <w:t xml:space="preserve">) </w:t>
            </w:r>
            <w:r w:rsidR="001913FD">
              <w:rPr>
                <w:lang w:eastAsia="en-AU"/>
              </w:rPr>
              <w:t xml:space="preserve">acknowledged the trial </w:t>
            </w:r>
            <w:proofErr w:type="gramStart"/>
            <w:r w:rsidR="001913FD">
              <w:rPr>
                <w:lang w:eastAsia="en-AU"/>
              </w:rPr>
              <w:t>of a</w:t>
            </w:r>
            <w:proofErr w:type="gramEnd"/>
            <w:r w:rsidR="001913FD">
              <w:rPr>
                <w:lang w:eastAsia="en-AU"/>
              </w:rPr>
              <w:t xml:space="preserve"> modified SWS in Australian Disability Enterprises (ADEs) as part of matter AM2013/30. They submitted that the removal of the minimum wage floor for SWS employees in this trial may have an impact on the movement of employees between open employment and supported employment.</w:t>
            </w:r>
          </w:p>
          <w:p w:rsidR="00BA1094" w:rsidRDefault="00BA1094" w:rsidP="00BA1094">
            <w:pPr>
              <w:rPr>
                <w:lang w:eastAsia="en-AU"/>
              </w:rPr>
            </w:pPr>
          </w:p>
          <w:p w:rsidR="00BA1094" w:rsidRDefault="00F16E71" w:rsidP="00BA1094">
            <w:hyperlink r:id="rId32" w:history="1">
              <w:r w:rsidR="00BA1094" w:rsidRPr="0019530A">
                <w:rPr>
                  <w:rStyle w:val="Hyperlink"/>
                </w:rPr>
                <w:t>ACTU</w:t>
              </w:r>
            </w:hyperlink>
            <w:r w:rsidR="00BA1094">
              <w:t xml:space="preserve"> (p. </w:t>
            </w:r>
            <w:r w:rsidR="005C2117">
              <w:t>12</w:t>
            </w:r>
            <w:r w:rsidR="00BA1094">
              <w:t>)</w:t>
            </w:r>
            <w:r w:rsidR="005C2117">
              <w:t xml:space="preserve"> submitted that due to the limited timeframe leading up to the preliminary hearing, they</w:t>
            </w:r>
            <w:r w:rsidR="00E02A97">
              <w:t xml:space="preserve"> have been unable to develop a</w:t>
            </w:r>
            <w:r w:rsidR="005C2117">
              <w:t xml:space="preserve"> detailed understanding of the labour market for persons with disabilities whose productive capacity is affected by those disabilities.</w:t>
            </w:r>
          </w:p>
          <w:p w:rsidR="00BA1094" w:rsidRDefault="00BA1094" w:rsidP="00BA1094"/>
          <w:p w:rsidR="00BA1094" w:rsidRDefault="00F16E71" w:rsidP="00BA1094">
            <w:pPr>
              <w:rPr>
                <w:lang w:eastAsia="en-AU"/>
              </w:rPr>
            </w:pPr>
            <w:hyperlink r:id="rId33" w:history="1">
              <w:r w:rsidR="00BA1094" w:rsidRPr="0019530A">
                <w:rPr>
                  <w:rStyle w:val="Hyperlink"/>
                  <w:lang w:eastAsia="en-AU"/>
                </w:rPr>
                <w:t>Ai Group</w:t>
              </w:r>
            </w:hyperlink>
            <w:r w:rsidR="00BA1094">
              <w:rPr>
                <w:lang w:eastAsia="en-AU"/>
              </w:rPr>
              <w:t xml:space="preserve"> (p. </w:t>
            </w:r>
            <w:r w:rsidR="00502B06">
              <w:rPr>
                <w:lang w:eastAsia="en-AU"/>
              </w:rPr>
              <w:t>12</w:t>
            </w:r>
            <w:r w:rsidR="00BA1094">
              <w:rPr>
                <w:lang w:eastAsia="en-AU"/>
              </w:rPr>
              <w:t>)</w:t>
            </w:r>
            <w:r w:rsidR="00502B06">
              <w:rPr>
                <w:lang w:eastAsia="en-AU"/>
              </w:rPr>
              <w:t xml:space="preserve"> </w:t>
            </w:r>
            <w:r w:rsidR="00502B06">
              <w:t>submitted that “[</w:t>
            </w:r>
            <w:proofErr w:type="spellStart"/>
            <w:r w:rsidR="00502B06">
              <w:t>i</w:t>
            </w:r>
            <w:proofErr w:type="spellEnd"/>
            <w:r w:rsidR="00502B06">
              <w:t>]</w:t>
            </w:r>
            <w:proofErr w:type="spellStart"/>
            <w:r w:rsidR="00502B06">
              <w:t>ncreases</w:t>
            </w:r>
            <w:proofErr w:type="spellEnd"/>
            <w:r w:rsidR="00502B06">
              <w:t xml:space="preserve"> to wages would adversely impact upon … employees’ access to employment.”</w:t>
            </w:r>
          </w:p>
          <w:p w:rsidR="00BA1094" w:rsidRDefault="00BA1094" w:rsidP="00BA1094"/>
          <w:p w:rsidR="00BA1094" w:rsidRDefault="00F16E71" w:rsidP="00BA1094">
            <w:pPr>
              <w:rPr>
                <w:lang w:eastAsia="en-AU"/>
              </w:rPr>
            </w:pPr>
            <w:hyperlink r:id="rId34" w:history="1">
              <w:r w:rsidR="00AB550C">
                <w:rPr>
                  <w:rStyle w:val="Hyperlink"/>
                </w:rPr>
                <w:t>ABI&amp;</w:t>
              </w:r>
              <w:r w:rsidR="00AB550C" w:rsidRPr="00BA1094">
                <w:rPr>
                  <w:rStyle w:val="Hyperlink"/>
                </w:rPr>
                <w:t>NSWBC</w:t>
              </w:r>
            </w:hyperlink>
            <w:r w:rsidR="00BA1094">
              <w:t xml:space="preserve"> (</w:t>
            </w:r>
            <w:proofErr w:type="spellStart"/>
            <w:r w:rsidR="00BA1094">
              <w:t>para</w:t>
            </w:r>
            <w:proofErr w:type="spellEnd"/>
            <w:r w:rsidR="00BA1094">
              <w:t xml:space="preserve">. </w:t>
            </w:r>
            <w:r w:rsidR="002452E6">
              <w:t>5.10</w:t>
            </w:r>
            <w:r w:rsidR="00BA1094">
              <w:t xml:space="preserve">) </w:t>
            </w:r>
            <w:r w:rsidR="002452E6">
              <w:rPr>
                <w:lang w:eastAsia="en-AU"/>
              </w:rPr>
              <w:t>submitted that “</w:t>
            </w:r>
            <w:r w:rsidR="002452E6">
              <w:t>increases in the cost of employing employees with a disability will (as would be the case with any employee) likely have some negative effects on rates of employment.”</w:t>
            </w:r>
          </w:p>
          <w:p w:rsidR="00BA1094" w:rsidRDefault="00BA1094" w:rsidP="00BA1094"/>
          <w:p w:rsidR="00E63342" w:rsidRDefault="00F16E71" w:rsidP="00BA1094">
            <w:hyperlink r:id="rId35" w:history="1">
              <w:r w:rsidR="00BA1094" w:rsidRPr="00BA1094">
                <w:rPr>
                  <w:rStyle w:val="Hyperlink"/>
                </w:rPr>
                <w:t>NDS</w:t>
              </w:r>
            </w:hyperlink>
            <w:r w:rsidR="00BA1094">
              <w:t xml:space="preserve"> (p</w:t>
            </w:r>
            <w:r w:rsidR="00E02A97">
              <w:t>p</w:t>
            </w:r>
            <w:r w:rsidR="00BA1094">
              <w:t>.</w:t>
            </w:r>
            <w:r w:rsidR="00B04311">
              <w:t xml:space="preserve"> 3–</w:t>
            </w:r>
            <w:proofErr w:type="gramStart"/>
            <w:r w:rsidR="00B04311">
              <w:t>4</w:t>
            </w:r>
            <w:r w:rsidR="00BA1094">
              <w:t xml:space="preserve"> )</w:t>
            </w:r>
            <w:proofErr w:type="gramEnd"/>
            <w:r w:rsidR="00B04311">
              <w:t xml:space="preserve"> submitted that employers would only be willing to pay employees with disability increased wages if there was a </w:t>
            </w:r>
            <w:r w:rsidR="00B04311">
              <w:rPr>
                <w:lang w:eastAsia="en-AU"/>
              </w:rPr>
              <w:t xml:space="preserve">corresponding increase in skills or </w:t>
            </w:r>
            <w:r w:rsidR="00B04311">
              <w:rPr>
                <w:lang w:eastAsia="en-AU"/>
              </w:rPr>
              <w:lastRenderedPageBreak/>
              <w:t xml:space="preserve">productive output, and that </w:t>
            </w:r>
            <w:r w:rsidR="00B04311" w:rsidRPr="00FA3E81">
              <w:rPr>
                <w:lang w:eastAsia="en-AU"/>
              </w:rPr>
              <w:t>“</w:t>
            </w:r>
            <w:r w:rsidR="00B04311" w:rsidRPr="0059366E">
              <w:rPr>
                <w:color w:val="000000"/>
                <w:lang w:val="en-US"/>
              </w:rPr>
              <w:t>a more long term perspective from policy makers that assists people with disability to retain their employment should be considered.”</w:t>
            </w:r>
          </w:p>
          <w:p w:rsidR="00B04311" w:rsidRPr="002F346F" w:rsidRDefault="00B04311" w:rsidP="00BA1094"/>
        </w:tc>
      </w:tr>
      <w:tr w:rsidR="00E63342" w:rsidRPr="00A350D1" w:rsidTr="00EF287A">
        <w:trPr>
          <w:trHeight w:val="562"/>
        </w:trPr>
        <w:tc>
          <w:tcPr>
            <w:tcW w:w="288" w:type="pct"/>
          </w:tcPr>
          <w:p w:rsidR="00E63342" w:rsidRPr="00A350D1" w:rsidRDefault="00E63342" w:rsidP="00381DD2">
            <w:r>
              <w:lastRenderedPageBreak/>
              <w:t>6.</w:t>
            </w:r>
          </w:p>
        </w:tc>
        <w:tc>
          <w:tcPr>
            <w:tcW w:w="1701" w:type="pct"/>
          </w:tcPr>
          <w:p w:rsidR="00E63342" w:rsidRPr="00AE2191" w:rsidRDefault="00D7633D" w:rsidP="00381DD2">
            <w:r w:rsidRPr="00AE2191">
              <w:rPr>
                <w:b/>
                <w:lang w:eastAsia="en-AU"/>
              </w:rPr>
              <w:t>What additional research would parties like to be conducted in relation to wage setting for employees with disability?</w:t>
            </w:r>
          </w:p>
        </w:tc>
        <w:tc>
          <w:tcPr>
            <w:tcW w:w="3011" w:type="pct"/>
          </w:tcPr>
          <w:p w:rsidR="00BA1094" w:rsidRDefault="00F16E71" w:rsidP="00AC7685">
            <w:hyperlink r:id="rId36" w:history="1">
              <w:r w:rsidR="00BA1094" w:rsidRPr="0019530A">
                <w:rPr>
                  <w:rStyle w:val="Hyperlink"/>
                </w:rPr>
                <w:t>Australian Government</w:t>
              </w:r>
            </w:hyperlink>
            <w:r w:rsidR="00BA1094">
              <w:t xml:space="preserve"> (p. </w:t>
            </w:r>
            <w:r w:rsidR="00AC7685">
              <w:t>12</w:t>
            </w:r>
            <w:r w:rsidR="00BA1094">
              <w:t xml:space="preserve">) </w:t>
            </w:r>
            <w:r w:rsidR="00E02A97">
              <w:rPr>
                <w:lang w:eastAsia="en-AU"/>
              </w:rPr>
              <w:t>submitted,</w:t>
            </w:r>
            <w:r w:rsidR="00AC7685">
              <w:t xml:space="preserve"> in relation to the trial of t</w:t>
            </w:r>
            <w:r w:rsidR="00E02A97">
              <w:t>he modified SWS in ADEs, that “t</w:t>
            </w:r>
            <w:r w:rsidR="00AC7685">
              <w:t>he results will enable parties in the FWC to see what works and what can be improved and will inform any additional work to be considered in the FWC.”</w:t>
            </w:r>
          </w:p>
          <w:p w:rsidR="00BA1094" w:rsidRDefault="00BA1094" w:rsidP="00BA1094">
            <w:pPr>
              <w:rPr>
                <w:lang w:eastAsia="en-AU"/>
              </w:rPr>
            </w:pPr>
          </w:p>
          <w:p w:rsidR="00BA1094" w:rsidRDefault="00F16E71" w:rsidP="00BA1094">
            <w:hyperlink r:id="rId37" w:history="1">
              <w:r w:rsidR="00BA1094" w:rsidRPr="0019530A">
                <w:rPr>
                  <w:rStyle w:val="Hyperlink"/>
                </w:rPr>
                <w:t>ACTU</w:t>
              </w:r>
            </w:hyperlink>
            <w:r w:rsidR="00BA1094">
              <w:t xml:space="preserve"> (p. </w:t>
            </w:r>
            <w:r w:rsidR="000101AD">
              <w:t>7, p. 50</w:t>
            </w:r>
            <w:r w:rsidR="00BA1094">
              <w:t>)</w:t>
            </w:r>
            <w:r w:rsidR="000101AD">
              <w:t xml:space="preserve"> suggested the following topics for further research:</w:t>
            </w:r>
          </w:p>
          <w:p w:rsidR="000101AD" w:rsidRDefault="000101AD" w:rsidP="000101AD">
            <w:pPr>
              <w:pStyle w:val="ListParagraph"/>
              <w:numPr>
                <w:ilvl w:val="0"/>
                <w:numId w:val="5"/>
              </w:numPr>
            </w:pPr>
            <w:r>
              <w:t>Modelling net disposable income effects at different numbers of working hours for DSP recipients versus other welfare recipients</w:t>
            </w:r>
          </w:p>
          <w:p w:rsidR="000101AD" w:rsidRDefault="000101AD" w:rsidP="000101AD">
            <w:pPr>
              <w:pStyle w:val="ListParagraph"/>
              <w:numPr>
                <w:ilvl w:val="0"/>
                <w:numId w:val="5"/>
              </w:numPr>
            </w:pPr>
            <w:r>
              <w:t xml:space="preserve">Study of distribution of hours of work for employees with disability at different assessed capacities and classifications </w:t>
            </w:r>
          </w:p>
          <w:p w:rsidR="000101AD" w:rsidRDefault="000101AD" w:rsidP="000101AD">
            <w:pPr>
              <w:pStyle w:val="ListParagraph"/>
              <w:numPr>
                <w:ilvl w:val="0"/>
                <w:numId w:val="5"/>
              </w:numPr>
            </w:pPr>
            <w:r>
              <w:t>Snapshot of common types of work performed by SWS employees who are award-free and in receipt of special NMW2</w:t>
            </w:r>
          </w:p>
          <w:p w:rsidR="000101AD" w:rsidRDefault="000101AD" w:rsidP="000101AD">
            <w:pPr>
              <w:pStyle w:val="ListParagraph"/>
              <w:numPr>
                <w:ilvl w:val="0"/>
                <w:numId w:val="5"/>
              </w:numPr>
            </w:pPr>
            <w:r>
              <w:t xml:space="preserve">Comparative study of the income support payments for employees with disability and the </w:t>
            </w:r>
            <w:proofErr w:type="spellStart"/>
            <w:r>
              <w:t>Newstart</w:t>
            </w:r>
            <w:proofErr w:type="spellEnd"/>
            <w:r>
              <w:t xml:space="preserve"> allowance</w:t>
            </w:r>
            <w:r w:rsidR="008F6D28">
              <w:t>.</w:t>
            </w:r>
          </w:p>
          <w:p w:rsidR="00BA1094" w:rsidRDefault="00BA1094" w:rsidP="00BA1094"/>
          <w:p w:rsidR="00BA1094" w:rsidRDefault="00F16E71" w:rsidP="00BA1094">
            <w:pPr>
              <w:rPr>
                <w:lang w:eastAsia="en-AU"/>
              </w:rPr>
            </w:pPr>
            <w:hyperlink r:id="rId38" w:history="1">
              <w:r w:rsidR="00BA1094" w:rsidRPr="0019530A">
                <w:rPr>
                  <w:rStyle w:val="Hyperlink"/>
                  <w:lang w:eastAsia="en-AU"/>
                </w:rPr>
                <w:t>Ai Group</w:t>
              </w:r>
            </w:hyperlink>
            <w:r w:rsidR="00BA1094">
              <w:rPr>
                <w:lang w:eastAsia="en-AU"/>
              </w:rPr>
              <w:t xml:space="preserve"> (p. </w:t>
            </w:r>
            <w:r w:rsidR="008F6D28">
              <w:rPr>
                <w:lang w:eastAsia="en-AU"/>
              </w:rPr>
              <w:t>12</w:t>
            </w:r>
            <w:r w:rsidR="00BA1094">
              <w:rPr>
                <w:lang w:eastAsia="en-AU"/>
              </w:rPr>
              <w:t>)</w:t>
            </w:r>
            <w:r w:rsidR="008F6D28">
              <w:rPr>
                <w:lang w:eastAsia="en-AU"/>
              </w:rPr>
              <w:t xml:space="preserve"> submitted that the Commission should conduct research into the number and characteristics of employees with disability to whom existing wage setting instruments and arrangements apply.</w:t>
            </w:r>
          </w:p>
          <w:p w:rsidR="00BA1094" w:rsidRDefault="00BA1094" w:rsidP="00BA1094">
            <w:pPr>
              <w:rPr>
                <w:lang w:eastAsia="en-AU"/>
              </w:rPr>
            </w:pPr>
          </w:p>
          <w:p w:rsidR="004E3EC3" w:rsidRPr="00930584" w:rsidRDefault="00F16E71" w:rsidP="004153E8">
            <w:hyperlink r:id="rId39" w:history="1">
              <w:r w:rsidR="00BA1094" w:rsidRPr="00BA1094">
                <w:rPr>
                  <w:rStyle w:val="Hyperlink"/>
                  <w:lang w:eastAsia="en-AU"/>
                </w:rPr>
                <w:t>ACOSS</w:t>
              </w:r>
            </w:hyperlink>
            <w:r w:rsidR="00BA1094">
              <w:rPr>
                <w:lang w:eastAsia="en-AU"/>
              </w:rPr>
              <w:t xml:space="preserve"> (p. </w:t>
            </w:r>
            <w:r w:rsidR="000254FA">
              <w:rPr>
                <w:lang w:eastAsia="en-AU"/>
              </w:rPr>
              <w:t>5</w:t>
            </w:r>
            <w:r w:rsidR="00BA1094">
              <w:rPr>
                <w:lang w:eastAsia="en-AU"/>
              </w:rPr>
              <w:t xml:space="preserve">) </w:t>
            </w:r>
            <w:r w:rsidR="000254FA">
              <w:t>submitted that due to the complexity of issues, “the best way to proceed is to signal the direction of any proposed changes and seek submissions on matters of detail (especially the quantum of any increases or minimum benchmarks) in the next round of minimum wage consultations.”</w:t>
            </w:r>
          </w:p>
        </w:tc>
      </w:tr>
    </w:tbl>
    <w:p w:rsidR="00124129" w:rsidRDefault="00124129" w:rsidP="004B6C63">
      <w:pPr>
        <w:tabs>
          <w:tab w:val="left" w:pos="2370"/>
        </w:tabs>
        <w:rPr>
          <w:b/>
        </w:rPr>
      </w:pPr>
    </w:p>
    <w:p w:rsidR="004B6C63" w:rsidRPr="00CC1BB4" w:rsidRDefault="004B6C63" w:rsidP="00653360">
      <w:pPr>
        <w:keepNext/>
        <w:tabs>
          <w:tab w:val="left" w:pos="2370"/>
        </w:tabs>
        <w:rPr>
          <w:b/>
        </w:rPr>
      </w:pPr>
      <w:r w:rsidRPr="00CC1BB4">
        <w:rPr>
          <w:b/>
        </w:rPr>
        <w:lastRenderedPageBreak/>
        <w:t>List of abbreviations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9072"/>
      </w:tblGrid>
      <w:tr w:rsidR="00046754" w:rsidTr="00D81CAD">
        <w:tc>
          <w:tcPr>
            <w:tcW w:w="1809" w:type="dxa"/>
          </w:tcPr>
          <w:p w:rsidR="00046754" w:rsidRDefault="004153E8" w:rsidP="004153E8">
            <w:pPr>
              <w:keepNext/>
              <w:tabs>
                <w:tab w:val="left" w:pos="2370"/>
              </w:tabs>
            </w:pPr>
            <w:r>
              <w:t>ABI&amp;</w:t>
            </w:r>
            <w:r w:rsidR="00046754">
              <w:t>NSWBC</w:t>
            </w:r>
          </w:p>
        </w:tc>
        <w:tc>
          <w:tcPr>
            <w:tcW w:w="9072" w:type="dxa"/>
          </w:tcPr>
          <w:p w:rsidR="00046754" w:rsidRDefault="00046754" w:rsidP="00D81CAD">
            <w:pPr>
              <w:keepNext/>
              <w:tabs>
                <w:tab w:val="left" w:pos="2370"/>
              </w:tabs>
            </w:pPr>
            <w:r w:rsidRPr="00A350D1">
              <w:t>Australian Business Industrial, New South Wales Business Chamber</w:t>
            </w:r>
          </w:p>
        </w:tc>
      </w:tr>
      <w:tr w:rsidR="00D355D6" w:rsidTr="00F07FD1">
        <w:tc>
          <w:tcPr>
            <w:tcW w:w="1809" w:type="dxa"/>
          </w:tcPr>
          <w:p w:rsidR="00D355D6" w:rsidRDefault="00D355D6" w:rsidP="00653360">
            <w:pPr>
              <w:keepNext/>
              <w:tabs>
                <w:tab w:val="left" w:pos="2370"/>
              </w:tabs>
            </w:pPr>
            <w:r>
              <w:t>ACCI</w:t>
            </w:r>
          </w:p>
        </w:tc>
        <w:tc>
          <w:tcPr>
            <w:tcW w:w="9072" w:type="dxa"/>
          </w:tcPr>
          <w:p w:rsidR="00D355D6" w:rsidRDefault="00D355D6" w:rsidP="00653360">
            <w:pPr>
              <w:keepNext/>
              <w:tabs>
                <w:tab w:val="left" w:pos="2370"/>
              </w:tabs>
            </w:pPr>
            <w:r>
              <w:t>Australian Chamber of Commerce and Industry</w:t>
            </w:r>
          </w:p>
        </w:tc>
      </w:tr>
      <w:tr w:rsidR="00D355D6" w:rsidTr="00F07FD1">
        <w:tc>
          <w:tcPr>
            <w:tcW w:w="1809" w:type="dxa"/>
          </w:tcPr>
          <w:p w:rsidR="00D355D6" w:rsidRDefault="00D355D6" w:rsidP="00653360">
            <w:pPr>
              <w:keepNext/>
              <w:tabs>
                <w:tab w:val="left" w:pos="2370"/>
              </w:tabs>
            </w:pPr>
            <w:r>
              <w:t>ACOSS</w:t>
            </w:r>
          </w:p>
        </w:tc>
        <w:tc>
          <w:tcPr>
            <w:tcW w:w="9072" w:type="dxa"/>
          </w:tcPr>
          <w:p w:rsidR="00D355D6" w:rsidRDefault="00D355D6" w:rsidP="00653360">
            <w:pPr>
              <w:keepNext/>
              <w:tabs>
                <w:tab w:val="left" w:pos="2370"/>
              </w:tabs>
            </w:pPr>
            <w:r>
              <w:t>Australian Council of Social Service</w:t>
            </w:r>
          </w:p>
        </w:tc>
      </w:tr>
      <w:tr w:rsidR="006B109D" w:rsidTr="00F07FD1">
        <w:tc>
          <w:tcPr>
            <w:tcW w:w="1809" w:type="dxa"/>
          </w:tcPr>
          <w:p w:rsidR="006B109D" w:rsidRDefault="006B109D" w:rsidP="00653360">
            <w:pPr>
              <w:keepNext/>
              <w:tabs>
                <w:tab w:val="left" w:pos="2370"/>
              </w:tabs>
            </w:pPr>
            <w:r>
              <w:t>Act</w:t>
            </w:r>
          </w:p>
        </w:tc>
        <w:tc>
          <w:tcPr>
            <w:tcW w:w="9072" w:type="dxa"/>
          </w:tcPr>
          <w:p w:rsidR="006B109D" w:rsidRDefault="006B109D" w:rsidP="00653360">
            <w:pPr>
              <w:keepNext/>
              <w:tabs>
                <w:tab w:val="left" w:pos="2370"/>
              </w:tabs>
            </w:pPr>
            <w:r w:rsidRPr="006B109D">
              <w:rPr>
                <w:i/>
              </w:rPr>
              <w:t xml:space="preserve">Fair Work Act </w:t>
            </w:r>
            <w:r>
              <w:t xml:space="preserve">(2009) </w:t>
            </w:r>
            <w:proofErr w:type="spellStart"/>
            <w:r>
              <w:t>Cth</w:t>
            </w:r>
            <w:proofErr w:type="spellEnd"/>
          </w:p>
        </w:tc>
      </w:tr>
      <w:tr w:rsidR="00D355D6" w:rsidTr="00F07FD1">
        <w:tc>
          <w:tcPr>
            <w:tcW w:w="1809" w:type="dxa"/>
          </w:tcPr>
          <w:p w:rsidR="00D355D6" w:rsidRDefault="00D355D6" w:rsidP="00653360">
            <w:pPr>
              <w:keepNext/>
              <w:tabs>
                <w:tab w:val="left" w:pos="2370"/>
              </w:tabs>
            </w:pPr>
            <w:r>
              <w:t>ACTU</w:t>
            </w:r>
          </w:p>
        </w:tc>
        <w:tc>
          <w:tcPr>
            <w:tcW w:w="9072" w:type="dxa"/>
          </w:tcPr>
          <w:p w:rsidR="00D355D6" w:rsidRDefault="00D355D6" w:rsidP="00653360">
            <w:pPr>
              <w:keepNext/>
              <w:tabs>
                <w:tab w:val="left" w:pos="2370"/>
              </w:tabs>
            </w:pPr>
            <w:r>
              <w:t>Australian Council of Trade Unions</w:t>
            </w:r>
          </w:p>
        </w:tc>
      </w:tr>
      <w:tr w:rsidR="001775BC" w:rsidTr="00F07FD1">
        <w:tc>
          <w:tcPr>
            <w:tcW w:w="1809" w:type="dxa"/>
          </w:tcPr>
          <w:p w:rsidR="001775BC" w:rsidRDefault="001775BC" w:rsidP="00D355D6">
            <w:pPr>
              <w:keepNext/>
              <w:tabs>
                <w:tab w:val="left" w:pos="2370"/>
              </w:tabs>
            </w:pPr>
            <w:r>
              <w:t>ADEs</w:t>
            </w:r>
          </w:p>
        </w:tc>
        <w:tc>
          <w:tcPr>
            <w:tcW w:w="9072" w:type="dxa"/>
          </w:tcPr>
          <w:p w:rsidR="001775BC" w:rsidRDefault="001775BC" w:rsidP="00D355D6">
            <w:pPr>
              <w:keepNext/>
              <w:tabs>
                <w:tab w:val="left" w:pos="2370"/>
              </w:tabs>
            </w:pPr>
            <w:r>
              <w:t>Australian Disability Enterprises</w:t>
            </w:r>
          </w:p>
        </w:tc>
      </w:tr>
      <w:tr w:rsidR="004B6C63" w:rsidTr="00F07FD1">
        <w:tc>
          <w:tcPr>
            <w:tcW w:w="1809" w:type="dxa"/>
          </w:tcPr>
          <w:p w:rsidR="0041413A" w:rsidRDefault="00D355D6" w:rsidP="00D355D6">
            <w:pPr>
              <w:keepNext/>
              <w:tabs>
                <w:tab w:val="left" w:pos="2370"/>
              </w:tabs>
            </w:pPr>
            <w:r>
              <w:t>Ai Group</w:t>
            </w:r>
          </w:p>
        </w:tc>
        <w:tc>
          <w:tcPr>
            <w:tcW w:w="9072" w:type="dxa"/>
          </w:tcPr>
          <w:p w:rsidR="0041413A" w:rsidRDefault="00F07FD1" w:rsidP="00D355D6">
            <w:pPr>
              <w:keepNext/>
              <w:tabs>
                <w:tab w:val="left" w:pos="2370"/>
              </w:tabs>
            </w:pPr>
            <w:r>
              <w:t xml:space="preserve">Australian </w:t>
            </w:r>
            <w:r w:rsidR="00D355D6">
              <w:t>Industry Group</w:t>
            </w:r>
          </w:p>
        </w:tc>
      </w:tr>
      <w:tr w:rsidR="006A4553" w:rsidTr="00F07FD1">
        <w:tc>
          <w:tcPr>
            <w:tcW w:w="1809" w:type="dxa"/>
          </w:tcPr>
          <w:p w:rsidR="006A4553" w:rsidRDefault="006A4553" w:rsidP="00D355D6">
            <w:pPr>
              <w:keepNext/>
              <w:tabs>
                <w:tab w:val="left" w:pos="2370"/>
              </w:tabs>
            </w:pPr>
            <w:r>
              <w:t>AWR</w:t>
            </w:r>
          </w:p>
        </w:tc>
        <w:tc>
          <w:tcPr>
            <w:tcW w:w="9072" w:type="dxa"/>
          </w:tcPr>
          <w:p w:rsidR="006A4553" w:rsidRDefault="006A4553" w:rsidP="00D355D6">
            <w:pPr>
              <w:keepNext/>
              <w:tabs>
                <w:tab w:val="left" w:pos="2370"/>
              </w:tabs>
            </w:pPr>
            <w:r>
              <w:t>Annual Wage Review</w:t>
            </w:r>
          </w:p>
        </w:tc>
      </w:tr>
      <w:tr w:rsidR="00630EF8" w:rsidTr="00F07FD1">
        <w:tc>
          <w:tcPr>
            <w:tcW w:w="1809" w:type="dxa"/>
          </w:tcPr>
          <w:p w:rsidR="00630EF8" w:rsidRDefault="00630EF8" w:rsidP="00D355D6">
            <w:pPr>
              <w:keepNext/>
              <w:tabs>
                <w:tab w:val="left" w:pos="2370"/>
              </w:tabs>
            </w:pPr>
            <w:r>
              <w:t>Commission</w:t>
            </w:r>
          </w:p>
        </w:tc>
        <w:tc>
          <w:tcPr>
            <w:tcW w:w="9072" w:type="dxa"/>
          </w:tcPr>
          <w:p w:rsidR="00630EF8" w:rsidRDefault="00630EF8" w:rsidP="00D355D6">
            <w:pPr>
              <w:keepNext/>
              <w:tabs>
                <w:tab w:val="left" w:pos="2370"/>
              </w:tabs>
            </w:pPr>
            <w:r>
              <w:t xml:space="preserve">Fair Work Commission </w:t>
            </w:r>
          </w:p>
        </w:tc>
      </w:tr>
      <w:tr w:rsidR="00E82D1E" w:rsidTr="00F07FD1">
        <w:tc>
          <w:tcPr>
            <w:tcW w:w="1809" w:type="dxa"/>
          </w:tcPr>
          <w:p w:rsidR="00E82D1E" w:rsidRDefault="001775BC" w:rsidP="00D355D6">
            <w:pPr>
              <w:keepNext/>
              <w:tabs>
                <w:tab w:val="left" w:pos="2370"/>
              </w:tabs>
            </w:pPr>
            <w:r>
              <w:t>DSP</w:t>
            </w:r>
          </w:p>
        </w:tc>
        <w:tc>
          <w:tcPr>
            <w:tcW w:w="9072" w:type="dxa"/>
          </w:tcPr>
          <w:p w:rsidR="00E82D1E" w:rsidRDefault="001775BC" w:rsidP="00D355D6">
            <w:pPr>
              <w:keepNext/>
              <w:tabs>
                <w:tab w:val="left" w:pos="2370"/>
              </w:tabs>
            </w:pPr>
            <w:r>
              <w:t>Disability Support Pension</w:t>
            </w:r>
          </w:p>
        </w:tc>
      </w:tr>
      <w:tr w:rsidR="00E82D1E" w:rsidTr="00F07FD1">
        <w:tc>
          <w:tcPr>
            <w:tcW w:w="1809" w:type="dxa"/>
          </w:tcPr>
          <w:p w:rsidR="00E82D1E" w:rsidRDefault="00E82D1E" w:rsidP="00D355D6">
            <w:pPr>
              <w:keepNext/>
              <w:tabs>
                <w:tab w:val="left" w:pos="2370"/>
              </w:tabs>
            </w:pPr>
            <w:r>
              <w:t>NDS</w:t>
            </w:r>
          </w:p>
        </w:tc>
        <w:tc>
          <w:tcPr>
            <w:tcW w:w="9072" w:type="dxa"/>
          </w:tcPr>
          <w:p w:rsidR="00E82D1E" w:rsidRDefault="00E82D1E" w:rsidP="00D355D6">
            <w:pPr>
              <w:keepNext/>
              <w:tabs>
                <w:tab w:val="left" w:pos="2370"/>
              </w:tabs>
            </w:pPr>
            <w:r>
              <w:t xml:space="preserve">National Disability Services </w:t>
            </w:r>
          </w:p>
        </w:tc>
      </w:tr>
      <w:tr w:rsidR="00E82D1E" w:rsidTr="00F07FD1">
        <w:tc>
          <w:tcPr>
            <w:tcW w:w="1809" w:type="dxa"/>
          </w:tcPr>
          <w:p w:rsidR="00E82D1E" w:rsidRDefault="00E82D1E" w:rsidP="00D355D6">
            <w:pPr>
              <w:keepNext/>
              <w:tabs>
                <w:tab w:val="left" w:pos="2370"/>
              </w:tabs>
            </w:pPr>
            <w:r>
              <w:t>NMW</w:t>
            </w:r>
          </w:p>
        </w:tc>
        <w:tc>
          <w:tcPr>
            <w:tcW w:w="9072" w:type="dxa"/>
          </w:tcPr>
          <w:p w:rsidR="00E82D1E" w:rsidRDefault="00E82D1E" w:rsidP="00D355D6">
            <w:pPr>
              <w:keepNext/>
              <w:tabs>
                <w:tab w:val="left" w:pos="2370"/>
              </w:tabs>
            </w:pPr>
            <w:r>
              <w:t>National Minimum Wage</w:t>
            </w:r>
          </w:p>
        </w:tc>
      </w:tr>
      <w:tr w:rsidR="00E82D1E" w:rsidTr="00F07FD1">
        <w:tc>
          <w:tcPr>
            <w:tcW w:w="1809" w:type="dxa"/>
          </w:tcPr>
          <w:p w:rsidR="00E82D1E" w:rsidRDefault="00E82D1E" w:rsidP="00D355D6">
            <w:pPr>
              <w:keepNext/>
              <w:tabs>
                <w:tab w:val="left" w:pos="2370"/>
              </w:tabs>
            </w:pPr>
            <w:r>
              <w:t>special NMW1</w:t>
            </w:r>
          </w:p>
        </w:tc>
        <w:tc>
          <w:tcPr>
            <w:tcW w:w="9072" w:type="dxa"/>
          </w:tcPr>
          <w:p w:rsidR="00E82D1E" w:rsidRPr="00AC2C0F" w:rsidRDefault="00E82D1E" w:rsidP="00D355D6">
            <w:pPr>
              <w:keepNext/>
              <w:tabs>
                <w:tab w:val="left" w:pos="2370"/>
              </w:tabs>
            </w:pPr>
            <w:r w:rsidRPr="00AC2C0F">
              <w:rPr>
                <w:lang w:eastAsia="en-AU"/>
              </w:rPr>
              <w:t>special National Minimum Wage 1</w:t>
            </w:r>
          </w:p>
        </w:tc>
      </w:tr>
      <w:tr w:rsidR="00AC2C0F" w:rsidTr="00F07FD1">
        <w:tc>
          <w:tcPr>
            <w:tcW w:w="1809" w:type="dxa"/>
          </w:tcPr>
          <w:p w:rsidR="00AC2C0F" w:rsidRDefault="00AC2C0F" w:rsidP="00D355D6">
            <w:pPr>
              <w:keepNext/>
              <w:tabs>
                <w:tab w:val="left" w:pos="2370"/>
              </w:tabs>
            </w:pPr>
            <w:r>
              <w:t>special NMW2</w:t>
            </w:r>
          </w:p>
        </w:tc>
        <w:tc>
          <w:tcPr>
            <w:tcW w:w="9072" w:type="dxa"/>
          </w:tcPr>
          <w:p w:rsidR="00AC2C0F" w:rsidRPr="00AC2C0F" w:rsidRDefault="00AC2C0F" w:rsidP="00D355D6">
            <w:pPr>
              <w:keepNext/>
              <w:tabs>
                <w:tab w:val="left" w:pos="2370"/>
              </w:tabs>
            </w:pPr>
            <w:r w:rsidRPr="00AC2C0F">
              <w:rPr>
                <w:lang w:eastAsia="en-AU"/>
              </w:rPr>
              <w:t>special National Minimum Wage 2</w:t>
            </w:r>
          </w:p>
        </w:tc>
      </w:tr>
      <w:tr w:rsidR="00E82D1E" w:rsidTr="00F07FD1">
        <w:tc>
          <w:tcPr>
            <w:tcW w:w="1809" w:type="dxa"/>
          </w:tcPr>
          <w:p w:rsidR="00E82D1E" w:rsidRDefault="001775BC" w:rsidP="00D355D6">
            <w:pPr>
              <w:keepNext/>
              <w:tabs>
                <w:tab w:val="left" w:pos="2370"/>
              </w:tabs>
            </w:pPr>
            <w:r>
              <w:t xml:space="preserve">SWS </w:t>
            </w:r>
          </w:p>
        </w:tc>
        <w:tc>
          <w:tcPr>
            <w:tcW w:w="9072" w:type="dxa"/>
          </w:tcPr>
          <w:p w:rsidR="00E82D1E" w:rsidRDefault="001775BC" w:rsidP="00D355D6">
            <w:pPr>
              <w:keepNext/>
              <w:tabs>
                <w:tab w:val="left" w:pos="2370"/>
              </w:tabs>
            </w:pPr>
            <w:r>
              <w:t>Supported Wage System</w:t>
            </w:r>
          </w:p>
        </w:tc>
      </w:tr>
    </w:tbl>
    <w:p w:rsidR="004B6C63" w:rsidRPr="0041413A" w:rsidRDefault="0041413A" w:rsidP="0041413A">
      <w:pPr>
        <w:tabs>
          <w:tab w:val="left" w:pos="2460"/>
        </w:tabs>
      </w:pPr>
      <w:r>
        <w:tab/>
      </w:r>
    </w:p>
    <w:sectPr w:rsidR="004B6C63" w:rsidRPr="0041413A" w:rsidSect="00227BA1">
      <w:footerReference w:type="default" r:id="rId4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73F" w:rsidRDefault="008F773F" w:rsidP="00E43447">
      <w:pPr>
        <w:spacing w:after="0" w:line="240" w:lineRule="auto"/>
      </w:pPr>
      <w:r>
        <w:separator/>
      </w:r>
    </w:p>
  </w:endnote>
  <w:endnote w:type="continuationSeparator" w:id="0">
    <w:p w:rsidR="008F773F" w:rsidRDefault="008F773F" w:rsidP="00E43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940542"/>
      <w:docPartObj>
        <w:docPartGallery w:val="Page Numbers (Bottom of Page)"/>
        <w:docPartUnique/>
      </w:docPartObj>
    </w:sdtPr>
    <w:sdtEndPr/>
    <w:sdtContent>
      <w:p w:rsidR="008F773F" w:rsidRPr="005A188A" w:rsidRDefault="008F773F">
        <w:pPr>
          <w:pStyle w:val="Footer"/>
          <w:jc w:val="right"/>
        </w:pPr>
        <w:r w:rsidRPr="005A188A">
          <w:fldChar w:fldCharType="begin"/>
        </w:r>
        <w:r w:rsidRPr="005A188A">
          <w:instrText xml:space="preserve"> PAGE   \* MERGEFORMAT </w:instrText>
        </w:r>
        <w:r w:rsidRPr="005A188A">
          <w:fldChar w:fldCharType="separate"/>
        </w:r>
        <w:r w:rsidR="00F16E71">
          <w:rPr>
            <w:noProof/>
          </w:rPr>
          <w:t>1</w:t>
        </w:r>
        <w:r w:rsidRPr="005A188A">
          <w:rPr>
            <w:noProof/>
          </w:rPr>
          <w:fldChar w:fldCharType="end"/>
        </w:r>
      </w:p>
    </w:sdtContent>
  </w:sdt>
  <w:p w:rsidR="008F773F" w:rsidRDefault="005A188A">
    <w:pPr>
      <w:pStyle w:val="Footer"/>
    </w:pPr>
    <w:r>
      <w:t>21 October</w:t>
    </w:r>
    <w:r w:rsidR="00677792">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73F" w:rsidRDefault="008F773F" w:rsidP="00E43447">
      <w:pPr>
        <w:spacing w:after="0" w:line="240" w:lineRule="auto"/>
      </w:pPr>
      <w:r>
        <w:separator/>
      </w:r>
    </w:p>
  </w:footnote>
  <w:footnote w:type="continuationSeparator" w:id="0">
    <w:p w:rsidR="008F773F" w:rsidRDefault="008F773F" w:rsidP="00E434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E5B"/>
    <w:multiLevelType w:val="hybridMultilevel"/>
    <w:tmpl w:val="ABDC9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5F2582"/>
    <w:multiLevelType w:val="singleLevel"/>
    <w:tmpl w:val="7A2EA904"/>
    <w:lvl w:ilvl="0">
      <w:start w:val="1"/>
      <w:numFmt w:val="bullet"/>
      <w:pStyle w:val="BulletLevel1"/>
      <w:lvlText w:val=""/>
      <w:lvlJc w:val="left"/>
      <w:pPr>
        <w:ind w:left="1211" w:hanging="360"/>
      </w:pPr>
      <w:rPr>
        <w:rFonts w:ascii="Symbol" w:hAnsi="Symbol" w:hint="default"/>
        <w:sz w:val="22"/>
      </w:rPr>
    </w:lvl>
  </w:abstractNum>
  <w:abstractNum w:abstractNumId="2">
    <w:nsid w:val="3BF744D3"/>
    <w:multiLevelType w:val="hybridMultilevel"/>
    <w:tmpl w:val="0A86F81E"/>
    <w:lvl w:ilvl="0" w:tplc="AB706C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BF82A37"/>
    <w:multiLevelType w:val="hybridMultilevel"/>
    <w:tmpl w:val="A1D864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7835551F"/>
    <w:multiLevelType w:val="hybridMultilevel"/>
    <w:tmpl w:val="0A86F81E"/>
    <w:lvl w:ilvl="0" w:tplc="AB706C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8A3"/>
    <w:rsid w:val="00000048"/>
    <w:rsid w:val="000001A1"/>
    <w:rsid w:val="0000168B"/>
    <w:rsid w:val="000078E5"/>
    <w:rsid w:val="000101AD"/>
    <w:rsid w:val="000119B6"/>
    <w:rsid w:val="00012DBA"/>
    <w:rsid w:val="00015655"/>
    <w:rsid w:val="000225DE"/>
    <w:rsid w:val="000254FA"/>
    <w:rsid w:val="0002629A"/>
    <w:rsid w:val="00027B5A"/>
    <w:rsid w:val="00030B14"/>
    <w:rsid w:val="00031DDF"/>
    <w:rsid w:val="0004151B"/>
    <w:rsid w:val="00044BCD"/>
    <w:rsid w:val="000452F3"/>
    <w:rsid w:val="00045E2F"/>
    <w:rsid w:val="00046754"/>
    <w:rsid w:val="000473B5"/>
    <w:rsid w:val="00047497"/>
    <w:rsid w:val="00053676"/>
    <w:rsid w:val="00056A2E"/>
    <w:rsid w:val="0006144A"/>
    <w:rsid w:val="00066BB0"/>
    <w:rsid w:val="00067ADD"/>
    <w:rsid w:val="00071CC8"/>
    <w:rsid w:val="00074035"/>
    <w:rsid w:val="0007563D"/>
    <w:rsid w:val="00083900"/>
    <w:rsid w:val="000842BF"/>
    <w:rsid w:val="00084D1C"/>
    <w:rsid w:val="0009002F"/>
    <w:rsid w:val="00092181"/>
    <w:rsid w:val="0009383E"/>
    <w:rsid w:val="000A1FFC"/>
    <w:rsid w:val="000A21AE"/>
    <w:rsid w:val="000A3360"/>
    <w:rsid w:val="000A5244"/>
    <w:rsid w:val="000B217C"/>
    <w:rsid w:val="000B45BB"/>
    <w:rsid w:val="000C0187"/>
    <w:rsid w:val="000D018F"/>
    <w:rsid w:val="000D0637"/>
    <w:rsid w:val="000D232C"/>
    <w:rsid w:val="000D608E"/>
    <w:rsid w:val="000E2FE9"/>
    <w:rsid w:val="000E3EE1"/>
    <w:rsid w:val="000F3324"/>
    <w:rsid w:val="000F71B2"/>
    <w:rsid w:val="000F722C"/>
    <w:rsid w:val="00106DD4"/>
    <w:rsid w:val="00111D47"/>
    <w:rsid w:val="00111EB0"/>
    <w:rsid w:val="00114F04"/>
    <w:rsid w:val="00117EF9"/>
    <w:rsid w:val="0012083C"/>
    <w:rsid w:val="001226DF"/>
    <w:rsid w:val="00124129"/>
    <w:rsid w:val="001256E2"/>
    <w:rsid w:val="00126ABD"/>
    <w:rsid w:val="00133388"/>
    <w:rsid w:val="00133989"/>
    <w:rsid w:val="00143337"/>
    <w:rsid w:val="001528FB"/>
    <w:rsid w:val="0015460E"/>
    <w:rsid w:val="00156C38"/>
    <w:rsid w:val="001673CF"/>
    <w:rsid w:val="001750D4"/>
    <w:rsid w:val="001753FE"/>
    <w:rsid w:val="00176090"/>
    <w:rsid w:val="00176CEA"/>
    <w:rsid w:val="001775BC"/>
    <w:rsid w:val="0018205A"/>
    <w:rsid w:val="0018363B"/>
    <w:rsid w:val="00183A6F"/>
    <w:rsid w:val="001864D9"/>
    <w:rsid w:val="001913FD"/>
    <w:rsid w:val="001950C7"/>
    <w:rsid w:val="0019530A"/>
    <w:rsid w:val="00197653"/>
    <w:rsid w:val="00197CF3"/>
    <w:rsid w:val="001A6E91"/>
    <w:rsid w:val="001D32F2"/>
    <w:rsid w:val="001D463D"/>
    <w:rsid w:val="001D75F0"/>
    <w:rsid w:val="001E3768"/>
    <w:rsid w:val="001E419B"/>
    <w:rsid w:val="001E68CD"/>
    <w:rsid w:val="001F11C1"/>
    <w:rsid w:val="001F7085"/>
    <w:rsid w:val="00207834"/>
    <w:rsid w:val="00212053"/>
    <w:rsid w:val="0021674B"/>
    <w:rsid w:val="00224744"/>
    <w:rsid w:val="00227BA1"/>
    <w:rsid w:val="002343E8"/>
    <w:rsid w:val="002345EE"/>
    <w:rsid w:val="002348A3"/>
    <w:rsid w:val="00240FAD"/>
    <w:rsid w:val="00242A4C"/>
    <w:rsid w:val="002452E6"/>
    <w:rsid w:val="002525CC"/>
    <w:rsid w:val="00255D36"/>
    <w:rsid w:val="00264031"/>
    <w:rsid w:val="00270AA4"/>
    <w:rsid w:val="00276F1E"/>
    <w:rsid w:val="002844F1"/>
    <w:rsid w:val="00284B8A"/>
    <w:rsid w:val="0028555C"/>
    <w:rsid w:val="00286783"/>
    <w:rsid w:val="00295E39"/>
    <w:rsid w:val="002A46FD"/>
    <w:rsid w:val="002B0A65"/>
    <w:rsid w:val="002B6869"/>
    <w:rsid w:val="002B7126"/>
    <w:rsid w:val="002C31FE"/>
    <w:rsid w:val="002C4688"/>
    <w:rsid w:val="002D37F3"/>
    <w:rsid w:val="002D3B6D"/>
    <w:rsid w:val="002D7E89"/>
    <w:rsid w:val="002E0279"/>
    <w:rsid w:val="002E0D85"/>
    <w:rsid w:val="002E0FC7"/>
    <w:rsid w:val="002E2EEF"/>
    <w:rsid w:val="002F124F"/>
    <w:rsid w:val="002F346F"/>
    <w:rsid w:val="00303E6F"/>
    <w:rsid w:val="00305F3D"/>
    <w:rsid w:val="00311D58"/>
    <w:rsid w:val="00315157"/>
    <w:rsid w:val="003177F5"/>
    <w:rsid w:val="003234D4"/>
    <w:rsid w:val="00325403"/>
    <w:rsid w:val="003302CC"/>
    <w:rsid w:val="0033554B"/>
    <w:rsid w:val="0034243A"/>
    <w:rsid w:val="003424E5"/>
    <w:rsid w:val="00352496"/>
    <w:rsid w:val="00353D35"/>
    <w:rsid w:val="00357D66"/>
    <w:rsid w:val="00360CA0"/>
    <w:rsid w:val="00360E6C"/>
    <w:rsid w:val="00363E0C"/>
    <w:rsid w:val="00364D46"/>
    <w:rsid w:val="003650B3"/>
    <w:rsid w:val="003723B7"/>
    <w:rsid w:val="00373451"/>
    <w:rsid w:val="00376B41"/>
    <w:rsid w:val="00381DD2"/>
    <w:rsid w:val="00391F72"/>
    <w:rsid w:val="003960F9"/>
    <w:rsid w:val="00397C25"/>
    <w:rsid w:val="003A37A3"/>
    <w:rsid w:val="003A640A"/>
    <w:rsid w:val="003B3838"/>
    <w:rsid w:val="003C03D0"/>
    <w:rsid w:val="003C3F3D"/>
    <w:rsid w:val="003C5CA3"/>
    <w:rsid w:val="003D0702"/>
    <w:rsid w:val="003D718E"/>
    <w:rsid w:val="003E009C"/>
    <w:rsid w:val="003E2060"/>
    <w:rsid w:val="003E40A0"/>
    <w:rsid w:val="003E51EF"/>
    <w:rsid w:val="003F2550"/>
    <w:rsid w:val="003F29C1"/>
    <w:rsid w:val="003F51F1"/>
    <w:rsid w:val="0040331E"/>
    <w:rsid w:val="004121A5"/>
    <w:rsid w:val="00412F81"/>
    <w:rsid w:val="0041413A"/>
    <w:rsid w:val="00414B07"/>
    <w:rsid w:val="004153E8"/>
    <w:rsid w:val="004157D6"/>
    <w:rsid w:val="004269DF"/>
    <w:rsid w:val="00426BE9"/>
    <w:rsid w:val="00431CEA"/>
    <w:rsid w:val="00440BCA"/>
    <w:rsid w:val="00447055"/>
    <w:rsid w:val="004622C4"/>
    <w:rsid w:val="0046677F"/>
    <w:rsid w:val="00467C64"/>
    <w:rsid w:val="004740C7"/>
    <w:rsid w:val="004865F3"/>
    <w:rsid w:val="00493130"/>
    <w:rsid w:val="00493302"/>
    <w:rsid w:val="00493BCA"/>
    <w:rsid w:val="004A3202"/>
    <w:rsid w:val="004A4923"/>
    <w:rsid w:val="004A5BFD"/>
    <w:rsid w:val="004B0061"/>
    <w:rsid w:val="004B6BF2"/>
    <w:rsid w:val="004B6C63"/>
    <w:rsid w:val="004C407B"/>
    <w:rsid w:val="004C5857"/>
    <w:rsid w:val="004D75BF"/>
    <w:rsid w:val="004E3EC3"/>
    <w:rsid w:val="004E4C1B"/>
    <w:rsid w:val="004F0547"/>
    <w:rsid w:val="004F0F59"/>
    <w:rsid w:val="004F10C0"/>
    <w:rsid w:val="004F5F55"/>
    <w:rsid w:val="004F7C14"/>
    <w:rsid w:val="00502910"/>
    <w:rsid w:val="00502B06"/>
    <w:rsid w:val="0050593E"/>
    <w:rsid w:val="0051159C"/>
    <w:rsid w:val="00512841"/>
    <w:rsid w:val="005216A1"/>
    <w:rsid w:val="00523372"/>
    <w:rsid w:val="00525A6F"/>
    <w:rsid w:val="00530571"/>
    <w:rsid w:val="0053629F"/>
    <w:rsid w:val="00540133"/>
    <w:rsid w:val="005406B1"/>
    <w:rsid w:val="0054343E"/>
    <w:rsid w:val="005448CD"/>
    <w:rsid w:val="005458FB"/>
    <w:rsid w:val="005509A5"/>
    <w:rsid w:val="00557E3E"/>
    <w:rsid w:val="005636B6"/>
    <w:rsid w:val="00571F52"/>
    <w:rsid w:val="005760A4"/>
    <w:rsid w:val="00576638"/>
    <w:rsid w:val="00580AFA"/>
    <w:rsid w:val="0058155A"/>
    <w:rsid w:val="00585105"/>
    <w:rsid w:val="00590194"/>
    <w:rsid w:val="00595BED"/>
    <w:rsid w:val="00595E99"/>
    <w:rsid w:val="005A188A"/>
    <w:rsid w:val="005B1BD4"/>
    <w:rsid w:val="005B223C"/>
    <w:rsid w:val="005C2117"/>
    <w:rsid w:val="005C5550"/>
    <w:rsid w:val="005C590A"/>
    <w:rsid w:val="005D29EA"/>
    <w:rsid w:val="005D438E"/>
    <w:rsid w:val="005E0CCF"/>
    <w:rsid w:val="005E4427"/>
    <w:rsid w:val="005E5FDF"/>
    <w:rsid w:val="005E6FD7"/>
    <w:rsid w:val="005F2EB7"/>
    <w:rsid w:val="005F375B"/>
    <w:rsid w:val="005F3BCA"/>
    <w:rsid w:val="005F6573"/>
    <w:rsid w:val="005F692E"/>
    <w:rsid w:val="005F74EB"/>
    <w:rsid w:val="0060439B"/>
    <w:rsid w:val="00610CC8"/>
    <w:rsid w:val="00612819"/>
    <w:rsid w:val="0061544D"/>
    <w:rsid w:val="006215CB"/>
    <w:rsid w:val="00626A1C"/>
    <w:rsid w:val="00630EF8"/>
    <w:rsid w:val="00633882"/>
    <w:rsid w:val="00633F26"/>
    <w:rsid w:val="006356F2"/>
    <w:rsid w:val="00635B0F"/>
    <w:rsid w:val="00637633"/>
    <w:rsid w:val="00637B13"/>
    <w:rsid w:val="00637B6A"/>
    <w:rsid w:val="006412BA"/>
    <w:rsid w:val="00642FCB"/>
    <w:rsid w:val="00644F8F"/>
    <w:rsid w:val="00653360"/>
    <w:rsid w:val="00655D34"/>
    <w:rsid w:val="00657502"/>
    <w:rsid w:val="0066718A"/>
    <w:rsid w:val="0067335C"/>
    <w:rsid w:val="00677792"/>
    <w:rsid w:val="00677DD5"/>
    <w:rsid w:val="00682B8C"/>
    <w:rsid w:val="00683AF7"/>
    <w:rsid w:val="00684654"/>
    <w:rsid w:val="0068466B"/>
    <w:rsid w:val="006850D9"/>
    <w:rsid w:val="00686246"/>
    <w:rsid w:val="00686B7E"/>
    <w:rsid w:val="006909A3"/>
    <w:rsid w:val="00691BD3"/>
    <w:rsid w:val="00695D3F"/>
    <w:rsid w:val="006962AB"/>
    <w:rsid w:val="0069673A"/>
    <w:rsid w:val="00696FDE"/>
    <w:rsid w:val="006A0A2F"/>
    <w:rsid w:val="006A0A37"/>
    <w:rsid w:val="006A27AF"/>
    <w:rsid w:val="006A4553"/>
    <w:rsid w:val="006B0FBF"/>
    <w:rsid w:val="006B109D"/>
    <w:rsid w:val="006B172B"/>
    <w:rsid w:val="006C28FF"/>
    <w:rsid w:val="006C30EB"/>
    <w:rsid w:val="006C7468"/>
    <w:rsid w:val="006D5DCD"/>
    <w:rsid w:val="006E1AC1"/>
    <w:rsid w:val="006E280A"/>
    <w:rsid w:val="006E3CCD"/>
    <w:rsid w:val="006F294C"/>
    <w:rsid w:val="006F5BFC"/>
    <w:rsid w:val="006F62DE"/>
    <w:rsid w:val="006F7700"/>
    <w:rsid w:val="00702915"/>
    <w:rsid w:val="0070294E"/>
    <w:rsid w:val="00706318"/>
    <w:rsid w:val="0070779A"/>
    <w:rsid w:val="00712800"/>
    <w:rsid w:val="00715D3D"/>
    <w:rsid w:val="00723858"/>
    <w:rsid w:val="007278D5"/>
    <w:rsid w:val="00727FA0"/>
    <w:rsid w:val="007369FD"/>
    <w:rsid w:val="007507AA"/>
    <w:rsid w:val="00751DCF"/>
    <w:rsid w:val="00752D53"/>
    <w:rsid w:val="00752EC0"/>
    <w:rsid w:val="0075739E"/>
    <w:rsid w:val="00760A83"/>
    <w:rsid w:val="00761F20"/>
    <w:rsid w:val="00770B60"/>
    <w:rsid w:val="00783753"/>
    <w:rsid w:val="007867FE"/>
    <w:rsid w:val="0079233F"/>
    <w:rsid w:val="007A5B98"/>
    <w:rsid w:val="007B3500"/>
    <w:rsid w:val="007C33CB"/>
    <w:rsid w:val="007C64C9"/>
    <w:rsid w:val="007D3F76"/>
    <w:rsid w:val="007D4813"/>
    <w:rsid w:val="007E0DCD"/>
    <w:rsid w:val="007E555B"/>
    <w:rsid w:val="007E5948"/>
    <w:rsid w:val="007F3CC8"/>
    <w:rsid w:val="0080511F"/>
    <w:rsid w:val="0081332E"/>
    <w:rsid w:val="00813EA3"/>
    <w:rsid w:val="0082153F"/>
    <w:rsid w:val="008248CF"/>
    <w:rsid w:val="008252D5"/>
    <w:rsid w:val="00830534"/>
    <w:rsid w:val="008404AD"/>
    <w:rsid w:val="008429EA"/>
    <w:rsid w:val="008436C3"/>
    <w:rsid w:val="0084380E"/>
    <w:rsid w:val="00847491"/>
    <w:rsid w:val="008506F9"/>
    <w:rsid w:val="008556A6"/>
    <w:rsid w:val="00855CE1"/>
    <w:rsid w:val="00856425"/>
    <w:rsid w:val="0086143F"/>
    <w:rsid w:val="00872397"/>
    <w:rsid w:val="008756DE"/>
    <w:rsid w:val="00875CDC"/>
    <w:rsid w:val="008835F9"/>
    <w:rsid w:val="00886D6C"/>
    <w:rsid w:val="00891487"/>
    <w:rsid w:val="00894C1F"/>
    <w:rsid w:val="008A1394"/>
    <w:rsid w:val="008A3CBF"/>
    <w:rsid w:val="008A3F7E"/>
    <w:rsid w:val="008A4EA0"/>
    <w:rsid w:val="008A5ECB"/>
    <w:rsid w:val="008A78F1"/>
    <w:rsid w:val="008A7D68"/>
    <w:rsid w:val="008B1B91"/>
    <w:rsid w:val="008C7029"/>
    <w:rsid w:val="008C72F9"/>
    <w:rsid w:val="008D0208"/>
    <w:rsid w:val="008D050B"/>
    <w:rsid w:val="008D20FF"/>
    <w:rsid w:val="008D2CF8"/>
    <w:rsid w:val="008D43C9"/>
    <w:rsid w:val="008D5B94"/>
    <w:rsid w:val="008D7E4D"/>
    <w:rsid w:val="008D7F31"/>
    <w:rsid w:val="008E4A70"/>
    <w:rsid w:val="008E55BD"/>
    <w:rsid w:val="008F0CE8"/>
    <w:rsid w:val="008F67A9"/>
    <w:rsid w:val="008F6D28"/>
    <w:rsid w:val="008F773F"/>
    <w:rsid w:val="008F7D1B"/>
    <w:rsid w:val="0090046B"/>
    <w:rsid w:val="00902025"/>
    <w:rsid w:val="0090299C"/>
    <w:rsid w:val="00903382"/>
    <w:rsid w:val="00905895"/>
    <w:rsid w:val="00916A9C"/>
    <w:rsid w:val="0091785D"/>
    <w:rsid w:val="009210CB"/>
    <w:rsid w:val="009213A5"/>
    <w:rsid w:val="00921BBB"/>
    <w:rsid w:val="00926B4F"/>
    <w:rsid w:val="00927BBE"/>
    <w:rsid w:val="00930584"/>
    <w:rsid w:val="00930C9E"/>
    <w:rsid w:val="009402C7"/>
    <w:rsid w:val="0094787A"/>
    <w:rsid w:val="00954825"/>
    <w:rsid w:val="00955E32"/>
    <w:rsid w:val="0095627C"/>
    <w:rsid w:val="0097607C"/>
    <w:rsid w:val="009838C0"/>
    <w:rsid w:val="009946AB"/>
    <w:rsid w:val="009A29C7"/>
    <w:rsid w:val="009A5230"/>
    <w:rsid w:val="009B6DC5"/>
    <w:rsid w:val="009C158B"/>
    <w:rsid w:val="009C20B4"/>
    <w:rsid w:val="009C773C"/>
    <w:rsid w:val="009C7747"/>
    <w:rsid w:val="009D1472"/>
    <w:rsid w:val="009D1D7F"/>
    <w:rsid w:val="009D1F96"/>
    <w:rsid w:val="009D47A5"/>
    <w:rsid w:val="009E0384"/>
    <w:rsid w:val="009E4243"/>
    <w:rsid w:val="009E6039"/>
    <w:rsid w:val="009E71F4"/>
    <w:rsid w:val="009E7338"/>
    <w:rsid w:val="00A114B2"/>
    <w:rsid w:val="00A13013"/>
    <w:rsid w:val="00A17EEC"/>
    <w:rsid w:val="00A2260C"/>
    <w:rsid w:val="00A22723"/>
    <w:rsid w:val="00A22844"/>
    <w:rsid w:val="00A3548D"/>
    <w:rsid w:val="00A35BAB"/>
    <w:rsid w:val="00A3778E"/>
    <w:rsid w:val="00A50166"/>
    <w:rsid w:val="00A5179D"/>
    <w:rsid w:val="00A579EB"/>
    <w:rsid w:val="00A608BC"/>
    <w:rsid w:val="00A62BB0"/>
    <w:rsid w:val="00A6682C"/>
    <w:rsid w:val="00A716C3"/>
    <w:rsid w:val="00A87FE0"/>
    <w:rsid w:val="00A91736"/>
    <w:rsid w:val="00A91896"/>
    <w:rsid w:val="00A92075"/>
    <w:rsid w:val="00A925BD"/>
    <w:rsid w:val="00A928D3"/>
    <w:rsid w:val="00A97C2C"/>
    <w:rsid w:val="00AA14EC"/>
    <w:rsid w:val="00AA4546"/>
    <w:rsid w:val="00AA7B9B"/>
    <w:rsid w:val="00AB2989"/>
    <w:rsid w:val="00AB3B91"/>
    <w:rsid w:val="00AB3D00"/>
    <w:rsid w:val="00AB550C"/>
    <w:rsid w:val="00AC05B2"/>
    <w:rsid w:val="00AC1362"/>
    <w:rsid w:val="00AC2C0F"/>
    <w:rsid w:val="00AC7685"/>
    <w:rsid w:val="00AC7D6D"/>
    <w:rsid w:val="00AD0330"/>
    <w:rsid w:val="00AE04EF"/>
    <w:rsid w:val="00AE2191"/>
    <w:rsid w:val="00AE270F"/>
    <w:rsid w:val="00AE63E8"/>
    <w:rsid w:val="00AE7018"/>
    <w:rsid w:val="00AF1D4F"/>
    <w:rsid w:val="00AF2E08"/>
    <w:rsid w:val="00AF3921"/>
    <w:rsid w:val="00AF5548"/>
    <w:rsid w:val="00B017F0"/>
    <w:rsid w:val="00B037FE"/>
    <w:rsid w:val="00B04311"/>
    <w:rsid w:val="00B13B5E"/>
    <w:rsid w:val="00B160F1"/>
    <w:rsid w:val="00B20A5E"/>
    <w:rsid w:val="00B226C8"/>
    <w:rsid w:val="00B22B3D"/>
    <w:rsid w:val="00B2640D"/>
    <w:rsid w:val="00B26708"/>
    <w:rsid w:val="00B30285"/>
    <w:rsid w:val="00B4134E"/>
    <w:rsid w:val="00B417CD"/>
    <w:rsid w:val="00B41FA5"/>
    <w:rsid w:val="00B436B5"/>
    <w:rsid w:val="00B457C4"/>
    <w:rsid w:val="00B519B0"/>
    <w:rsid w:val="00B609E4"/>
    <w:rsid w:val="00B61EBB"/>
    <w:rsid w:val="00B6225B"/>
    <w:rsid w:val="00B672B8"/>
    <w:rsid w:val="00B67518"/>
    <w:rsid w:val="00B700FC"/>
    <w:rsid w:val="00B75FAD"/>
    <w:rsid w:val="00B77B75"/>
    <w:rsid w:val="00B77EF3"/>
    <w:rsid w:val="00B83DB7"/>
    <w:rsid w:val="00BA1094"/>
    <w:rsid w:val="00BA219C"/>
    <w:rsid w:val="00BA22C8"/>
    <w:rsid w:val="00BA3CFF"/>
    <w:rsid w:val="00BA6F87"/>
    <w:rsid w:val="00BB5639"/>
    <w:rsid w:val="00BC0584"/>
    <w:rsid w:val="00BC42BD"/>
    <w:rsid w:val="00BD2A5F"/>
    <w:rsid w:val="00BD3A49"/>
    <w:rsid w:val="00BD3BD0"/>
    <w:rsid w:val="00BD5307"/>
    <w:rsid w:val="00BE116E"/>
    <w:rsid w:val="00BE7744"/>
    <w:rsid w:val="00BF1600"/>
    <w:rsid w:val="00BF3034"/>
    <w:rsid w:val="00BF592C"/>
    <w:rsid w:val="00C02685"/>
    <w:rsid w:val="00C0396A"/>
    <w:rsid w:val="00C040E0"/>
    <w:rsid w:val="00C119DB"/>
    <w:rsid w:val="00C1504A"/>
    <w:rsid w:val="00C16EA9"/>
    <w:rsid w:val="00C17CFD"/>
    <w:rsid w:val="00C22AF7"/>
    <w:rsid w:val="00C23C63"/>
    <w:rsid w:val="00C30B10"/>
    <w:rsid w:val="00C312F4"/>
    <w:rsid w:val="00C342E9"/>
    <w:rsid w:val="00C4262F"/>
    <w:rsid w:val="00C45370"/>
    <w:rsid w:val="00C52D5D"/>
    <w:rsid w:val="00C52D76"/>
    <w:rsid w:val="00C536BA"/>
    <w:rsid w:val="00C53DB0"/>
    <w:rsid w:val="00C561C6"/>
    <w:rsid w:val="00C5771E"/>
    <w:rsid w:val="00C57832"/>
    <w:rsid w:val="00C630D6"/>
    <w:rsid w:val="00C67740"/>
    <w:rsid w:val="00C72E7B"/>
    <w:rsid w:val="00C7449D"/>
    <w:rsid w:val="00C754C9"/>
    <w:rsid w:val="00C82FA3"/>
    <w:rsid w:val="00C94C79"/>
    <w:rsid w:val="00C97E65"/>
    <w:rsid w:val="00CA0E00"/>
    <w:rsid w:val="00CA1648"/>
    <w:rsid w:val="00CA23C3"/>
    <w:rsid w:val="00CB1610"/>
    <w:rsid w:val="00CB7BE9"/>
    <w:rsid w:val="00CC47CF"/>
    <w:rsid w:val="00CD61B2"/>
    <w:rsid w:val="00CE1F61"/>
    <w:rsid w:val="00CE7076"/>
    <w:rsid w:val="00CF168E"/>
    <w:rsid w:val="00CF2D15"/>
    <w:rsid w:val="00CF6B3A"/>
    <w:rsid w:val="00D00B10"/>
    <w:rsid w:val="00D03437"/>
    <w:rsid w:val="00D10087"/>
    <w:rsid w:val="00D10F8C"/>
    <w:rsid w:val="00D112DA"/>
    <w:rsid w:val="00D12D29"/>
    <w:rsid w:val="00D203D2"/>
    <w:rsid w:val="00D20B2F"/>
    <w:rsid w:val="00D24E9D"/>
    <w:rsid w:val="00D355D6"/>
    <w:rsid w:val="00D46B6C"/>
    <w:rsid w:val="00D574D3"/>
    <w:rsid w:val="00D57F25"/>
    <w:rsid w:val="00D66722"/>
    <w:rsid w:val="00D66DFD"/>
    <w:rsid w:val="00D67BBF"/>
    <w:rsid w:val="00D75C3E"/>
    <w:rsid w:val="00D7633D"/>
    <w:rsid w:val="00D828E2"/>
    <w:rsid w:val="00D86523"/>
    <w:rsid w:val="00D8693A"/>
    <w:rsid w:val="00D86B4C"/>
    <w:rsid w:val="00D87ED3"/>
    <w:rsid w:val="00D920A8"/>
    <w:rsid w:val="00D93410"/>
    <w:rsid w:val="00D93C4C"/>
    <w:rsid w:val="00D93F7F"/>
    <w:rsid w:val="00D978A0"/>
    <w:rsid w:val="00DA365E"/>
    <w:rsid w:val="00DA62CA"/>
    <w:rsid w:val="00DA7398"/>
    <w:rsid w:val="00DB094B"/>
    <w:rsid w:val="00DB5FEB"/>
    <w:rsid w:val="00DB71D0"/>
    <w:rsid w:val="00DC172F"/>
    <w:rsid w:val="00DC5460"/>
    <w:rsid w:val="00DD135D"/>
    <w:rsid w:val="00DD2DD4"/>
    <w:rsid w:val="00DD33E7"/>
    <w:rsid w:val="00DD3AD3"/>
    <w:rsid w:val="00DE1CA1"/>
    <w:rsid w:val="00DE2179"/>
    <w:rsid w:val="00DE5A43"/>
    <w:rsid w:val="00DF2BCB"/>
    <w:rsid w:val="00DF7151"/>
    <w:rsid w:val="00E02A97"/>
    <w:rsid w:val="00E0391F"/>
    <w:rsid w:val="00E07FA1"/>
    <w:rsid w:val="00E200D9"/>
    <w:rsid w:val="00E20CE6"/>
    <w:rsid w:val="00E237B1"/>
    <w:rsid w:val="00E2415F"/>
    <w:rsid w:val="00E2799B"/>
    <w:rsid w:val="00E31D05"/>
    <w:rsid w:val="00E3606D"/>
    <w:rsid w:val="00E40B69"/>
    <w:rsid w:val="00E425BC"/>
    <w:rsid w:val="00E43136"/>
    <w:rsid w:val="00E43447"/>
    <w:rsid w:val="00E43B50"/>
    <w:rsid w:val="00E45494"/>
    <w:rsid w:val="00E458DB"/>
    <w:rsid w:val="00E50EF1"/>
    <w:rsid w:val="00E57EDE"/>
    <w:rsid w:val="00E63342"/>
    <w:rsid w:val="00E67602"/>
    <w:rsid w:val="00E73E22"/>
    <w:rsid w:val="00E77577"/>
    <w:rsid w:val="00E8160B"/>
    <w:rsid w:val="00E82D1E"/>
    <w:rsid w:val="00E83EC9"/>
    <w:rsid w:val="00E8426C"/>
    <w:rsid w:val="00E851EE"/>
    <w:rsid w:val="00E92963"/>
    <w:rsid w:val="00E93E84"/>
    <w:rsid w:val="00E95C80"/>
    <w:rsid w:val="00EA3B72"/>
    <w:rsid w:val="00EB1F7D"/>
    <w:rsid w:val="00EB3158"/>
    <w:rsid w:val="00EB3DA5"/>
    <w:rsid w:val="00EC46A2"/>
    <w:rsid w:val="00ED05CA"/>
    <w:rsid w:val="00ED0A67"/>
    <w:rsid w:val="00EE24B7"/>
    <w:rsid w:val="00EF001B"/>
    <w:rsid w:val="00EF287A"/>
    <w:rsid w:val="00EF3313"/>
    <w:rsid w:val="00EF7154"/>
    <w:rsid w:val="00F03B52"/>
    <w:rsid w:val="00F069E5"/>
    <w:rsid w:val="00F07FD1"/>
    <w:rsid w:val="00F10AE7"/>
    <w:rsid w:val="00F13275"/>
    <w:rsid w:val="00F14682"/>
    <w:rsid w:val="00F14AEB"/>
    <w:rsid w:val="00F1590A"/>
    <w:rsid w:val="00F16E71"/>
    <w:rsid w:val="00F2254D"/>
    <w:rsid w:val="00F23C00"/>
    <w:rsid w:val="00F25238"/>
    <w:rsid w:val="00F252C8"/>
    <w:rsid w:val="00F33AED"/>
    <w:rsid w:val="00F369E1"/>
    <w:rsid w:val="00F36A82"/>
    <w:rsid w:val="00F42C15"/>
    <w:rsid w:val="00F449F7"/>
    <w:rsid w:val="00F45763"/>
    <w:rsid w:val="00F45866"/>
    <w:rsid w:val="00F50037"/>
    <w:rsid w:val="00F502F9"/>
    <w:rsid w:val="00F5166A"/>
    <w:rsid w:val="00F537D5"/>
    <w:rsid w:val="00F553EB"/>
    <w:rsid w:val="00F558E7"/>
    <w:rsid w:val="00F56B24"/>
    <w:rsid w:val="00F57902"/>
    <w:rsid w:val="00F60CBF"/>
    <w:rsid w:val="00F61C77"/>
    <w:rsid w:val="00F6207A"/>
    <w:rsid w:val="00F6422F"/>
    <w:rsid w:val="00F721E9"/>
    <w:rsid w:val="00F74DC8"/>
    <w:rsid w:val="00F77EEB"/>
    <w:rsid w:val="00F8053A"/>
    <w:rsid w:val="00F80663"/>
    <w:rsid w:val="00F846AE"/>
    <w:rsid w:val="00F8587F"/>
    <w:rsid w:val="00F868AA"/>
    <w:rsid w:val="00F86D86"/>
    <w:rsid w:val="00F922F7"/>
    <w:rsid w:val="00F942F2"/>
    <w:rsid w:val="00F94D38"/>
    <w:rsid w:val="00FA0534"/>
    <w:rsid w:val="00FA066F"/>
    <w:rsid w:val="00FA2726"/>
    <w:rsid w:val="00FA3D23"/>
    <w:rsid w:val="00FA50D9"/>
    <w:rsid w:val="00FA5153"/>
    <w:rsid w:val="00FB4A21"/>
    <w:rsid w:val="00FB4B55"/>
    <w:rsid w:val="00FB5A07"/>
    <w:rsid w:val="00FC7EA9"/>
    <w:rsid w:val="00FD1C0E"/>
    <w:rsid w:val="00FD5F91"/>
    <w:rsid w:val="00FD7010"/>
    <w:rsid w:val="00FD7677"/>
    <w:rsid w:val="00FD7BF5"/>
    <w:rsid w:val="00FE02BE"/>
    <w:rsid w:val="00FE102D"/>
    <w:rsid w:val="00FE1831"/>
    <w:rsid w:val="00FE20C6"/>
    <w:rsid w:val="00FE72AB"/>
    <w:rsid w:val="00FE74A9"/>
    <w:rsid w:val="00FE7A6E"/>
    <w:rsid w:val="00FF07FD"/>
    <w:rsid w:val="00FF371F"/>
    <w:rsid w:val="00FF3BB3"/>
    <w:rsid w:val="00FF4E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8A3"/>
    <w:rPr>
      <w:color w:val="0000FF" w:themeColor="hyperlink"/>
      <w:u w:val="single"/>
    </w:rPr>
  </w:style>
  <w:style w:type="table" w:styleId="TableGrid">
    <w:name w:val="Table Grid"/>
    <w:basedOn w:val="TableNormal"/>
    <w:uiPriority w:val="59"/>
    <w:rsid w:val="00234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3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447"/>
  </w:style>
  <w:style w:type="paragraph" w:styleId="Footer">
    <w:name w:val="footer"/>
    <w:basedOn w:val="Normal"/>
    <w:link w:val="FooterChar"/>
    <w:uiPriority w:val="99"/>
    <w:unhideWhenUsed/>
    <w:rsid w:val="00E43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447"/>
  </w:style>
  <w:style w:type="paragraph" w:styleId="BalloonText">
    <w:name w:val="Balloon Text"/>
    <w:basedOn w:val="Normal"/>
    <w:link w:val="BalloonTextChar"/>
    <w:uiPriority w:val="99"/>
    <w:semiHidden/>
    <w:unhideWhenUsed/>
    <w:rsid w:val="00E43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447"/>
    <w:rPr>
      <w:rFonts w:ascii="Tahoma" w:hAnsi="Tahoma" w:cs="Tahoma"/>
      <w:sz w:val="16"/>
      <w:szCs w:val="16"/>
    </w:rPr>
  </w:style>
  <w:style w:type="paragraph" w:styleId="ListParagraph">
    <w:name w:val="List Paragraph"/>
    <w:basedOn w:val="Normal"/>
    <w:uiPriority w:val="34"/>
    <w:qFormat/>
    <w:rsid w:val="00240FAD"/>
    <w:pPr>
      <w:ind w:left="720"/>
      <w:contextualSpacing/>
    </w:pPr>
  </w:style>
  <w:style w:type="character" w:styleId="FollowedHyperlink">
    <w:name w:val="FollowedHyperlink"/>
    <w:basedOn w:val="DefaultParagraphFont"/>
    <w:uiPriority w:val="99"/>
    <w:semiHidden/>
    <w:unhideWhenUsed/>
    <w:rsid w:val="008A3CBF"/>
    <w:rPr>
      <w:color w:val="800080" w:themeColor="followedHyperlink"/>
      <w:u w:val="single"/>
    </w:rPr>
  </w:style>
  <w:style w:type="paragraph" w:customStyle="1" w:styleId="BulletLevel1">
    <w:name w:val="Bullet Level 1"/>
    <w:basedOn w:val="Normal"/>
    <w:next w:val="Normal"/>
    <w:rsid w:val="009402C7"/>
    <w:pPr>
      <w:numPr>
        <w:numId w:val="4"/>
      </w:numPr>
      <w:spacing w:after="0" w:line="240" w:lineRule="auto"/>
      <w:jc w:val="both"/>
    </w:pPr>
    <w:rPr>
      <w:rFonts w:eastAsia="Times New Roman"/>
      <w:szCs w:val="20"/>
      <w:lang w:val="en-GB"/>
    </w:rPr>
  </w:style>
  <w:style w:type="character" w:styleId="CommentReference">
    <w:name w:val="annotation reference"/>
    <w:basedOn w:val="DefaultParagraphFont"/>
    <w:uiPriority w:val="99"/>
    <w:semiHidden/>
    <w:unhideWhenUsed/>
    <w:rsid w:val="00D7633D"/>
    <w:rPr>
      <w:sz w:val="16"/>
      <w:szCs w:val="16"/>
    </w:rPr>
  </w:style>
  <w:style w:type="paragraph" w:styleId="CommentText">
    <w:name w:val="annotation text"/>
    <w:basedOn w:val="Normal"/>
    <w:link w:val="CommentTextChar"/>
    <w:uiPriority w:val="99"/>
    <w:semiHidden/>
    <w:unhideWhenUsed/>
    <w:rsid w:val="00D7633D"/>
    <w:pPr>
      <w:spacing w:line="240" w:lineRule="auto"/>
    </w:pPr>
    <w:rPr>
      <w:sz w:val="20"/>
      <w:szCs w:val="20"/>
    </w:rPr>
  </w:style>
  <w:style w:type="character" w:customStyle="1" w:styleId="CommentTextChar">
    <w:name w:val="Comment Text Char"/>
    <w:basedOn w:val="DefaultParagraphFont"/>
    <w:link w:val="CommentText"/>
    <w:uiPriority w:val="99"/>
    <w:semiHidden/>
    <w:rsid w:val="00D7633D"/>
    <w:rPr>
      <w:sz w:val="20"/>
      <w:szCs w:val="20"/>
    </w:rPr>
  </w:style>
  <w:style w:type="paragraph" w:styleId="CommentSubject">
    <w:name w:val="annotation subject"/>
    <w:basedOn w:val="CommentText"/>
    <w:next w:val="CommentText"/>
    <w:link w:val="CommentSubjectChar"/>
    <w:uiPriority w:val="99"/>
    <w:semiHidden/>
    <w:unhideWhenUsed/>
    <w:rsid w:val="00D7633D"/>
    <w:rPr>
      <w:b/>
      <w:bCs/>
    </w:rPr>
  </w:style>
  <w:style w:type="character" w:customStyle="1" w:styleId="CommentSubjectChar">
    <w:name w:val="Comment Subject Char"/>
    <w:basedOn w:val="CommentTextChar"/>
    <w:link w:val="CommentSubject"/>
    <w:uiPriority w:val="99"/>
    <w:semiHidden/>
    <w:rsid w:val="00D7633D"/>
    <w:rPr>
      <w:b/>
      <w:bCs/>
      <w:sz w:val="20"/>
      <w:szCs w:val="20"/>
    </w:rPr>
  </w:style>
  <w:style w:type="paragraph" w:styleId="FootnoteText">
    <w:name w:val="footnote text"/>
    <w:aliases w:val="Footnote Text Char1,Footnote Text Char2 Char,Footnote Text Char1 Char Char1,Footnote Text Char Char Char Char1,Footnote Text Char Char1 Char1,Footnote Text Char1 Char1"/>
    <w:basedOn w:val="Normal"/>
    <w:link w:val="FootnoteTextChar"/>
    <w:rsid w:val="00571F52"/>
    <w:pPr>
      <w:tabs>
        <w:tab w:val="left" w:pos="284"/>
      </w:tabs>
      <w:spacing w:before="60" w:after="0" w:line="230" w:lineRule="exact"/>
      <w:ind w:left="284" w:hanging="284"/>
    </w:pPr>
    <w:rPr>
      <w:rFonts w:eastAsia="Times New Roman"/>
      <w:sz w:val="18"/>
      <w:szCs w:val="20"/>
      <w:lang w:val="en-GB"/>
    </w:rPr>
  </w:style>
  <w:style w:type="character" w:customStyle="1" w:styleId="FootnoteTextChar">
    <w:name w:val="Footnote Text Char"/>
    <w:aliases w:val="Footnote Text Char1 Char,Footnote Text Char2 Char Char,Footnote Text Char1 Char Char1 Char,Footnote Text Char Char Char Char1 Char,Footnote Text Char Char1 Char1 Char,Footnote Text Char1 Char1 Char"/>
    <w:basedOn w:val="DefaultParagraphFont"/>
    <w:link w:val="FootnoteText"/>
    <w:rsid w:val="00571F52"/>
    <w:rPr>
      <w:rFonts w:eastAsia="Times New Roman"/>
      <w:sz w:val="18"/>
      <w:szCs w:val="20"/>
      <w:lang w:val="en-GB"/>
    </w:rPr>
  </w:style>
  <w:style w:type="character" w:styleId="FootnoteReference">
    <w:name w:val="footnote reference"/>
    <w:basedOn w:val="DefaultParagraphFont"/>
    <w:rsid w:val="00571F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8A3"/>
    <w:rPr>
      <w:color w:val="0000FF" w:themeColor="hyperlink"/>
      <w:u w:val="single"/>
    </w:rPr>
  </w:style>
  <w:style w:type="table" w:styleId="TableGrid">
    <w:name w:val="Table Grid"/>
    <w:basedOn w:val="TableNormal"/>
    <w:uiPriority w:val="59"/>
    <w:rsid w:val="00234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34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447"/>
  </w:style>
  <w:style w:type="paragraph" w:styleId="Footer">
    <w:name w:val="footer"/>
    <w:basedOn w:val="Normal"/>
    <w:link w:val="FooterChar"/>
    <w:uiPriority w:val="99"/>
    <w:unhideWhenUsed/>
    <w:rsid w:val="00E434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447"/>
  </w:style>
  <w:style w:type="paragraph" w:styleId="BalloonText">
    <w:name w:val="Balloon Text"/>
    <w:basedOn w:val="Normal"/>
    <w:link w:val="BalloonTextChar"/>
    <w:uiPriority w:val="99"/>
    <w:semiHidden/>
    <w:unhideWhenUsed/>
    <w:rsid w:val="00E43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447"/>
    <w:rPr>
      <w:rFonts w:ascii="Tahoma" w:hAnsi="Tahoma" w:cs="Tahoma"/>
      <w:sz w:val="16"/>
      <w:szCs w:val="16"/>
    </w:rPr>
  </w:style>
  <w:style w:type="paragraph" w:styleId="ListParagraph">
    <w:name w:val="List Paragraph"/>
    <w:basedOn w:val="Normal"/>
    <w:uiPriority w:val="34"/>
    <w:qFormat/>
    <w:rsid w:val="00240FAD"/>
    <w:pPr>
      <w:ind w:left="720"/>
      <w:contextualSpacing/>
    </w:pPr>
  </w:style>
  <w:style w:type="character" w:styleId="FollowedHyperlink">
    <w:name w:val="FollowedHyperlink"/>
    <w:basedOn w:val="DefaultParagraphFont"/>
    <w:uiPriority w:val="99"/>
    <w:semiHidden/>
    <w:unhideWhenUsed/>
    <w:rsid w:val="008A3CBF"/>
    <w:rPr>
      <w:color w:val="800080" w:themeColor="followedHyperlink"/>
      <w:u w:val="single"/>
    </w:rPr>
  </w:style>
  <w:style w:type="paragraph" w:customStyle="1" w:styleId="BulletLevel1">
    <w:name w:val="Bullet Level 1"/>
    <w:basedOn w:val="Normal"/>
    <w:next w:val="Normal"/>
    <w:rsid w:val="009402C7"/>
    <w:pPr>
      <w:numPr>
        <w:numId w:val="4"/>
      </w:numPr>
      <w:spacing w:after="0" w:line="240" w:lineRule="auto"/>
      <w:jc w:val="both"/>
    </w:pPr>
    <w:rPr>
      <w:rFonts w:eastAsia="Times New Roman"/>
      <w:szCs w:val="20"/>
      <w:lang w:val="en-GB"/>
    </w:rPr>
  </w:style>
  <w:style w:type="character" w:styleId="CommentReference">
    <w:name w:val="annotation reference"/>
    <w:basedOn w:val="DefaultParagraphFont"/>
    <w:uiPriority w:val="99"/>
    <w:semiHidden/>
    <w:unhideWhenUsed/>
    <w:rsid w:val="00D7633D"/>
    <w:rPr>
      <w:sz w:val="16"/>
      <w:szCs w:val="16"/>
    </w:rPr>
  </w:style>
  <w:style w:type="paragraph" w:styleId="CommentText">
    <w:name w:val="annotation text"/>
    <w:basedOn w:val="Normal"/>
    <w:link w:val="CommentTextChar"/>
    <w:uiPriority w:val="99"/>
    <w:semiHidden/>
    <w:unhideWhenUsed/>
    <w:rsid w:val="00D7633D"/>
    <w:pPr>
      <w:spacing w:line="240" w:lineRule="auto"/>
    </w:pPr>
    <w:rPr>
      <w:sz w:val="20"/>
      <w:szCs w:val="20"/>
    </w:rPr>
  </w:style>
  <w:style w:type="character" w:customStyle="1" w:styleId="CommentTextChar">
    <w:name w:val="Comment Text Char"/>
    <w:basedOn w:val="DefaultParagraphFont"/>
    <w:link w:val="CommentText"/>
    <w:uiPriority w:val="99"/>
    <w:semiHidden/>
    <w:rsid w:val="00D7633D"/>
    <w:rPr>
      <w:sz w:val="20"/>
      <w:szCs w:val="20"/>
    </w:rPr>
  </w:style>
  <w:style w:type="paragraph" w:styleId="CommentSubject">
    <w:name w:val="annotation subject"/>
    <w:basedOn w:val="CommentText"/>
    <w:next w:val="CommentText"/>
    <w:link w:val="CommentSubjectChar"/>
    <w:uiPriority w:val="99"/>
    <w:semiHidden/>
    <w:unhideWhenUsed/>
    <w:rsid w:val="00D7633D"/>
    <w:rPr>
      <w:b/>
      <w:bCs/>
    </w:rPr>
  </w:style>
  <w:style w:type="character" w:customStyle="1" w:styleId="CommentSubjectChar">
    <w:name w:val="Comment Subject Char"/>
    <w:basedOn w:val="CommentTextChar"/>
    <w:link w:val="CommentSubject"/>
    <w:uiPriority w:val="99"/>
    <w:semiHidden/>
    <w:rsid w:val="00D7633D"/>
    <w:rPr>
      <w:b/>
      <w:bCs/>
      <w:sz w:val="20"/>
      <w:szCs w:val="20"/>
    </w:rPr>
  </w:style>
  <w:style w:type="paragraph" w:styleId="FootnoteText">
    <w:name w:val="footnote text"/>
    <w:aliases w:val="Footnote Text Char1,Footnote Text Char2 Char,Footnote Text Char1 Char Char1,Footnote Text Char Char Char Char1,Footnote Text Char Char1 Char1,Footnote Text Char1 Char1"/>
    <w:basedOn w:val="Normal"/>
    <w:link w:val="FootnoteTextChar"/>
    <w:rsid w:val="00571F52"/>
    <w:pPr>
      <w:tabs>
        <w:tab w:val="left" w:pos="284"/>
      </w:tabs>
      <w:spacing w:before="60" w:after="0" w:line="230" w:lineRule="exact"/>
      <w:ind w:left="284" w:hanging="284"/>
    </w:pPr>
    <w:rPr>
      <w:rFonts w:eastAsia="Times New Roman"/>
      <w:sz w:val="18"/>
      <w:szCs w:val="20"/>
      <w:lang w:val="en-GB"/>
    </w:rPr>
  </w:style>
  <w:style w:type="character" w:customStyle="1" w:styleId="FootnoteTextChar">
    <w:name w:val="Footnote Text Char"/>
    <w:aliases w:val="Footnote Text Char1 Char,Footnote Text Char2 Char Char,Footnote Text Char1 Char Char1 Char,Footnote Text Char Char Char Char1 Char,Footnote Text Char Char1 Char1 Char,Footnote Text Char1 Char1 Char"/>
    <w:basedOn w:val="DefaultParagraphFont"/>
    <w:link w:val="FootnoteText"/>
    <w:rsid w:val="00571F52"/>
    <w:rPr>
      <w:rFonts w:eastAsia="Times New Roman"/>
      <w:sz w:val="18"/>
      <w:szCs w:val="20"/>
      <w:lang w:val="en-GB"/>
    </w:rPr>
  </w:style>
  <w:style w:type="character" w:styleId="FootnoteReference">
    <w:name w:val="footnote reference"/>
    <w:basedOn w:val="DefaultParagraphFont"/>
    <w:rsid w:val="00571F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5715">
      <w:bodyDiv w:val="1"/>
      <w:marLeft w:val="0"/>
      <w:marRight w:val="0"/>
      <w:marTop w:val="0"/>
      <w:marBottom w:val="0"/>
      <w:divBdr>
        <w:top w:val="none" w:sz="0" w:space="0" w:color="auto"/>
        <w:left w:val="none" w:sz="0" w:space="0" w:color="auto"/>
        <w:bottom w:val="none" w:sz="0" w:space="0" w:color="auto"/>
        <w:right w:val="none" w:sz="0" w:space="0" w:color="auto"/>
      </w:divBdr>
    </w:div>
    <w:div w:id="620692082">
      <w:bodyDiv w:val="1"/>
      <w:marLeft w:val="0"/>
      <w:marRight w:val="0"/>
      <w:marTop w:val="0"/>
      <w:marBottom w:val="0"/>
      <w:divBdr>
        <w:top w:val="none" w:sz="0" w:space="0" w:color="auto"/>
        <w:left w:val="none" w:sz="0" w:space="0" w:color="auto"/>
        <w:bottom w:val="none" w:sz="0" w:space="0" w:color="auto"/>
        <w:right w:val="none" w:sz="0" w:space="0" w:color="auto"/>
      </w:divBdr>
    </w:div>
    <w:div w:id="1001087574">
      <w:bodyDiv w:val="1"/>
      <w:marLeft w:val="0"/>
      <w:marRight w:val="0"/>
      <w:marTop w:val="0"/>
      <w:marBottom w:val="0"/>
      <w:divBdr>
        <w:top w:val="none" w:sz="0" w:space="0" w:color="auto"/>
        <w:left w:val="none" w:sz="0" w:space="0" w:color="auto"/>
        <w:bottom w:val="none" w:sz="0" w:space="0" w:color="auto"/>
        <w:right w:val="none" w:sz="0" w:space="0" w:color="auto"/>
      </w:divBdr>
    </w:div>
    <w:div w:id="1647052404">
      <w:bodyDiv w:val="1"/>
      <w:marLeft w:val="0"/>
      <w:marRight w:val="0"/>
      <w:marTop w:val="0"/>
      <w:marBottom w:val="0"/>
      <w:divBdr>
        <w:top w:val="none" w:sz="0" w:space="0" w:color="auto"/>
        <w:left w:val="none" w:sz="0" w:space="0" w:color="auto"/>
        <w:bottom w:val="none" w:sz="0" w:space="0" w:color="auto"/>
        <w:right w:val="none" w:sz="0" w:space="0" w:color="auto"/>
      </w:divBdr>
    </w:div>
    <w:div w:id="1924532217">
      <w:bodyDiv w:val="1"/>
      <w:marLeft w:val="0"/>
      <w:marRight w:val="0"/>
      <w:marTop w:val="0"/>
      <w:marBottom w:val="0"/>
      <w:divBdr>
        <w:top w:val="none" w:sz="0" w:space="0" w:color="auto"/>
        <w:left w:val="none" w:sz="0" w:space="0" w:color="auto"/>
        <w:bottom w:val="none" w:sz="0" w:space="0" w:color="auto"/>
        <w:right w:val="none" w:sz="0" w:space="0" w:color="auto"/>
      </w:divBdr>
    </w:div>
    <w:div w:id="209381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wc.gov.au/documents/sites/wagereview2017/consultations/abisub.pdf" TargetMode="External"/><Relationship Id="rId18" Type="http://schemas.openxmlformats.org/officeDocument/2006/relationships/hyperlink" Target="https://www.fwc.gov.au/documents/sites/wagereview2017/consultations/abisub.pdf" TargetMode="External"/><Relationship Id="rId26" Type="http://schemas.openxmlformats.org/officeDocument/2006/relationships/hyperlink" Target="https://www.fwc.gov.au/documents/sites/wagereview2017/consultations/actusub.pdf" TargetMode="External"/><Relationship Id="rId39" Type="http://schemas.openxmlformats.org/officeDocument/2006/relationships/hyperlink" Target="https://www.fwc.gov.au/documents/sites/wagereview2017/consultations/acosssub.pdf" TargetMode="External"/><Relationship Id="rId3" Type="http://schemas.openxmlformats.org/officeDocument/2006/relationships/styles" Target="styles.xml"/><Relationship Id="rId21" Type="http://schemas.openxmlformats.org/officeDocument/2006/relationships/hyperlink" Target="https://www.fwc.gov.au/documents/sites/wagereview2017/consultations/actusub.pdf" TargetMode="External"/><Relationship Id="rId34" Type="http://schemas.openxmlformats.org/officeDocument/2006/relationships/hyperlink" Target="https://www.fwc.gov.au/documents/sites/wagereview2017/consultations/abisub.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fwc.gov.au/documents/sites/wagereview2017/consultations/acosssub.pdf" TargetMode="External"/><Relationship Id="rId17" Type="http://schemas.openxmlformats.org/officeDocument/2006/relationships/hyperlink" Target="https://www.fwc.gov.au/documents/sites/wagereview2017/consultations/aigroupsub.pdf" TargetMode="External"/><Relationship Id="rId25" Type="http://schemas.openxmlformats.org/officeDocument/2006/relationships/hyperlink" Target="https://www.fwc.gov.au/documents/sites/wagereview2017/consultations/ausgovsub.pdf" TargetMode="External"/><Relationship Id="rId33" Type="http://schemas.openxmlformats.org/officeDocument/2006/relationships/hyperlink" Target="https://www.fwc.gov.au/documents/sites/wagereview2017/consultations/aigroupsub.pdf" TargetMode="External"/><Relationship Id="rId38" Type="http://schemas.openxmlformats.org/officeDocument/2006/relationships/hyperlink" Target="https://www.fwc.gov.au/documents/sites/wagereview2017/consultations/aigroupsub.pdf" TargetMode="External"/><Relationship Id="rId2" Type="http://schemas.openxmlformats.org/officeDocument/2006/relationships/numbering" Target="numbering.xml"/><Relationship Id="rId16" Type="http://schemas.openxmlformats.org/officeDocument/2006/relationships/hyperlink" Target="https://www.fwc.gov.au/documents/sites/wagereview2017/consultations/actusub.pdf" TargetMode="External"/><Relationship Id="rId20" Type="http://schemas.openxmlformats.org/officeDocument/2006/relationships/hyperlink" Target="https://www.fwc.gov.au/documents/sites/wagereview2017/consultations/ausgovsub.pdf" TargetMode="External"/><Relationship Id="rId29" Type="http://schemas.openxmlformats.org/officeDocument/2006/relationships/hyperlink" Target="https://www.fwc.gov.au/documents/sites/wagereview2017/consultations/abisub.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wc.gov.au/documents/sites/wagereview2017/consultations/aigroupsub.pdf" TargetMode="External"/><Relationship Id="rId24" Type="http://schemas.openxmlformats.org/officeDocument/2006/relationships/hyperlink" Target="https://www.fwc.gov.au/documents/sites/wagereview2017/consultations/ndssub.doc" TargetMode="External"/><Relationship Id="rId32" Type="http://schemas.openxmlformats.org/officeDocument/2006/relationships/hyperlink" Target="https://www.fwc.gov.au/documents/sites/wagereview2017/consultations/actusub.pdf" TargetMode="External"/><Relationship Id="rId37" Type="http://schemas.openxmlformats.org/officeDocument/2006/relationships/hyperlink" Target="https://www.fwc.gov.au/documents/sites/wagereview2017/consultations/actusub.pdf"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fwc.gov.au/documents/sites/wagereview2017/consultations/ausgovsub.pdf" TargetMode="External"/><Relationship Id="rId23" Type="http://schemas.openxmlformats.org/officeDocument/2006/relationships/hyperlink" Target="https://www.fwc.gov.au/documents/sites/wagereview2017/consultations/abisub.pdf" TargetMode="External"/><Relationship Id="rId28" Type="http://schemas.openxmlformats.org/officeDocument/2006/relationships/hyperlink" Target="https://www.fwc.gov.au/documents/sites/wagereview2017/consultations/acosssub.pdf" TargetMode="External"/><Relationship Id="rId36" Type="http://schemas.openxmlformats.org/officeDocument/2006/relationships/hyperlink" Target="https://www.fwc.gov.au/documents/sites/wagereview2017/consultations/ausgovsub.pdf" TargetMode="External"/><Relationship Id="rId10" Type="http://schemas.openxmlformats.org/officeDocument/2006/relationships/hyperlink" Target="https://www.fwc.gov.au/documents/sites/wagereview2017/consultations/actusub.pdf" TargetMode="External"/><Relationship Id="rId19" Type="http://schemas.openxmlformats.org/officeDocument/2006/relationships/hyperlink" Target="https://www.fwc.gov.au/documents/sites/wagereview2017/consultations/ndssub.doc" TargetMode="External"/><Relationship Id="rId31" Type="http://schemas.openxmlformats.org/officeDocument/2006/relationships/hyperlink" Target="https://www.fwc.gov.au/documents/sites/wagereview2017/consultations/ausgovsub.pdf" TargetMode="External"/><Relationship Id="rId4" Type="http://schemas.microsoft.com/office/2007/relationships/stylesWithEffects" Target="stylesWithEffects.xml"/><Relationship Id="rId9" Type="http://schemas.openxmlformats.org/officeDocument/2006/relationships/hyperlink" Target="https://www.fwc.gov.au/documents/sites/wagereview2017/consultations/ausgovsub.pdf" TargetMode="External"/><Relationship Id="rId14" Type="http://schemas.openxmlformats.org/officeDocument/2006/relationships/hyperlink" Target="https://www.fwc.gov.au/documents/sites/wagereview2017/consultations/ndssub.doc" TargetMode="External"/><Relationship Id="rId22" Type="http://schemas.openxmlformats.org/officeDocument/2006/relationships/hyperlink" Target="https://www.fwc.gov.au/documents/sites/wagereview2017/consultations/aigroupsub.pdf" TargetMode="External"/><Relationship Id="rId27" Type="http://schemas.openxmlformats.org/officeDocument/2006/relationships/hyperlink" Target="https://www.fwc.gov.au/documents/sites/wagereview2017/consultations/aigroupsub.pdf" TargetMode="External"/><Relationship Id="rId30" Type="http://schemas.openxmlformats.org/officeDocument/2006/relationships/hyperlink" Target="https://www.fwc.gov.au/documents/sites/wagereview2017/consultations/ndssub.doc" TargetMode="External"/><Relationship Id="rId35" Type="http://schemas.openxmlformats.org/officeDocument/2006/relationships/hyperlink" Target="https://www.fwc.gov.au/documents/sites/wagereview2017/consultations/ndssub.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88B7E-DA1B-4D0B-A1CA-F78E7288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Fair Work Commission</Company>
  <LinksUpToDate>false</LinksUpToDate>
  <CharactersWithSpaces>12714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farmakis</cp:lastModifiedBy>
  <cp:revision>12</cp:revision>
  <cp:lastPrinted>2016-10-20T00:42:00Z</cp:lastPrinted>
  <dcterms:created xsi:type="dcterms:W3CDTF">2016-10-21T02:52:00Z</dcterms:created>
  <dcterms:modified xsi:type="dcterms:W3CDTF">2016-10-21T04:59:00Z</dcterms:modified>
</cp:coreProperties>
</file>