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CE6" w:rsidRDefault="00E20CE6" w:rsidP="00AB3B91">
      <w:pPr>
        <w:jc w:val="center"/>
      </w:pPr>
      <w:r>
        <w:rPr>
          <w:b/>
        </w:rPr>
        <w:t>SUMMARY OF SUBMISSIONS</w:t>
      </w:r>
      <w:r w:rsidR="0032732E">
        <w:rPr>
          <w:b/>
        </w:rPr>
        <w:t>: PROPOSAL TO ADOPT A MEIDUM-TERM TARGET</w:t>
      </w:r>
    </w:p>
    <w:p w:rsidR="008D050B" w:rsidRDefault="004269DF" w:rsidP="008D050B">
      <w:r>
        <w:t>This table is a summar</w:t>
      </w:r>
      <w:r w:rsidR="008D050B">
        <w:t xml:space="preserve">y of submissions lodged for the Annual Wage Review 2016–17 preliminary hearing </w:t>
      </w:r>
      <w:r w:rsidR="000668B6">
        <w:t xml:space="preserve">into </w:t>
      </w:r>
      <w:r w:rsidR="005612B8">
        <w:t xml:space="preserve">the proposal to adopt a medium-term target for the annual wage </w:t>
      </w:r>
      <w:r w:rsidR="008D050B">
        <w:t>review.</w:t>
      </w:r>
    </w:p>
    <w:tbl>
      <w:tblPr>
        <w:tblStyle w:val="TableGrid"/>
        <w:tblW w:w="5000" w:type="pct"/>
        <w:tblLook w:val="04A0" w:firstRow="1" w:lastRow="0" w:firstColumn="1" w:lastColumn="0" w:noHBand="0" w:noVBand="1"/>
      </w:tblPr>
      <w:tblGrid>
        <w:gridCol w:w="675"/>
        <w:gridCol w:w="4819"/>
        <w:gridCol w:w="8680"/>
      </w:tblGrid>
      <w:tr w:rsidR="00197CF3" w:rsidRPr="008D5B94" w:rsidTr="003A0778">
        <w:trPr>
          <w:trHeight w:val="347"/>
          <w:tblHeader/>
        </w:trPr>
        <w:tc>
          <w:tcPr>
            <w:tcW w:w="238" w:type="pct"/>
            <w:shd w:val="clear" w:color="auto" w:fill="C6D9F1" w:themeFill="text2" w:themeFillTint="33"/>
          </w:tcPr>
          <w:p w:rsidR="00197CF3" w:rsidRPr="008D5B94" w:rsidRDefault="00810B1B" w:rsidP="00381DD2">
            <w:pPr>
              <w:rPr>
                <w:b/>
              </w:rPr>
            </w:pPr>
            <w:r>
              <w:rPr>
                <w:b/>
              </w:rPr>
              <w:t>No.</w:t>
            </w:r>
          </w:p>
        </w:tc>
        <w:tc>
          <w:tcPr>
            <w:tcW w:w="1700" w:type="pct"/>
            <w:shd w:val="clear" w:color="auto" w:fill="C6D9F1" w:themeFill="text2" w:themeFillTint="33"/>
          </w:tcPr>
          <w:p w:rsidR="00197CF3" w:rsidRPr="008D5B94" w:rsidRDefault="00197CF3" w:rsidP="00381DD2">
            <w:pPr>
              <w:rPr>
                <w:b/>
              </w:rPr>
            </w:pPr>
            <w:r w:rsidRPr="008D5B94">
              <w:rPr>
                <w:b/>
              </w:rPr>
              <w:t>QUESTION</w:t>
            </w:r>
          </w:p>
        </w:tc>
        <w:tc>
          <w:tcPr>
            <w:tcW w:w="3062" w:type="pct"/>
            <w:shd w:val="clear" w:color="auto" w:fill="C6D9F1" w:themeFill="text2" w:themeFillTint="33"/>
          </w:tcPr>
          <w:p w:rsidR="00197CF3" w:rsidRPr="008D5B94" w:rsidRDefault="00197CF3" w:rsidP="00381DD2">
            <w:pPr>
              <w:rPr>
                <w:b/>
              </w:rPr>
            </w:pPr>
            <w:r w:rsidRPr="008D5B94">
              <w:rPr>
                <w:b/>
              </w:rPr>
              <w:t>SUMMARY OF SUBMISSION</w:t>
            </w:r>
            <w:r w:rsidR="00044BCD" w:rsidRPr="008D5B94">
              <w:rPr>
                <w:b/>
              </w:rPr>
              <w:t>S</w:t>
            </w:r>
          </w:p>
        </w:tc>
      </w:tr>
      <w:tr w:rsidR="00197CF3" w:rsidRPr="008D5B94" w:rsidTr="003A0778">
        <w:tc>
          <w:tcPr>
            <w:tcW w:w="238" w:type="pct"/>
          </w:tcPr>
          <w:p w:rsidR="00197CF3" w:rsidRPr="008D5B94" w:rsidRDefault="00197CF3" w:rsidP="00F558E7">
            <w:pPr>
              <w:pStyle w:val="ListParagraph"/>
              <w:ind w:left="0"/>
              <w:jc w:val="both"/>
            </w:pPr>
            <w:r w:rsidRPr="008D5B94">
              <w:t>1.</w:t>
            </w:r>
          </w:p>
          <w:p w:rsidR="00197CF3" w:rsidRPr="008D5B94" w:rsidRDefault="00197CF3" w:rsidP="00CA0E00">
            <w:pPr>
              <w:pStyle w:val="ListParagraph"/>
              <w:jc w:val="both"/>
            </w:pPr>
          </w:p>
        </w:tc>
        <w:tc>
          <w:tcPr>
            <w:tcW w:w="1700" w:type="pct"/>
          </w:tcPr>
          <w:p w:rsidR="004A77F6" w:rsidRPr="001A2F93" w:rsidRDefault="005612B8" w:rsidP="004A77F6">
            <w:pPr>
              <w:rPr>
                <w:b/>
                <w:i/>
                <w:lang w:eastAsia="en-AU"/>
              </w:rPr>
            </w:pPr>
            <w:r w:rsidRPr="005612B8">
              <w:rPr>
                <w:b/>
                <w:i/>
                <w:lang w:val="en-GB" w:eastAsia="en-AU"/>
              </w:rPr>
              <w:t xml:space="preserve">Taking into consideration the powers of the Panel to set national minimum wages and modern award minimum wages under </w:t>
            </w:r>
            <w:proofErr w:type="gramStart"/>
            <w:r w:rsidRPr="005612B8">
              <w:rPr>
                <w:b/>
                <w:i/>
                <w:lang w:val="en-GB" w:eastAsia="en-AU"/>
              </w:rPr>
              <w:t>s.285(</w:t>
            </w:r>
            <w:proofErr w:type="gramEnd"/>
            <w:r w:rsidRPr="005612B8">
              <w:rPr>
                <w:b/>
                <w:i/>
                <w:lang w:val="en-GB" w:eastAsia="en-AU"/>
              </w:rPr>
              <w:t xml:space="preserve">2) and the minimum wages and modern award objectives set out in </w:t>
            </w:r>
            <w:proofErr w:type="spellStart"/>
            <w:r w:rsidRPr="005612B8">
              <w:rPr>
                <w:b/>
                <w:i/>
                <w:lang w:val="en-GB" w:eastAsia="en-AU"/>
              </w:rPr>
              <w:t>ss</w:t>
            </w:r>
            <w:proofErr w:type="spellEnd"/>
            <w:r w:rsidRPr="005612B8">
              <w:rPr>
                <w:b/>
                <w:i/>
                <w:lang w:val="en-GB" w:eastAsia="en-AU"/>
              </w:rPr>
              <w:t xml:space="preserve"> 284 and 134 of the Fair Work Act 2009, does the legislative framework allow the Panel to adopt a medium-term target (or target range) for the NMW or modern award minimum wages?​</w:t>
            </w:r>
          </w:p>
          <w:p w:rsidR="00197CF3" w:rsidRPr="008D5B94" w:rsidRDefault="00197CF3" w:rsidP="00381DD2"/>
        </w:tc>
        <w:tc>
          <w:tcPr>
            <w:tcW w:w="3062" w:type="pct"/>
          </w:tcPr>
          <w:p w:rsidR="008D5B94" w:rsidRDefault="00EC149D" w:rsidP="005612B8">
            <w:hyperlink r:id="rId9" w:history="1">
              <w:r w:rsidR="005612B8" w:rsidRPr="00CE13AD">
                <w:rPr>
                  <w:rStyle w:val="Hyperlink"/>
                </w:rPr>
                <w:t>United Voice</w:t>
              </w:r>
            </w:hyperlink>
            <w:r w:rsidR="005612B8">
              <w:t xml:space="preserve"> (</w:t>
            </w:r>
            <w:proofErr w:type="spellStart"/>
            <w:r w:rsidR="005612B8">
              <w:t>para</w:t>
            </w:r>
            <w:proofErr w:type="spellEnd"/>
            <w:r w:rsidR="005612B8">
              <w:t xml:space="preserve">. 12) submitted that “the Panel can, </w:t>
            </w:r>
            <w:r w:rsidR="005612B8" w:rsidRPr="001122B8">
              <w:t>as a matter of discretion, adopt a medium-term</w:t>
            </w:r>
            <w:r w:rsidR="005612B8">
              <w:t xml:space="preserve"> target” which is (</w:t>
            </w:r>
            <w:proofErr w:type="spellStart"/>
            <w:r w:rsidR="005612B8">
              <w:t>para</w:t>
            </w:r>
            <w:proofErr w:type="spellEnd"/>
            <w:r w:rsidR="005612B8">
              <w:t>. 32) “</w:t>
            </w:r>
            <w:r w:rsidR="005612B8" w:rsidRPr="005612B8">
              <w:t>consistent with the Panel’s annual obligation to conduct a review</w:t>
            </w:r>
            <w:r w:rsidR="005612B8">
              <w:t>”.</w:t>
            </w:r>
          </w:p>
          <w:p w:rsidR="005612B8" w:rsidRDefault="005612B8" w:rsidP="005612B8"/>
          <w:p w:rsidR="005612B8" w:rsidRDefault="00EC149D" w:rsidP="005612B8">
            <w:hyperlink r:id="rId10" w:history="1">
              <w:r w:rsidR="005612B8" w:rsidRPr="00CE13AD">
                <w:rPr>
                  <w:rStyle w:val="Hyperlink"/>
                </w:rPr>
                <w:t>ACTU</w:t>
              </w:r>
            </w:hyperlink>
            <w:r w:rsidR="005612B8">
              <w:t xml:space="preserve"> (p. 1) submitted that “</w:t>
            </w:r>
            <w:r w:rsidR="005612B8" w:rsidRPr="00A560BD">
              <w:t>the legislative framework does permit the adoption of a medium term target of the</w:t>
            </w:r>
            <w:r w:rsidR="005612B8">
              <w:t xml:space="preserve"> </w:t>
            </w:r>
            <w:r w:rsidR="005612B8" w:rsidRPr="00A560BD">
              <w:t>type United Voice contends for and which we support</w:t>
            </w:r>
            <w:r w:rsidR="005612B8">
              <w:t>”.</w:t>
            </w:r>
          </w:p>
          <w:p w:rsidR="00E275D9" w:rsidRDefault="00E275D9" w:rsidP="005612B8"/>
          <w:p w:rsidR="00E275D9" w:rsidRDefault="00EC149D" w:rsidP="005612B8">
            <w:hyperlink r:id="rId11" w:history="1">
              <w:r w:rsidR="00E275D9" w:rsidRPr="00CE13AD">
                <w:rPr>
                  <w:rStyle w:val="Hyperlink"/>
                </w:rPr>
                <w:t>ACCER</w:t>
              </w:r>
            </w:hyperlink>
            <w:r w:rsidR="00E275D9">
              <w:t xml:space="preserve"> (</w:t>
            </w:r>
            <w:proofErr w:type="spellStart"/>
            <w:r w:rsidR="00E275D9">
              <w:t>para</w:t>
            </w:r>
            <w:proofErr w:type="spellEnd"/>
            <w:r w:rsidR="00E275D9">
              <w:t xml:space="preserve">. 12) submitted that </w:t>
            </w:r>
            <w:r w:rsidR="00810B1B">
              <w:t xml:space="preserve">it </w:t>
            </w:r>
            <w:r w:rsidR="00E275D9">
              <w:t>“</w:t>
            </w:r>
            <w:r w:rsidR="00E275D9" w:rsidRPr="00E275D9">
              <w:t xml:space="preserve">supports the submission by United Voice that its proposal for a medium-term target is consistent with the terms of the </w:t>
            </w:r>
            <w:r w:rsidR="00E275D9" w:rsidRPr="00E275D9">
              <w:rPr>
                <w:i/>
              </w:rPr>
              <w:t>Fair Work Act</w:t>
            </w:r>
            <w:r w:rsidR="00E275D9">
              <w:t>”.</w:t>
            </w:r>
          </w:p>
          <w:p w:rsidR="00E275D9" w:rsidRDefault="00E275D9" w:rsidP="009D07FB"/>
          <w:p w:rsidR="00E275D9" w:rsidRDefault="00EC149D" w:rsidP="005612B8">
            <w:hyperlink r:id="rId12" w:history="1">
              <w:r w:rsidR="001475C5" w:rsidRPr="00CE13AD">
                <w:rPr>
                  <w:rStyle w:val="Hyperlink"/>
                </w:rPr>
                <w:t>ACOSS</w:t>
              </w:r>
            </w:hyperlink>
            <w:r w:rsidR="001475C5">
              <w:t xml:space="preserve"> (p. 1) submitted that the proposal by United Voice “</w:t>
            </w:r>
            <w:r w:rsidR="005A2700" w:rsidRPr="005A2700">
              <w:t>is consistent with the view expressed in our minimum wage submissions</w:t>
            </w:r>
            <w:r w:rsidR="005A2700">
              <w:t>”.</w:t>
            </w:r>
          </w:p>
          <w:p w:rsidR="005A2700" w:rsidRDefault="005A2700" w:rsidP="005612B8"/>
          <w:p w:rsidR="005A2700" w:rsidRDefault="00EC149D" w:rsidP="005612B8">
            <w:hyperlink r:id="rId13" w:history="1">
              <w:r w:rsidR="005A2700" w:rsidRPr="00CE13AD">
                <w:rPr>
                  <w:rStyle w:val="Hyperlink"/>
                </w:rPr>
                <w:t>Australian Government</w:t>
              </w:r>
            </w:hyperlink>
            <w:r w:rsidR="005A2700">
              <w:t xml:space="preserve"> (p. 2) submitted that “</w:t>
            </w:r>
            <w:r w:rsidR="005A2700" w:rsidRPr="005A2700">
              <w:t>a medium term target or a predetermined formula for arriving at the NMW is inconsistent with this annualised review process</w:t>
            </w:r>
            <w:r w:rsidR="005A2700">
              <w:t>”.</w:t>
            </w:r>
          </w:p>
          <w:p w:rsidR="005A2700" w:rsidRDefault="005A2700" w:rsidP="005612B8"/>
          <w:p w:rsidR="005A2700" w:rsidRDefault="00EC149D" w:rsidP="005A2700">
            <w:hyperlink r:id="rId14" w:history="1">
              <w:r w:rsidR="005A2700" w:rsidRPr="00CE13AD">
                <w:rPr>
                  <w:rStyle w:val="Hyperlink"/>
                </w:rPr>
                <w:t>Ai Group</w:t>
              </w:r>
            </w:hyperlink>
            <w:r w:rsidR="005A2700">
              <w:t xml:space="preserve"> (p. 3) submitted that “the concept of a medium-term target (or target range) for the National Minimum Wage (NMW) or modern award minimum wages is inconsistent with the duty of the FWC to review minimum wages annually”.</w:t>
            </w:r>
          </w:p>
          <w:p w:rsidR="00AB0015" w:rsidRDefault="00AB0015" w:rsidP="005A2700"/>
          <w:p w:rsidR="00AB0015" w:rsidRDefault="00EC149D" w:rsidP="00AB0015">
            <w:hyperlink r:id="rId15" w:history="1">
              <w:r w:rsidR="00AB0015" w:rsidRPr="00CE13AD">
                <w:rPr>
                  <w:rStyle w:val="Hyperlink"/>
                </w:rPr>
                <w:t>ACCI</w:t>
              </w:r>
            </w:hyperlink>
            <w:r w:rsidR="00AB0015">
              <w:t xml:space="preserve"> (p. 4) submitted that “the statutory context does not support such an approach”.</w:t>
            </w:r>
          </w:p>
          <w:p w:rsidR="00AB0015" w:rsidRDefault="00AB0015" w:rsidP="00AB0015"/>
          <w:p w:rsidR="00AB0015" w:rsidRDefault="00EC149D" w:rsidP="00AB0015">
            <w:hyperlink r:id="rId16" w:history="1">
              <w:r w:rsidR="00AB0015" w:rsidRPr="00CE13AD">
                <w:rPr>
                  <w:rStyle w:val="Hyperlink"/>
                </w:rPr>
                <w:t>ABI&amp;NSWBC</w:t>
              </w:r>
            </w:hyperlink>
            <w:r w:rsidR="00AB0015">
              <w:t xml:space="preserve"> (</w:t>
            </w:r>
            <w:proofErr w:type="spellStart"/>
            <w:r w:rsidR="00AB0015">
              <w:t>para</w:t>
            </w:r>
            <w:proofErr w:type="spellEnd"/>
            <w:r w:rsidR="00AB0015">
              <w:t>. 3.1) submitted that “</w:t>
            </w:r>
            <w:r w:rsidR="00AB0015" w:rsidRPr="00AB0015">
              <w:t>the adoption of a medium-term target or target range for the National Minimum Wage or modern award minimum wages would be inconsistent with the prevailing statutory context relating to the AWR</w:t>
            </w:r>
            <w:r w:rsidR="00AB0015">
              <w:t>”.</w:t>
            </w:r>
          </w:p>
          <w:p w:rsidR="00AB0015" w:rsidRDefault="00AB0015" w:rsidP="00AB0015"/>
          <w:p w:rsidR="00AB0015" w:rsidRDefault="00EC149D" w:rsidP="00AB0015">
            <w:hyperlink r:id="rId17" w:history="1">
              <w:r w:rsidR="00AB0015" w:rsidRPr="00CE13AD">
                <w:rPr>
                  <w:rStyle w:val="Hyperlink"/>
                </w:rPr>
                <w:t>AFEI</w:t>
              </w:r>
            </w:hyperlink>
            <w:r w:rsidR="00AB0015">
              <w:t xml:space="preserve"> (</w:t>
            </w:r>
            <w:proofErr w:type="spellStart"/>
            <w:r w:rsidR="00AB0015">
              <w:t>para</w:t>
            </w:r>
            <w:proofErr w:type="spellEnd"/>
            <w:r w:rsidR="00AB0015">
              <w:t xml:space="preserve">. </w:t>
            </w:r>
            <w:r w:rsidR="00783F41">
              <w:t>2</w:t>
            </w:r>
            <w:r w:rsidR="00AB0015">
              <w:t>) submitted that “</w:t>
            </w:r>
            <w:r w:rsidR="00783F41">
              <w:t>[t]</w:t>
            </w:r>
            <w:r w:rsidR="00783F41" w:rsidRPr="00783F41">
              <w:t>here is no statutory remit to have a goal in mind for the medium or long term</w:t>
            </w:r>
            <w:r w:rsidR="00783F41">
              <w:t>”.</w:t>
            </w:r>
          </w:p>
          <w:p w:rsidR="00E275D9" w:rsidRPr="008D5B94" w:rsidRDefault="00E275D9" w:rsidP="005612B8"/>
        </w:tc>
      </w:tr>
      <w:tr w:rsidR="00197CF3" w:rsidRPr="008D5B94" w:rsidTr="003A0778">
        <w:tc>
          <w:tcPr>
            <w:tcW w:w="238" w:type="pct"/>
          </w:tcPr>
          <w:p w:rsidR="00197CF3" w:rsidRPr="008D5B94" w:rsidRDefault="00197CF3" w:rsidP="00381DD2">
            <w:r w:rsidRPr="008D5B94">
              <w:lastRenderedPageBreak/>
              <w:t>2.</w:t>
            </w:r>
          </w:p>
        </w:tc>
        <w:tc>
          <w:tcPr>
            <w:tcW w:w="1700" w:type="pct"/>
          </w:tcPr>
          <w:p w:rsidR="005850CF" w:rsidRDefault="005612B8" w:rsidP="004A77F6">
            <w:pPr>
              <w:rPr>
                <w:b/>
                <w:i/>
                <w:lang w:eastAsia="en-AU"/>
              </w:rPr>
            </w:pPr>
            <w:r w:rsidRPr="005612B8">
              <w:rPr>
                <w:b/>
                <w:i/>
                <w:lang w:eastAsia="en-AU"/>
              </w:rPr>
              <w:t>Should a medium-term target be set for the NMW or both the NMW and modern award minimum wages?</w:t>
            </w:r>
          </w:p>
          <w:p w:rsidR="00197CF3" w:rsidRPr="008D5B94" w:rsidRDefault="00197CF3" w:rsidP="005612B8"/>
        </w:tc>
        <w:tc>
          <w:tcPr>
            <w:tcW w:w="3062" w:type="pct"/>
          </w:tcPr>
          <w:p w:rsidR="0080112A" w:rsidRDefault="00EC149D" w:rsidP="000668B6">
            <w:hyperlink r:id="rId18" w:history="1">
              <w:r w:rsidR="00CE13AD" w:rsidRPr="00CE13AD">
                <w:rPr>
                  <w:rStyle w:val="Hyperlink"/>
                </w:rPr>
                <w:t>United Voice</w:t>
              </w:r>
            </w:hyperlink>
            <w:r w:rsidR="00CE13AD">
              <w:t xml:space="preserve"> </w:t>
            </w:r>
            <w:r w:rsidR="00455C33">
              <w:t>(</w:t>
            </w:r>
            <w:proofErr w:type="spellStart"/>
            <w:r w:rsidR="00455C33">
              <w:t>para</w:t>
            </w:r>
            <w:r w:rsidR="009F497D">
              <w:t>s</w:t>
            </w:r>
            <w:proofErr w:type="spellEnd"/>
            <w:r w:rsidR="00455C33">
              <w:t xml:space="preserve"> </w:t>
            </w:r>
            <w:r w:rsidR="009F497D">
              <w:t>49–</w:t>
            </w:r>
            <w:r w:rsidR="00455C33">
              <w:t xml:space="preserve">51) submitted that </w:t>
            </w:r>
            <w:r w:rsidR="0080112A">
              <w:t>“a medium-term target should be set for the NMW as the “floor” in the system” and “in respect of modern award minimum wages mo</w:t>
            </w:r>
            <w:r w:rsidR="009F497D">
              <w:t>re generally, we submit that no</w:t>
            </w:r>
            <w:r w:rsidR="0080112A">
              <w:t xml:space="preserve"> target should be set at this stage”.</w:t>
            </w:r>
          </w:p>
          <w:p w:rsidR="00455C33" w:rsidRDefault="00455C33" w:rsidP="000668B6"/>
          <w:p w:rsidR="00455C33" w:rsidRDefault="00EC149D" w:rsidP="00455C33">
            <w:hyperlink r:id="rId19" w:history="1">
              <w:r w:rsidR="008513E1" w:rsidRPr="00CE13AD">
                <w:rPr>
                  <w:rStyle w:val="Hyperlink"/>
                </w:rPr>
                <w:t>ACTU</w:t>
              </w:r>
            </w:hyperlink>
            <w:r w:rsidR="008513E1">
              <w:t xml:space="preserve"> </w:t>
            </w:r>
            <w:r w:rsidR="00455C33">
              <w:t>(p. 4) submitted that there is “merit, on equity grounds, in developing a mechanism to flow through increases to all modern award minimum wages in order to maintain skills based career paths and associated incentives”.</w:t>
            </w:r>
          </w:p>
          <w:p w:rsidR="00455C33" w:rsidRDefault="00455C33" w:rsidP="00455C33"/>
          <w:p w:rsidR="00455C33" w:rsidRDefault="00EC149D" w:rsidP="00455C33">
            <w:hyperlink r:id="rId20" w:history="1">
              <w:r w:rsidR="008513E1" w:rsidRPr="00CE13AD">
                <w:rPr>
                  <w:rStyle w:val="Hyperlink"/>
                </w:rPr>
                <w:t>ACCER</w:t>
              </w:r>
            </w:hyperlink>
            <w:r w:rsidR="008513E1">
              <w:t xml:space="preserve"> </w:t>
            </w:r>
            <w:r w:rsidR="008B4A30">
              <w:t>(</w:t>
            </w:r>
            <w:proofErr w:type="spellStart"/>
            <w:r w:rsidR="008B4A30">
              <w:t>para</w:t>
            </w:r>
            <w:proofErr w:type="spellEnd"/>
            <w:r w:rsidR="008B4A30">
              <w:t xml:space="preserve">. 69) submitted </w:t>
            </w:r>
            <w:r w:rsidR="008B4A30" w:rsidRPr="008B4A30">
              <w:t xml:space="preserve">that a medium-term target </w:t>
            </w:r>
            <w:r w:rsidR="009F497D">
              <w:t xml:space="preserve">should </w:t>
            </w:r>
            <w:r w:rsidR="008B4A30" w:rsidRPr="008B4A30">
              <w:t>also include modern award minimum wages</w:t>
            </w:r>
            <w:r w:rsidR="008B4A30">
              <w:t>.</w:t>
            </w:r>
          </w:p>
          <w:p w:rsidR="003402E2" w:rsidRDefault="003402E2" w:rsidP="00455C33"/>
          <w:p w:rsidR="003402E2" w:rsidRDefault="00EC149D" w:rsidP="00455C33">
            <w:hyperlink r:id="rId21" w:history="1">
              <w:r w:rsidR="00DB466F" w:rsidRPr="00CE13AD">
                <w:rPr>
                  <w:rStyle w:val="Hyperlink"/>
                </w:rPr>
                <w:t>Ai Group</w:t>
              </w:r>
            </w:hyperlink>
            <w:r w:rsidR="00DB466F">
              <w:t xml:space="preserve"> </w:t>
            </w:r>
            <w:r w:rsidR="003402E2">
              <w:t xml:space="preserve">(p. 5) submitted that “[a] </w:t>
            </w:r>
            <w:r w:rsidR="003402E2" w:rsidRPr="003402E2">
              <w:t>medium-term target should not be set for either</w:t>
            </w:r>
            <w:r w:rsidR="003402E2">
              <w:t>”.</w:t>
            </w:r>
          </w:p>
          <w:p w:rsidR="003402E2" w:rsidRDefault="003402E2" w:rsidP="00455C33"/>
          <w:p w:rsidR="003402E2" w:rsidRDefault="00EC149D" w:rsidP="003402E2">
            <w:hyperlink r:id="rId22" w:history="1">
              <w:r w:rsidR="00DB466F" w:rsidRPr="00CE13AD">
                <w:rPr>
                  <w:rStyle w:val="Hyperlink"/>
                </w:rPr>
                <w:t>ACCI</w:t>
              </w:r>
            </w:hyperlink>
            <w:r w:rsidR="00DB466F">
              <w:t xml:space="preserve"> </w:t>
            </w:r>
            <w:r w:rsidR="003402E2">
              <w:t>(p. 9) submitted that “a medium-term target of the nature sought by United Voice should not be set for either the National Minimum Wage or the modern award minimum wages”.</w:t>
            </w:r>
          </w:p>
          <w:p w:rsidR="003402E2" w:rsidRDefault="003402E2" w:rsidP="003402E2"/>
          <w:p w:rsidR="00455C33" w:rsidRDefault="00EC149D" w:rsidP="006776A6">
            <w:hyperlink r:id="rId23" w:history="1">
              <w:r w:rsidR="00DB466F" w:rsidRPr="00CE13AD">
                <w:rPr>
                  <w:rStyle w:val="Hyperlink"/>
                </w:rPr>
                <w:t>AFEI</w:t>
              </w:r>
            </w:hyperlink>
            <w:r w:rsidR="00DB466F">
              <w:t xml:space="preserve"> </w:t>
            </w:r>
            <w:r w:rsidR="003402E2">
              <w:t>(</w:t>
            </w:r>
            <w:proofErr w:type="spellStart"/>
            <w:r w:rsidR="003402E2">
              <w:t>para</w:t>
            </w:r>
            <w:proofErr w:type="spellEnd"/>
            <w:r w:rsidR="003402E2">
              <w:t xml:space="preserve">. 30) submitted that “a </w:t>
            </w:r>
            <w:r w:rsidR="003402E2" w:rsidRPr="003402E2">
              <w:t>target for the minimum wage and for award wages is not nece</w:t>
            </w:r>
            <w:r w:rsidR="003402E2">
              <w:t>ssary”</w:t>
            </w:r>
            <w:r w:rsidR="006776A6">
              <w:t>.</w:t>
            </w:r>
          </w:p>
          <w:p w:rsidR="006776A6" w:rsidRPr="008D5B94" w:rsidRDefault="006776A6" w:rsidP="006776A6"/>
        </w:tc>
      </w:tr>
      <w:tr w:rsidR="00197CF3" w:rsidRPr="008D5B94" w:rsidTr="003A0778">
        <w:tc>
          <w:tcPr>
            <w:tcW w:w="238" w:type="pct"/>
          </w:tcPr>
          <w:p w:rsidR="00197CF3" w:rsidRPr="008D5B94" w:rsidRDefault="00197CF3" w:rsidP="003A0778">
            <w:pPr>
              <w:keepNext/>
              <w:keepLines/>
            </w:pPr>
            <w:r w:rsidRPr="008D5B94">
              <w:lastRenderedPageBreak/>
              <w:t>3.</w:t>
            </w:r>
          </w:p>
        </w:tc>
        <w:tc>
          <w:tcPr>
            <w:tcW w:w="1700" w:type="pct"/>
          </w:tcPr>
          <w:p w:rsidR="005850CF" w:rsidRDefault="005612B8" w:rsidP="003A0778">
            <w:pPr>
              <w:keepNext/>
              <w:keepLines/>
              <w:rPr>
                <w:b/>
                <w:i/>
                <w:lang w:eastAsia="en-AU"/>
              </w:rPr>
            </w:pPr>
            <w:r w:rsidRPr="005612B8">
              <w:rPr>
                <w:b/>
                <w:i/>
                <w:lang w:eastAsia="en-AU"/>
              </w:rPr>
              <w:t>What are the reasons for or against setting a medium-term target?</w:t>
            </w:r>
          </w:p>
          <w:p w:rsidR="00197CF3" w:rsidRPr="008D5B94" w:rsidRDefault="00197CF3" w:rsidP="003A0778">
            <w:pPr>
              <w:keepNext/>
              <w:keepLines/>
            </w:pPr>
          </w:p>
        </w:tc>
        <w:tc>
          <w:tcPr>
            <w:tcW w:w="3062" w:type="pct"/>
          </w:tcPr>
          <w:p w:rsidR="00BD5307" w:rsidRDefault="00EC149D" w:rsidP="003A0778">
            <w:pPr>
              <w:keepNext/>
              <w:keepLines/>
            </w:pPr>
            <w:hyperlink r:id="rId24" w:history="1">
              <w:r w:rsidR="00CE13AD" w:rsidRPr="00CE13AD">
                <w:rPr>
                  <w:rStyle w:val="Hyperlink"/>
                </w:rPr>
                <w:t>United Voice</w:t>
              </w:r>
            </w:hyperlink>
            <w:r w:rsidR="00CE13AD">
              <w:t xml:space="preserve"> </w:t>
            </w:r>
            <w:r w:rsidR="004A2C06">
              <w:t>(</w:t>
            </w:r>
            <w:proofErr w:type="spellStart"/>
            <w:r w:rsidR="004A2C06">
              <w:t>para</w:t>
            </w:r>
            <w:proofErr w:type="spellEnd"/>
            <w:r w:rsidR="004A2C06">
              <w:t xml:space="preserve">. 55) submitted that </w:t>
            </w:r>
            <w:r w:rsidR="004A2C06" w:rsidRPr="004A2C06">
              <w:t xml:space="preserve">setting </w:t>
            </w:r>
            <w:r w:rsidR="009F497D">
              <w:t>“</w:t>
            </w:r>
            <w:r w:rsidR="004A2C06" w:rsidRPr="004A2C06">
              <w:t>a medium-term target would assist the Panel to balance the various considerations it is required to take account of</w:t>
            </w:r>
            <w:r w:rsidR="004A2C06">
              <w:t>”.</w:t>
            </w:r>
          </w:p>
          <w:p w:rsidR="004A2C06" w:rsidRDefault="004A2C06" w:rsidP="003A0778">
            <w:pPr>
              <w:keepNext/>
              <w:keepLines/>
            </w:pPr>
          </w:p>
          <w:p w:rsidR="004A2C06" w:rsidRDefault="00EC149D" w:rsidP="003A0778">
            <w:pPr>
              <w:keepNext/>
              <w:keepLines/>
            </w:pPr>
            <w:hyperlink r:id="rId25" w:history="1">
              <w:r w:rsidR="008513E1" w:rsidRPr="00CE13AD">
                <w:rPr>
                  <w:rStyle w:val="Hyperlink"/>
                </w:rPr>
                <w:t>ACTU</w:t>
              </w:r>
            </w:hyperlink>
            <w:r w:rsidR="008513E1">
              <w:t xml:space="preserve"> </w:t>
            </w:r>
            <w:r w:rsidR="004A2C06">
              <w:t xml:space="preserve">(p. 8) submitted that </w:t>
            </w:r>
            <w:r w:rsidR="004A2C06" w:rsidRPr="004A2C06">
              <w:t>“longer term trends are difficult to discern from the point of view of separate annual changes</w:t>
            </w:r>
            <w:r w:rsidR="004A2C06">
              <w:t>”.</w:t>
            </w:r>
          </w:p>
          <w:p w:rsidR="004A2C06" w:rsidRDefault="004A2C06" w:rsidP="003A0778">
            <w:pPr>
              <w:keepNext/>
              <w:keepLines/>
            </w:pPr>
          </w:p>
          <w:p w:rsidR="004A2C06" w:rsidRDefault="00EC149D" w:rsidP="003A0778">
            <w:pPr>
              <w:keepNext/>
              <w:keepLines/>
            </w:pPr>
            <w:hyperlink r:id="rId26" w:history="1">
              <w:r w:rsidR="008513E1" w:rsidRPr="00CE13AD">
                <w:rPr>
                  <w:rStyle w:val="Hyperlink"/>
                </w:rPr>
                <w:t>ACOSS</w:t>
              </w:r>
            </w:hyperlink>
            <w:r w:rsidR="008513E1">
              <w:t xml:space="preserve"> </w:t>
            </w:r>
            <w:r w:rsidR="004A2C06">
              <w:t xml:space="preserve">(p. 1) submitted that </w:t>
            </w:r>
            <w:r w:rsidR="004A2C06" w:rsidRPr="004A2C06">
              <w:t>without a medium-term target “there is a risk that these adequacy and work incentive goals will fade into the background as short term considerations take centre stag</w:t>
            </w:r>
            <w:r w:rsidR="004A2C06">
              <w:t>e”.</w:t>
            </w:r>
          </w:p>
          <w:p w:rsidR="004A2C06" w:rsidRDefault="004A2C06" w:rsidP="003A0778">
            <w:pPr>
              <w:keepNext/>
              <w:keepLines/>
            </w:pPr>
          </w:p>
          <w:p w:rsidR="004A2C06" w:rsidRDefault="00EC149D" w:rsidP="003A0778">
            <w:pPr>
              <w:keepNext/>
              <w:keepLines/>
            </w:pPr>
            <w:hyperlink r:id="rId27" w:history="1">
              <w:r w:rsidR="003212A7" w:rsidRPr="00CE13AD">
                <w:rPr>
                  <w:rStyle w:val="Hyperlink"/>
                </w:rPr>
                <w:t>Australian Government</w:t>
              </w:r>
            </w:hyperlink>
            <w:r w:rsidR="003212A7">
              <w:t xml:space="preserve"> </w:t>
            </w:r>
            <w:r w:rsidR="004A2C06">
              <w:t>(p. 2) submitted that a medium-term target may not address uncertainty of future annual wage reviews as “</w:t>
            </w:r>
            <w:r w:rsidR="004A2C06" w:rsidRPr="005E4623">
              <w:t xml:space="preserve">a future Panel would be free to adopt an alternative medium-term target, or no </w:t>
            </w:r>
            <w:proofErr w:type="gramStart"/>
            <w:r w:rsidR="004A2C06" w:rsidRPr="005E4623">
              <w:t>target,</w:t>
            </w:r>
            <w:proofErr w:type="gramEnd"/>
            <w:r w:rsidR="004A2C06" w:rsidRPr="005E4623">
              <w:t xml:space="preserve"> or to make a decision inconsistent with the target that had been set</w:t>
            </w:r>
            <w:r w:rsidR="004A2C06">
              <w:t>”.</w:t>
            </w:r>
          </w:p>
          <w:p w:rsidR="004A2C06" w:rsidRDefault="004A2C06" w:rsidP="003A0778">
            <w:pPr>
              <w:keepNext/>
              <w:keepLines/>
            </w:pPr>
          </w:p>
          <w:p w:rsidR="00F068E8" w:rsidRDefault="00EC149D" w:rsidP="003A0778">
            <w:pPr>
              <w:keepNext/>
              <w:keepLines/>
            </w:pPr>
            <w:hyperlink r:id="rId28" w:history="1">
              <w:r w:rsidR="00DB466F" w:rsidRPr="00CE13AD">
                <w:rPr>
                  <w:rStyle w:val="Hyperlink"/>
                </w:rPr>
                <w:t>Ai Group</w:t>
              </w:r>
            </w:hyperlink>
            <w:r w:rsidR="00DB466F">
              <w:t xml:space="preserve"> </w:t>
            </w:r>
            <w:r w:rsidR="00F068E8">
              <w:t xml:space="preserve">(p. 5) submitted that </w:t>
            </w:r>
            <w:r w:rsidR="00F068E8" w:rsidRPr="00F068E8">
              <w:t>“United Voice has failed to establish any inadequacy in the FWC’s current approach to adjusting minimum wages</w:t>
            </w:r>
            <w:r w:rsidR="00F068E8">
              <w:t>”.</w:t>
            </w:r>
          </w:p>
          <w:p w:rsidR="00F068E8" w:rsidRDefault="00F068E8" w:rsidP="003A0778">
            <w:pPr>
              <w:keepNext/>
              <w:keepLines/>
            </w:pPr>
          </w:p>
          <w:p w:rsidR="00F068E8" w:rsidRDefault="00EC149D" w:rsidP="003A0778">
            <w:pPr>
              <w:keepNext/>
              <w:keepLines/>
            </w:pPr>
            <w:hyperlink r:id="rId29" w:history="1">
              <w:r w:rsidR="00DB466F" w:rsidRPr="00CE13AD">
                <w:rPr>
                  <w:rStyle w:val="Hyperlink"/>
                </w:rPr>
                <w:t>ACCI</w:t>
              </w:r>
            </w:hyperlink>
            <w:r w:rsidR="00DB466F">
              <w:t xml:space="preserve"> </w:t>
            </w:r>
            <w:r w:rsidR="00F068E8">
              <w:t xml:space="preserve">(p. 10) submitted that </w:t>
            </w:r>
            <w:r w:rsidR="00866E95">
              <w:t>“implementing a medium-target based approach … fails to acknowledge the broad range of considerations that the Panel must take into account”.</w:t>
            </w:r>
          </w:p>
          <w:p w:rsidR="00F068E8" w:rsidRDefault="00F068E8" w:rsidP="003A0778">
            <w:pPr>
              <w:keepNext/>
              <w:keepLines/>
            </w:pPr>
          </w:p>
          <w:p w:rsidR="004A2C06" w:rsidRDefault="00EC149D" w:rsidP="003A0778">
            <w:pPr>
              <w:keepNext/>
              <w:keepLines/>
            </w:pPr>
            <w:hyperlink r:id="rId30" w:history="1">
              <w:r w:rsidR="00DB466F" w:rsidRPr="00CE13AD">
                <w:rPr>
                  <w:rStyle w:val="Hyperlink"/>
                </w:rPr>
                <w:t>ABI&amp;NSWBC</w:t>
              </w:r>
            </w:hyperlink>
            <w:r w:rsidR="00DB466F">
              <w:t xml:space="preserve"> </w:t>
            </w:r>
            <w:r w:rsidR="00591458">
              <w:t>(</w:t>
            </w:r>
            <w:proofErr w:type="spellStart"/>
            <w:r w:rsidR="00591458">
              <w:t>para</w:t>
            </w:r>
            <w:proofErr w:type="spellEnd"/>
            <w:r w:rsidR="00591458">
              <w:t>. 3.19) submitted that the “</w:t>
            </w:r>
            <w:r w:rsidR="00591458" w:rsidRPr="00591458">
              <w:t>primary reason against setting a medium-term target is that the introduction of a medium term target is inconsistent with the current operation of the FW Act</w:t>
            </w:r>
            <w:r w:rsidR="00591458">
              <w:t>” and (</w:t>
            </w:r>
            <w:proofErr w:type="spellStart"/>
            <w:r w:rsidR="00591458">
              <w:t>para</w:t>
            </w:r>
            <w:proofErr w:type="spellEnd"/>
            <w:r w:rsidR="00591458">
              <w:t>. 3.20) that it “</w:t>
            </w:r>
            <w:r w:rsidR="00591458" w:rsidRPr="00591458">
              <w:t>cannot identify any basis for the Fair Work Commission to move the assessment of the AWR to anything other than an annual basis</w:t>
            </w:r>
            <w:r w:rsidR="00591458">
              <w:t>”.</w:t>
            </w:r>
            <w:r w:rsidR="00F068E8">
              <w:t xml:space="preserve"> </w:t>
            </w:r>
          </w:p>
          <w:p w:rsidR="004A2C06" w:rsidRPr="008D73E0" w:rsidRDefault="004A2C06" w:rsidP="003A0778">
            <w:pPr>
              <w:keepNext/>
              <w:keepLines/>
            </w:pPr>
          </w:p>
        </w:tc>
      </w:tr>
      <w:tr w:rsidR="005612B8" w:rsidRPr="00A350D1" w:rsidTr="003A0778">
        <w:trPr>
          <w:trHeight w:val="1721"/>
        </w:trPr>
        <w:tc>
          <w:tcPr>
            <w:tcW w:w="238" w:type="pct"/>
            <w:vMerge w:val="restart"/>
          </w:tcPr>
          <w:p w:rsidR="005612B8" w:rsidRPr="00A350D1" w:rsidRDefault="005612B8" w:rsidP="004F0F59">
            <w:r>
              <w:lastRenderedPageBreak/>
              <w:t>4.</w:t>
            </w:r>
          </w:p>
        </w:tc>
        <w:tc>
          <w:tcPr>
            <w:tcW w:w="1700" w:type="pct"/>
          </w:tcPr>
          <w:p w:rsidR="005612B8" w:rsidRPr="005612B8" w:rsidRDefault="005612B8" w:rsidP="005612B8">
            <w:pPr>
              <w:rPr>
                <w:b/>
                <w:i/>
                <w:lang w:eastAsia="en-AU"/>
              </w:rPr>
            </w:pPr>
            <w:r w:rsidRPr="005612B8">
              <w:rPr>
                <w:b/>
                <w:i/>
                <w:lang w:eastAsia="en-AU"/>
              </w:rPr>
              <w:t>For parties advocating a medium-term target:</w:t>
            </w:r>
          </w:p>
          <w:p w:rsidR="005612B8" w:rsidRPr="006776A6" w:rsidRDefault="005612B8" w:rsidP="006776A6">
            <w:pPr>
              <w:pStyle w:val="ListParagraph"/>
              <w:numPr>
                <w:ilvl w:val="0"/>
                <w:numId w:val="5"/>
              </w:numPr>
              <w:rPr>
                <w:b/>
                <w:i/>
                <w:lang w:eastAsia="en-AU"/>
              </w:rPr>
            </w:pPr>
            <w:proofErr w:type="gramStart"/>
            <w:r w:rsidRPr="006776A6">
              <w:rPr>
                <w:b/>
                <w:i/>
                <w:lang w:eastAsia="en-AU"/>
              </w:rPr>
              <w:t>what</w:t>
            </w:r>
            <w:proofErr w:type="gramEnd"/>
            <w:r w:rsidRPr="006776A6">
              <w:rPr>
                <w:b/>
                <w:i/>
                <w:lang w:eastAsia="en-AU"/>
              </w:rPr>
              <w:t xml:space="preserve"> criteria should be applied in setting a medium-term target?</w:t>
            </w:r>
          </w:p>
          <w:p w:rsidR="005612B8" w:rsidRDefault="005612B8" w:rsidP="00FF3BB3"/>
        </w:tc>
        <w:tc>
          <w:tcPr>
            <w:tcW w:w="3062" w:type="pct"/>
          </w:tcPr>
          <w:p w:rsidR="00866E95" w:rsidRDefault="00EC149D" w:rsidP="000668B6">
            <w:pPr>
              <w:rPr>
                <w:lang w:val="en-GB"/>
              </w:rPr>
            </w:pPr>
            <w:hyperlink r:id="rId31" w:history="1">
              <w:r w:rsidR="00CE13AD" w:rsidRPr="00CE13AD">
                <w:rPr>
                  <w:rStyle w:val="Hyperlink"/>
                </w:rPr>
                <w:t>United Voice</w:t>
              </w:r>
            </w:hyperlink>
            <w:r w:rsidR="00CE13AD">
              <w:rPr>
                <w:lang w:val="en-GB"/>
              </w:rPr>
              <w:t xml:space="preserve"> </w:t>
            </w:r>
            <w:r w:rsidR="00905EFC">
              <w:rPr>
                <w:lang w:val="en-GB"/>
              </w:rPr>
              <w:t>(</w:t>
            </w:r>
            <w:proofErr w:type="spellStart"/>
            <w:r w:rsidR="00905EFC">
              <w:rPr>
                <w:lang w:val="en-GB"/>
              </w:rPr>
              <w:t>para</w:t>
            </w:r>
            <w:proofErr w:type="spellEnd"/>
            <w:r w:rsidR="00905EFC">
              <w:rPr>
                <w:lang w:val="en-GB"/>
              </w:rPr>
              <w:t>. 118) submitted that “</w:t>
            </w:r>
            <w:r w:rsidR="00905EFC" w:rsidRPr="00905EFC">
              <w:rPr>
                <w:lang w:val="en-GB"/>
              </w:rPr>
              <w:t>the full range of considerations the Panel is required to consider in setting the NMW are also relevant to the question of a target</w:t>
            </w:r>
            <w:r w:rsidR="00905EFC">
              <w:rPr>
                <w:lang w:val="en-GB"/>
              </w:rPr>
              <w:t>”</w:t>
            </w:r>
            <w:r w:rsidR="00866E95">
              <w:rPr>
                <w:lang w:val="en-GB"/>
              </w:rPr>
              <w:t xml:space="preserve"> and proposed the following criteria (</w:t>
            </w:r>
            <w:proofErr w:type="spellStart"/>
            <w:r w:rsidR="00866E95">
              <w:rPr>
                <w:lang w:val="en-GB"/>
              </w:rPr>
              <w:t>para</w:t>
            </w:r>
            <w:proofErr w:type="spellEnd"/>
            <w:r w:rsidR="00866E95">
              <w:rPr>
                <w:lang w:val="en-GB"/>
              </w:rPr>
              <w:t>. 120):</w:t>
            </w:r>
          </w:p>
          <w:p w:rsidR="00866E95" w:rsidRDefault="00866E95" w:rsidP="009D07FB">
            <w:pPr>
              <w:pStyle w:val="ListParagraph"/>
              <w:numPr>
                <w:ilvl w:val="0"/>
                <w:numId w:val="6"/>
              </w:numPr>
              <w:rPr>
                <w:lang w:val="en-GB"/>
              </w:rPr>
            </w:pPr>
            <w:r>
              <w:rPr>
                <w:lang w:val="en-GB"/>
              </w:rPr>
              <w:t>that a target will assist the Panel in the performance of its obligations under the Act an in balancing the various factors it must consider:</w:t>
            </w:r>
          </w:p>
          <w:p w:rsidR="00866E95" w:rsidRPr="00866E95" w:rsidRDefault="00866E95" w:rsidP="00866E95">
            <w:pPr>
              <w:pStyle w:val="ListParagraph"/>
              <w:numPr>
                <w:ilvl w:val="0"/>
                <w:numId w:val="6"/>
              </w:numPr>
              <w:rPr>
                <w:lang w:val="en-GB"/>
              </w:rPr>
            </w:pPr>
            <w:r>
              <w:rPr>
                <w:lang w:val="en-GB"/>
              </w:rPr>
              <w:t>t</w:t>
            </w:r>
            <w:r w:rsidRPr="00866E95">
              <w:rPr>
                <w:lang w:val="en-GB"/>
              </w:rPr>
              <w:t>hat a target contributes to a minimum wage system that is stable, transparent and broadly predictable, while retaining flexibility to respond to economic</w:t>
            </w:r>
            <w:r>
              <w:rPr>
                <w:lang w:val="en-GB"/>
              </w:rPr>
              <w:t xml:space="preserve"> </w:t>
            </w:r>
            <w:r w:rsidRPr="00866E95">
              <w:rPr>
                <w:lang w:val="en-GB"/>
              </w:rPr>
              <w:t>conditions; and</w:t>
            </w:r>
          </w:p>
          <w:p w:rsidR="005612B8" w:rsidRPr="00866E95" w:rsidRDefault="00866E95" w:rsidP="009D07FB">
            <w:pPr>
              <w:pStyle w:val="ListParagraph"/>
              <w:numPr>
                <w:ilvl w:val="0"/>
                <w:numId w:val="6"/>
              </w:numPr>
              <w:rPr>
                <w:lang w:val="en-GB"/>
              </w:rPr>
            </w:pPr>
            <w:proofErr w:type="gramStart"/>
            <w:r>
              <w:rPr>
                <w:lang w:val="en-GB"/>
              </w:rPr>
              <w:t>t</w:t>
            </w:r>
            <w:r w:rsidRPr="00866E95">
              <w:rPr>
                <w:lang w:val="en-GB"/>
              </w:rPr>
              <w:t>hat</w:t>
            </w:r>
            <w:proofErr w:type="gramEnd"/>
            <w:r w:rsidRPr="00866E95">
              <w:rPr>
                <w:lang w:val="en-GB"/>
              </w:rPr>
              <w:t xml:space="preserve"> ensures a target ensures appropriate focus on the needs and relative</w:t>
            </w:r>
            <w:r>
              <w:rPr>
                <w:lang w:val="en-GB"/>
              </w:rPr>
              <w:t xml:space="preserve"> </w:t>
            </w:r>
            <w:r w:rsidRPr="00866E95">
              <w:rPr>
                <w:lang w:val="en-GB"/>
              </w:rPr>
              <w:t>leaving standards of the low paid.</w:t>
            </w:r>
          </w:p>
          <w:p w:rsidR="00905EFC" w:rsidRDefault="00905EFC" w:rsidP="000668B6">
            <w:pPr>
              <w:rPr>
                <w:lang w:val="en-GB"/>
              </w:rPr>
            </w:pPr>
          </w:p>
          <w:p w:rsidR="00905EFC" w:rsidRDefault="00EC149D" w:rsidP="000668B6">
            <w:pPr>
              <w:rPr>
                <w:lang w:val="en-GB"/>
              </w:rPr>
            </w:pPr>
            <w:hyperlink r:id="rId32" w:history="1">
              <w:r w:rsidR="008513E1" w:rsidRPr="00CE13AD">
                <w:rPr>
                  <w:rStyle w:val="Hyperlink"/>
                </w:rPr>
                <w:t>ACTU</w:t>
              </w:r>
            </w:hyperlink>
            <w:r w:rsidR="008513E1">
              <w:rPr>
                <w:lang w:val="en-GB"/>
              </w:rPr>
              <w:t xml:space="preserve"> </w:t>
            </w:r>
            <w:r w:rsidR="00905EFC">
              <w:rPr>
                <w:lang w:val="en-GB"/>
              </w:rPr>
              <w:t xml:space="preserve">(p. 27) submitted </w:t>
            </w:r>
            <w:r w:rsidR="0049462F">
              <w:rPr>
                <w:lang w:val="en-GB"/>
              </w:rPr>
              <w:t>“</w:t>
            </w:r>
            <w:r w:rsidR="00905EFC">
              <w:rPr>
                <w:lang w:val="en-GB"/>
              </w:rPr>
              <w:t xml:space="preserve">that </w:t>
            </w:r>
            <w:r w:rsidR="00905EFC" w:rsidRPr="00905EFC">
              <w:rPr>
                <w:lang w:val="en-GB"/>
              </w:rPr>
              <w:t xml:space="preserve">the criteria </w:t>
            </w:r>
            <w:r w:rsidR="0049462F">
              <w:rPr>
                <w:lang w:val="en-GB"/>
              </w:rPr>
              <w:t xml:space="preserve">which apply under the Act can also be applied to establish a </w:t>
            </w:r>
            <w:r w:rsidR="00905EFC" w:rsidRPr="00905EFC">
              <w:rPr>
                <w:lang w:val="en-GB"/>
              </w:rPr>
              <w:t>medium-term target</w:t>
            </w:r>
            <w:r w:rsidR="0049462F">
              <w:rPr>
                <w:lang w:val="en-GB"/>
              </w:rPr>
              <w:t>”</w:t>
            </w:r>
            <w:r w:rsidR="00905EFC">
              <w:rPr>
                <w:lang w:val="en-GB"/>
              </w:rPr>
              <w:t>.</w:t>
            </w:r>
          </w:p>
          <w:p w:rsidR="00B140F3" w:rsidRPr="00D93410" w:rsidRDefault="00B140F3" w:rsidP="000668B6">
            <w:pPr>
              <w:rPr>
                <w:lang w:val="en-GB"/>
              </w:rPr>
            </w:pPr>
          </w:p>
        </w:tc>
      </w:tr>
      <w:tr w:rsidR="005612B8" w:rsidRPr="00A350D1" w:rsidTr="003A0778">
        <w:trPr>
          <w:trHeight w:val="1201"/>
        </w:trPr>
        <w:tc>
          <w:tcPr>
            <w:tcW w:w="238" w:type="pct"/>
            <w:vMerge/>
          </w:tcPr>
          <w:p w:rsidR="005612B8" w:rsidRDefault="005612B8" w:rsidP="004F0F59"/>
        </w:tc>
        <w:tc>
          <w:tcPr>
            <w:tcW w:w="1700" w:type="pct"/>
          </w:tcPr>
          <w:p w:rsidR="005612B8" w:rsidRPr="006776A6" w:rsidRDefault="005612B8" w:rsidP="006776A6">
            <w:pPr>
              <w:pStyle w:val="ListParagraph"/>
              <w:numPr>
                <w:ilvl w:val="0"/>
                <w:numId w:val="5"/>
              </w:numPr>
              <w:rPr>
                <w:b/>
                <w:i/>
                <w:lang w:eastAsia="en-AU"/>
              </w:rPr>
            </w:pPr>
            <w:proofErr w:type="gramStart"/>
            <w:r w:rsidRPr="006776A6">
              <w:rPr>
                <w:b/>
                <w:i/>
                <w:lang w:eastAsia="en-AU"/>
              </w:rPr>
              <w:t>what</w:t>
            </w:r>
            <w:proofErr w:type="gramEnd"/>
            <w:r w:rsidRPr="006776A6">
              <w:rPr>
                <w:b/>
                <w:i/>
                <w:lang w:eastAsia="en-AU"/>
              </w:rPr>
              <w:t xml:space="preserve"> target (or target range) should be proposed?</w:t>
            </w:r>
          </w:p>
        </w:tc>
        <w:tc>
          <w:tcPr>
            <w:tcW w:w="3062" w:type="pct"/>
          </w:tcPr>
          <w:p w:rsidR="005612B8" w:rsidRDefault="00EC149D" w:rsidP="00B140F3">
            <w:pPr>
              <w:rPr>
                <w:lang w:val="en-GB"/>
              </w:rPr>
            </w:pPr>
            <w:hyperlink r:id="rId33" w:history="1">
              <w:r w:rsidR="00CE13AD" w:rsidRPr="00CE13AD">
                <w:rPr>
                  <w:rStyle w:val="Hyperlink"/>
                </w:rPr>
                <w:t>United Voice</w:t>
              </w:r>
            </w:hyperlink>
            <w:r w:rsidR="00CE13AD">
              <w:rPr>
                <w:lang w:val="en-GB"/>
              </w:rPr>
              <w:t xml:space="preserve"> </w:t>
            </w:r>
            <w:r w:rsidR="00B140F3">
              <w:rPr>
                <w:lang w:val="en-GB"/>
              </w:rPr>
              <w:t>(</w:t>
            </w:r>
            <w:proofErr w:type="spellStart"/>
            <w:r w:rsidR="00B140F3">
              <w:rPr>
                <w:lang w:val="en-GB"/>
              </w:rPr>
              <w:t>para</w:t>
            </w:r>
            <w:proofErr w:type="spellEnd"/>
            <w:r w:rsidR="00B140F3">
              <w:rPr>
                <w:lang w:val="en-GB"/>
              </w:rPr>
              <w:t xml:space="preserve">. 121) submitted that </w:t>
            </w:r>
            <w:r w:rsidR="00B140F3" w:rsidRPr="00B140F3">
              <w:rPr>
                <w:lang w:val="en-GB"/>
              </w:rPr>
              <w:t>a medium-term target for the national minimum wage be set at 60 per cent of median (adult) ordinary time earnings</w:t>
            </w:r>
            <w:r w:rsidR="00B140F3">
              <w:rPr>
                <w:lang w:val="en-GB"/>
              </w:rPr>
              <w:t>.</w:t>
            </w:r>
          </w:p>
          <w:p w:rsidR="0077410D" w:rsidRDefault="0077410D" w:rsidP="00B140F3">
            <w:pPr>
              <w:rPr>
                <w:lang w:val="en-GB"/>
              </w:rPr>
            </w:pPr>
          </w:p>
          <w:p w:rsidR="0077410D" w:rsidRDefault="00EC149D" w:rsidP="0077410D">
            <w:pPr>
              <w:rPr>
                <w:lang w:val="en-GB"/>
              </w:rPr>
            </w:pPr>
            <w:hyperlink r:id="rId34" w:history="1">
              <w:r w:rsidR="00DB466F" w:rsidRPr="00CE13AD">
                <w:rPr>
                  <w:rStyle w:val="Hyperlink"/>
                </w:rPr>
                <w:t>ACTU</w:t>
              </w:r>
            </w:hyperlink>
            <w:r w:rsidR="00DB466F">
              <w:t xml:space="preserve"> </w:t>
            </w:r>
            <w:r w:rsidR="0077410D">
              <w:rPr>
                <w:lang w:val="en-GB"/>
              </w:rPr>
              <w:t>(p. 27) submitted that “</w:t>
            </w:r>
            <w:r w:rsidR="0077410D" w:rsidRPr="0077410D">
              <w:rPr>
                <w:lang w:val="en-GB"/>
              </w:rPr>
              <w:t>60% of median adult ordinary time earnings</w:t>
            </w:r>
            <w:r w:rsidR="00B95164">
              <w:rPr>
                <w:lang w:val="en-GB"/>
              </w:rPr>
              <w:t xml:space="preserve"> </w:t>
            </w:r>
            <w:proofErr w:type="gramStart"/>
            <w:r w:rsidR="0077410D" w:rsidRPr="0077410D">
              <w:rPr>
                <w:lang w:val="en-GB"/>
              </w:rPr>
              <w:t>is</w:t>
            </w:r>
            <w:proofErr w:type="gramEnd"/>
            <w:r w:rsidR="0077410D" w:rsidRPr="0077410D">
              <w:rPr>
                <w:lang w:val="en-GB"/>
              </w:rPr>
              <w:t xml:space="preserve"> a suitable target</w:t>
            </w:r>
            <w:r w:rsidR="0077410D">
              <w:rPr>
                <w:lang w:val="en-GB"/>
              </w:rPr>
              <w:t>”.</w:t>
            </w:r>
          </w:p>
          <w:p w:rsidR="00B95164" w:rsidRDefault="00B95164" w:rsidP="0077410D">
            <w:pPr>
              <w:rPr>
                <w:lang w:val="en-GB"/>
              </w:rPr>
            </w:pPr>
          </w:p>
          <w:p w:rsidR="00B95164" w:rsidRDefault="00EC149D" w:rsidP="0077410D">
            <w:hyperlink r:id="rId35" w:history="1">
              <w:r w:rsidR="008513E1" w:rsidRPr="00CE13AD">
                <w:rPr>
                  <w:rStyle w:val="Hyperlink"/>
                </w:rPr>
                <w:t>ACCER</w:t>
              </w:r>
            </w:hyperlink>
            <w:r w:rsidR="008513E1">
              <w:t xml:space="preserve"> </w:t>
            </w:r>
            <w:r w:rsidR="00B95164">
              <w:rPr>
                <w:lang w:val="en-GB"/>
              </w:rPr>
              <w:t>(</w:t>
            </w:r>
            <w:proofErr w:type="spellStart"/>
            <w:r w:rsidR="00B95164">
              <w:rPr>
                <w:lang w:val="en-GB"/>
              </w:rPr>
              <w:t>para</w:t>
            </w:r>
            <w:proofErr w:type="spellEnd"/>
            <w:r w:rsidR="00B95164">
              <w:rPr>
                <w:lang w:val="en-GB"/>
              </w:rPr>
              <w:t>. 20) submitted that a</w:t>
            </w:r>
            <w:r w:rsidR="00B95164">
              <w:t>n “initial” medium-term target “be based on the alleviation of poverty”</w:t>
            </w:r>
            <w:r w:rsidR="00C17890">
              <w:t xml:space="preserve"> set (</w:t>
            </w:r>
            <w:proofErr w:type="spellStart"/>
            <w:r w:rsidR="00C17890">
              <w:t>para</w:t>
            </w:r>
            <w:proofErr w:type="spellEnd"/>
            <w:r w:rsidR="00C17890">
              <w:t xml:space="preserve">. 66) </w:t>
            </w:r>
            <w:r w:rsidR="00C17890" w:rsidRPr="00C17890">
              <w:t>“by reference to the poverty levels and relative living standards recorded by the AFPC [Australian Fair Pay Commission] for December 2007</w:t>
            </w:r>
            <w:r w:rsidR="00C17890">
              <w:t>”.</w:t>
            </w:r>
          </w:p>
          <w:p w:rsidR="00C02919" w:rsidRDefault="00C02919" w:rsidP="0077410D"/>
          <w:p w:rsidR="00C02919" w:rsidRDefault="00EC149D" w:rsidP="0077410D">
            <w:hyperlink r:id="rId36" w:history="1">
              <w:r w:rsidR="008513E1" w:rsidRPr="00CE13AD">
                <w:rPr>
                  <w:rStyle w:val="Hyperlink"/>
                </w:rPr>
                <w:t>ACOSS</w:t>
              </w:r>
            </w:hyperlink>
            <w:r w:rsidR="008513E1">
              <w:t xml:space="preserve"> </w:t>
            </w:r>
            <w:r w:rsidR="00C02919">
              <w:t xml:space="preserve">(p. 3) submitted that </w:t>
            </w:r>
            <w:r w:rsidR="00C02919" w:rsidRPr="00C02919">
              <w:t xml:space="preserve">the Panel “should substantially increase real </w:t>
            </w:r>
            <w:r w:rsidR="00C02919">
              <w:t>m</w:t>
            </w:r>
            <w:r w:rsidR="00C02919" w:rsidRPr="00C02919">
              <w:t>inimum wages in order to significantly reduce the gap between them and median pay levels” with decisions informed by “benchmark” estimates of attaining a “decent basic living standard” for a single adult</w:t>
            </w:r>
            <w:r w:rsidR="00C02919">
              <w:t>.</w:t>
            </w:r>
          </w:p>
          <w:p w:rsidR="001D2312" w:rsidRDefault="001D2312" w:rsidP="0077410D"/>
          <w:p w:rsidR="00B95164" w:rsidRDefault="00EC149D" w:rsidP="009D07FB">
            <w:pPr>
              <w:rPr>
                <w:lang w:val="en-GB"/>
              </w:rPr>
            </w:pPr>
            <w:hyperlink r:id="rId37" w:history="1">
              <w:r w:rsidR="00DB466F" w:rsidRPr="00CE13AD">
                <w:rPr>
                  <w:rStyle w:val="Hyperlink"/>
                </w:rPr>
                <w:t>ACCI</w:t>
              </w:r>
            </w:hyperlink>
            <w:r w:rsidR="00DB466F">
              <w:t xml:space="preserve"> </w:t>
            </w:r>
            <w:r w:rsidR="001D2312">
              <w:rPr>
                <w:lang w:val="en-GB"/>
              </w:rPr>
              <w:t>(pp. 12–13) submitted that “</w:t>
            </w:r>
            <w:r w:rsidR="001D2312" w:rsidRPr="001D2312">
              <w:rPr>
                <w:lang w:val="en-GB"/>
              </w:rPr>
              <w:t>setting a medium-term target that is directed at the</w:t>
            </w:r>
            <w:r w:rsidR="001D2312">
              <w:rPr>
                <w:lang w:val="en-GB"/>
              </w:rPr>
              <w:t xml:space="preserve"> </w:t>
            </w:r>
            <w:r w:rsidR="001D2312" w:rsidRPr="001D2312">
              <w:rPr>
                <w:lang w:val="en-GB"/>
              </w:rPr>
              <w:lastRenderedPageBreak/>
              <w:t>minimum wage bite oversimplifies the social considerations underpinning minimum wage setting</w:t>
            </w:r>
            <w:r w:rsidR="001D2312">
              <w:rPr>
                <w:lang w:val="en-GB"/>
              </w:rPr>
              <w:t xml:space="preserve"> </w:t>
            </w:r>
            <w:r w:rsidR="001D2312" w:rsidRPr="001D2312">
              <w:rPr>
                <w:lang w:val="en-GB"/>
              </w:rPr>
              <w:t>and the important role that other measures have in impacting the living standards of low paid</w:t>
            </w:r>
            <w:r w:rsidR="001D2312">
              <w:rPr>
                <w:lang w:val="en-GB"/>
              </w:rPr>
              <w:t xml:space="preserve"> </w:t>
            </w:r>
            <w:r w:rsidR="001D2312" w:rsidRPr="001D2312">
              <w:rPr>
                <w:lang w:val="en-GB"/>
              </w:rPr>
              <w:t>workers including tax and offset changes, welfare payments and subsidies</w:t>
            </w:r>
            <w:r w:rsidR="001D2312">
              <w:rPr>
                <w:lang w:val="en-GB"/>
              </w:rPr>
              <w:t>”.</w:t>
            </w:r>
          </w:p>
          <w:p w:rsidR="009D07FB" w:rsidRPr="00D93410" w:rsidRDefault="009D07FB" w:rsidP="009D07FB">
            <w:pPr>
              <w:rPr>
                <w:lang w:val="en-GB"/>
              </w:rPr>
            </w:pPr>
          </w:p>
        </w:tc>
      </w:tr>
      <w:tr w:rsidR="00E63342" w:rsidRPr="00A350D1" w:rsidTr="003A0778">
        <w:trPr>
          <w:trHeight w:val="1134"/>
        </w:trPr>
        <w:tc>
          <w:tcPr>
            <w:tcW w:w="238" w:type="pct"/>
          </w:tcPr>
          <w:p w:rsidR="00E63342" w:rsidRPr="00A350D1" w:rsidRDefault="00E63342" w:rsidP="004E3EC3">
            <w:r>
              <w:lastRenderedPageBreak/>
              <w:t>5.</w:t>
            </w:r>
          </w:p>
        </w:tc>
        <w:tc>
          <w:tcPr>
            <w:tcW w:w="1700" w:type="pct"/>
          </w:tcPr>
          <w:p w:rsidR="004A77F6" w:rsidRPr="001A2F93" w:rsidRDefault="005612B8" w:rsidP="004A77F6">
            <w:pPr>
              <w:rPr>
                <w:b/>
                <w:i/>
                <w:lang w:eastAsia="en-AU"/>
              </w:rPr>
            </w:pPr>
            <w:r w:rsidRPr="005612B8">
              <w:rPr>
                <w:b/>
                <w:i/>
                <w:lang w:eastAsia="en-AU"/>
              </w:rPr>
              <w:t>If a medium-term target is adopted, how should it be assessed or reviewed during   subsequent annual wage reviews?</w:t>
            </w:r>
            <w:r w:rsidR="005850CF">
              <w:rPr>
                <w:b/>
                <w:i/>
                <w:lang w:eastAsia="en-AU"/>
              </w:rPr>
              <w:br/>
            </w:r>
          </w:p>
          <w:p w:rsidR="00E63342" w:rsidRDefault="00E63342" w:rsidP="000668B6"/>
        </w:tc>
        <w:tc>
          <w:tcPr>
            <w:tcW w:w="3062" w:type="pct"/>
          </w:tcPr>
          <w:p w:rsidR="00E63342" w:rsidRDefault="00EC149D" w:rsidP="000668B6">
            <w:hyperlink r:id="rId38" w:history="1">
              <w:r w:rsidR="00CE13AD" w:rsidRPr="00CE13AD">
                <w:rPr>
                  <w:rStyle w:val="Hyperlink"/>
                </w:rPr>
                <w:t>United Voice</w:t>
              </w:r>
            </w:hyperlink>
            <w:r w:rsidR="00CE13AD">
              <w:t xml:space="preserve"> </w:t>
            </w:r>
            <w:r w:rsidR="00081E0B">
              <w:t>(</w:t>
            </w:r>
            <w:proofErr w:type="spellStart"/>
            <w:r w:rsidR="00081E0B">
              <w:t>paras</w:t>
            </w:r>
            <w:proofErr w:type="spellEnd"/>
            <w:r w:rsidR="00081E0B">
              <w:t xml:space="preserve"> 13</w:t>
            </w:r>
            <w:r w:rsidR="0032732E">
              <w:t>0</w:t>
            </w:r>
            <w:r w:rsidR="00081E0B">
              <w:t xml:space="preserve">–132) submitted that </w:t>
            </w:r>
            <w:r w:rsidR="00081E0B" w:rsidRPr="00081E0B">
              <w:t xml:space="preserve">submissions and Panel decisions during each annual wage review will address the progress towards the medium-term target while the target should be “formally reviewed” after four years as a preliminary process for the </w:t>
            </w:r>
            <w:r w:rsidR="00081E0B" w:rsidRPr="00081E0B">
              <w:rPr>
                <w:i/>
              </w:rPr>
              <w:t>Annual Wage Review 2020–21</w:t>
            </w:r>
            <w:r w:rsidR="00081E0B">
              <w:t>.</w:t>
            </w:r>
          </w:p>
          <w:p w:rsidR="00081E0B" w:rsidRDefault="00081E0B" w:rsidP="000668B6"/>
          <w:p w:rsidR="00081E0B" w:rsidRDefault="00EC149D" w:rsidP="00081E0B">
            <w:hyperlink r:id="rId39" w:history="1">
              <w:r w:rsidR="008513E1" w:rsidRPr="00CE13AD">
                <w:rPr>
                  <w:rStyle w:val="Hyperlink"/>
                </w:rPr>
                <w:t>ACTU</w:t>
              </w:r>
            </w:hyperlink>
            <w:r w:rsidR="008513E1">
              <w:t xml:space="preserve"> </w:t>
            </w:r>
            <w:r w:rsidR="00081E0B">
              <w:t>(p. 30) submitted that “</w:t>
            </w:r>
            <w:r w:rsidR="0032732E">
              <w:t xml:space="preserve">a </w:t>
            </w:r>
            <w:r w:rsidR="00081E0B">
              <w:t>target effectively operates as a statement of principle. It is the expression of an aspiration or policy goal rather than a binding directive. What the target is, as well as decisions as to whether to adhere to it in any particular year, are inherently flexible”.</w:t>
            </w:r>
          </w:p>
          <w:p w:rsidR="00EC6DC8" w:rsidRDefault="00EC6DC8" w:rsidP="00081E0B"/>
          <w:p w:rsidR="00EC6DC8" w:rsidRDefault="00EC149D" w:rsidP="00081E0B">
            <w:hyperlink r:id="rId40" w:history="1">
              <w:r w:rsidR="00DB466F" w:rsidRPr="00CE13AD">
                <w:rPr>
                  <w:rStyle w:val="Hyperlink"/>
                </w:rPr>
                <w:t>Ai Group</w:t>
              </w:r>
            </w:hyperlink>
            <w:r w:rsidR="00DB466F">
              <w:t xml:space="preserve"> </w:t>
            </w:r>
            <w:r w:rsidR="00EC6DC8">
              <w:t xml:space="preserve">(p. 8) </w:t>
            </w:r>
            <w:r w:rsidR="00EC6DC8" w:rsidRPr="00EC6DC8">
              <w:t>submitted that if</w:t>
            </w:r>
            <w:r w:rsidR="0032732E">
              <w:t>, despite objections,</w:t>
            </w:r>
            <w:r w:rsidR="00EC6DC8" w:rsidRPr="00EC6DC8">
              <w:t xml:space="preserve"> a medium-term target is set then it should be assessed and reviewed annually</w:t>
            </w:r>
            <w:r w:rsidR="00EC6DC8">
              <w:t>.</w:t>
            </w:r>
          </w:p>
          <w:p w:rsidR="000A787A" w:rsidRDefault="000A787A" w:rsidP="00081E0B"/>
          <w:p w:rsidR="000A787A" w:rsidRDefault="00EC149D" w:rsidP="000A787A">
            <w:hyperlink r:id="rId41" w:history="1">
              <w:r w:rsidR="00DB466F" w:rsidRPr="00CE13AD">
                <w:rPr>
                  <w:rStyle w:val="Hyperlink"/>
                </w:rPr>
                <w:t>ACCI</w:t>
              </w:r>
            </w:hyperlink>
            <w:r w:rsidR="00DB466F">
              <w:t xml:space="preserve"> </w:t>
            </w:r>
            <w:r w:rsidR="000A787A">
              <w:t>(p. 13) submitted that “the statutory framework does not provide</w:t>
            </w:r>
            <w:r w:rsidR="00A50B90">
              <w:t xml:space="preserve"> </w:t>
            </w:r>
            <w:r w:rsidR="000A787A">
              <w:t>the regulatory infrastructure for the assessment or review of a medium-term target”.</w:t>
            </w:r>
          </w:p>
          <w:p w:rsidR="00081E0B" w:rsidRPr="00081E0B" w:rsidRDefault="00081E0B" w:rsidP="000668B6"/>
        </w:tc>
      </w:tr>
      <w:tr w:rsidR="00E63342" w:rsidRPr="00A350D1" w:rsidTr="003A0778">
        <w:trPr>
          <w:trHeight w:val="562"/>
        </w:trPr>
        <w:tc>
          <w:tcPr>
            <w:tcW w:w="238" w:type="pct"/>
          </w:tcPr>
          <w:p w:rsidR="00E63342" w:rsidRPr="00A350D1" w:rsidRDefault="00E63342" w:rsidP="00381DD2">
            <w:r>
              <w:t>6.</w:t>
            </w:r>
          </w:p>
        </w:tc>
        <w:tc>
          <w:tcPr>
            <w:tcW w:w="1700" w:type="pct"/>
          </w:tcPr>
          <w:p w:rsidR="005850CF" w:rsidRDefault="005612B8" w:rsidP="00381DD2">
            <w:pPr>
              <w:rPr>
                <w:b/>
                <w:i/>
                <w:lang w:eastAsia="en-AU"/>
              </w:rPr>
            </w:pPr>
            <w:r w:rsidRPr="005612B8">
              <w:rPr>
                <w:b/>
                <w:i/>
                <w:lang w:eastAsia="en-AU"/>
              </w:rPr>
              <w:t>Would parties be assisted if the Panel decided on whether it ought to set a medium-term target prior to initial submissions made to the Annual Wage Review 2016–17?</w:t>
            </w:r>
          </w:p>
          <w:p w:rsidR="00E63342" w:rsidRPr="0061544D" w:rsidRDefault="00E63342" w:rsidP="00381DD2"/>
        </w:tc>
        <w:tc>
          <w:tcPr>
            <w:tcW w:w="3062" w:type="pct"/>
          </w:tcPr>
          <w:p w:rsidR="004E3EC3" w:rsidRDefault="00EC149D" w:rsidP="007E060E">
            <w:hyperlink r:id="rId42" w:history="1">
              <w:r w:rsidR="00CE13AD" w:rsidRPr="00CE13AD">
                <w:rPr>
                  <w:rStyle w:val="Hyperlink"/>
                </w:rPr>
                <w:t>United Voice</w:t>
              </w:r>
            </w:hyperlink>
            <w:r w:rsidR="00CE13AD">
              <w:t xml:space="preserve"> </w:t>
            </w:r>
            <w:r w:rsidR="007E060E">
              <w:t>(</w:t>
            </w:r>
            <w:proofErr w:type="spellStart"/>
            <w:r w:rsidR="007E060E">
              <w:t>para</w:t>
            </w:r>
            <w:proofErr w:type="spellEnd"/>
            <w:r w:rsidR="007E060E">
              <w:t>. 135) submitted that “it would clearly assist the parties if a decision on a target was made prior to initial submissions for the current AWR”.</w:t>
            </w:r>
          </w:p>
          <w:p w:rsidR="007E060E" w:rsidRDefault="007E060E" w:rsidP="007E060E"/>
          <w:p w:rsidR="007E060E" w:rsidRDefault="00EC149D" w:rsidP="007E060E">
            <w:hyperlink r:id="rId43" w:history="1">
              <w:r w:rsidR="008513E1" w:rsidRPr="00CE13AD">
                <w:rPr>
                  <w:rStyle w:val="Hyperlink"/>
                </w:rPr>
                <w:t>ACTU</w:t>
              </w:r>
            </w:hyperlink>
            <w:r w:rsidR="008513E1">
              <w:t xml:space="preserve"> </w:t>
            </w:r>
            <w:r w:rsidR="007E060E">
              <w:t>(p. 31) submitted that it “would be of substantial assistance if the Commission were able to decide whether it will adopt a medium target prior to the end of this year”.</w:t>
            </w:r>
          </w:p>
          <w:p w:rsidR="007E060E" w:rsidRDefault="007E060E" w:rsidP="007E060E"/>
          <w:p w:rsidR="007E060E" w:rsidRDefault="00EC149D" w:rsidP="007E060E">
            <w:hyperlink r:id="rId44" w:history="1">
              <w:r w:rsidR="008513E1" w:rsidRPr="00CE13AD">
                <w:rPr>
                  <w:rStyle w:val="Hyperlink"/>
                </w:rPr>
                <w:t>ACOSS</w:t>
              </w:r>
            </w:hyperlink>
            <w:r w:rsidR="008513E1">
              <w:t xml:space="preserve"> </w:t>
            </w:r>
            <w:r w:rsidR="007E060E">
              <w:t>(p. 4) submitted that “</w:t>
            </w:r>
            <w:r w:rsidR="007E060E" w:rsidRPr="007E060E">
              <w:t>it would be helpful for the Commission to publish its view on the desirability and feasibility of such a goal prior to the next round of minimum wage submissions</w:t>
            </w:r>
            <w:r w:rsidR="007E060E">
              <w:t>”.</w:t>
            </w:r>
          </w:p>
          <w:p w:rsidR="001F05EF" w:rsidRDefault="001F05EF" w:rsidP="007E060E"/>
          <w:p w:rsidR="001F05EF" w:rsidRDefault="00EC149D" w:rsidP="007E060E">
            <w:hyperlink r:id="rId45" w:history="1">
              <w:r w:rsidR="003212A7" w:rsidRPr="00CE13AD">
                <w:rPr>
                  <w:rStyle w:val="Hyperlink"/>
                </w:rPr>
                <w:t>Australian Government</w:t>
              </w:r>
            </w:hyperlink>
            <w:r w:rsidR="003212A7">
              <w:t xml:space="preserve"> </w:t>
            </w:r>
            <w:r w:rsidR="001F05EF">
              <w:t>(p. 3) submitted that “</w:t>
            </w:r>
            <w:r w:rsidR="001F05EF" w:rsidRPr="001F05EF">
              <w:t>it would provide clarity on the nature of the process and inform the Government’s submission to the Panel</w:t>
            </w:r>
            <w:r w:rsidR="001F05EF">
              <w:t>”.</w:t>
            </w:r>
          </w:p>
          <w:p w:rsidR="00CE47BF" w:rsidRDefault="00CE47BF" w:rsidP="007E060E"/>
          <w:p w:rsidR="00CE47BF" w:rsidRDefault="00EC149D" w:rsidP="00CE47BF">
            <w:hyperlink r:id="rId46" w:history="1">
              <w:r w:rsidR="00DB466F" w:rsidRPr="00CE13AD">
                <w:rPr>
                  <w:rStyle w:val="Hyperlink"/>
                </w:rPr>
                <w:t>Ai Group</w:t>
              </w:r>
            </w:hyperlink>
            <w:r w:rsidR="00DB466F">
              <w:t xml:space="preserve"> </w:t>
            </w:r>
            <w:r w:rsidR="00CE47BF">
              <w:t xml:space="preserve">(p. 9) submitted that “if the Commission decides that it ought to set a medium-term target, a more workable approach would be to set the target in conjunction with the </w:t>
            </w:r>
            <w:r w:rsidR="00CE47BF" w:rsidRPr="00CE47BF">
              <w:rPr>
                <w:i/>
              </w:rPr>
              <w:t>Annual Wage Review 2017-18</w:t>
            </w:r>
            <w:r w:rsidR="00CE47BF">
              <w:t xml:space="preserve"> </w:t>
            </w:r>
            <w:proofErr w:type="gramStart"/>
            <w:r w:rsidR="00CE47BF">
              <w:t>decision</w:t>
            </w:r>
            <w:proofErr w:type="gramEnd"/>
            <w:r w:rsidR="00CE47BF">
              <w:t>”.</w:t>
            </w:r>
          </w:p>
          <w:p w:rsidR="005E43F0" w:rsidRDefault="005E43F0" w:rsidP="00CE47BF"/>
          <w:p w:rsidR="005E43F0" w:rsidRDefault="00EC149D" w:rsidP="005E43F0">
            <w:hyperlink r:id="rId47" w:history="1">
              <w:r w:rsidR="00DB466F" w:rsidRPr="00CE13AD">
                <w:rPr>
                  <w:rStyle w:val="Hyperlink"/>
                </w:rPr>
                <w:t>ACCI</w:t>
              </w:r>
            </w:hyperlink>
            <w:r w:rsidR="00DB466F">
              <w:t xml:space="preserve"> </w:t>
            </w:r>
            <w:r w:rsidR="005E43F0">
              <w:t>(p. 13) submitted that “[</w:t>
            </w:r>
            <w:proofErr w:type="spellStart"/>
            <w:r w:rsidR="005E43F0">
              <w:t>i</w:t>
            </w:r>
            <w:proofErr w:type="spellEnd"/>
            <w:r w:rsidR="005E43F0">
              <w:t>]t would assist the parties and efficiency of the process if the Panel’s determination on this jurisdictional issue were made in advance of the process for substantive submissions regarding the Annual Wage Review 2016-17”.</w:t>
            </w:r>
          </w:p>
          <w:p w:rsidR="005E43F0" w:rsidRDefault="005E43F0" w:rsidP="005E43F0"/>
          <w:p w:rsidR="005E43F0" w:rsidRDefault="00EC149D" w:rsidP="005E43F0">
            <w:hyperlink r:id="rId48" w:history="1">
              <w:r w:rsidR="00DB466F" w:rsidRPr="00CE13AD">
                <w:rPr>
                  <w:rStyle w:val="Hyperlink"/>
                </w:rPr>
                <w:t>ABI&amp;NSWBC</w:t>
              </w:r>
            </w:hyperlink>
            <w:r w:rsidR="00DB466F">
              <w:t xml:space="preserve"> </w:t>
            </w:r>
            <w:r w:rsidR="005E43F0">
              <w:t>(</w:t>
            </w:r>
            <w:proofErr w:type="spellStart"/>
            <w:r w:rsidR="005E43F0">
              <w:t>para</w:t>
            </w:r>
            <w:proofErr w:type="spellEnd"/>
            <w:r w:rsidR="005E43F0">
              <w:t>. 3.24) submitted that “</w:t>
            </w:r>
            <w:r w:rsidR="005E43F0" w:rsidRPr="005E43F0">
              <w:t>this may be an appropriate step</w:t>
            </w:r>
            <w:r w:rsidR="005E43F0">
              <w:t>”.</w:t>
            </w:r>
          </w:p>
          <w:p w:rsidR="005E43F0" w:rsidRDefault="005E43F0" w:rsidP="005E43F0"/>
          <w:p w:rsidR="005E43F0" w:rsidRDefault="00EC149D" w:rsidP="005E43F0">
            <w:hyperlink r:id="rId49" w:history="1">
              <w:r w:rsidR="00DB466F" w:rsidRPr="00CE13AD">
                <w:rPr>
                  <w:rStyle w:val="Hyperlink"/>
                </w:rPr>
                <w:t>AFEI</w:t>
              </w:r>
            </w:hyperlink>
            <w:r w:rsidR="00DB466F">
              <w:t xml:space="preserve"> </w:t>
            </w:r>
            <w:r w:rsidR="005E43F0">
              <w:t>(</w:t>
            </w:r>
            <w:proofErr w:type="spellStart"/>
            <w:r w:rsidR="005E43F0">
              <w:t>para</w:t>
            </w:r>
            <w:proofErr w:type="spellEnd"/>
            <w:r w:rsidR="005E43F0">
              <w:t>. 43) submitted that “</w:t>
            </w:r>
            <w:r w:rsidR="005E43F0" w:rsidRPr="005E43F0">
              <w:t>having an early decision on the question of the Panel’s jurisdiction and desire to set a medium-term target would be essential for the efficiency of the proceedings</w:t>
            </w:r>
            <w:r w:rsidR="005E43F0">
              <w:t>”.</w:t>
            </w:r>
          </w:p>
          <w:p w:rsidR="007E060E" w:rsidRPr="00930584" w:rsidRDefault="007E060E" w:rsidP="007E060E"/>
        </w:tc>
      </w:tr>
    </w:tbl>
    <w:p w:rsidR="00124129" w:rsidRDefault="00124129" w:rsidP="004B6C63">
      <w:pPr>
        <w:tabs>
          <w:tab w:val="left" w:pos="2370"/>
        </w:tabs>
        <w:rPr>
          <w:b/>
        </w:rPr>
      </w:pPr>
    </w:p>
    <w:p w:rsidR="004B6C63" w:rsidRPr="00CC1BB4" w:rsidRDefault="004B6C63" w:rsidP="00653360">
      <w:pPr>
        <w:keepNext/>
        <w:tabs>
          <w:tab w:val="left" w:pos="2370"/>
        </w:tabs>
        <w:rPr>
          <w:b/>
        </w:rPr>
      </w:pPr>
      <w:r w:rsidRPr="00CC1BB4">
        <w:rPr>
          <w:b/>
        </w:rPr>
        <w:t>List of abbreviations (in alphabetical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9072"/>
      </w:tblGrid>
      <w:tr w:rsidR="00046754" w:rsidTr="00D81CAD">
        <w:tc>
          <w:tcPr>
            <w:tcW w:w="1809" w:type="dxa"/>
          </w:tcPr>
          <w:p w:rsidR="00046754" w:rsidRDefault="00046754" w:rsidP="00D81CAD">
            <w:pPr>
              <w:keepNext/>
              <w:tabs>
                <w:tab w:val="left" w:pos="2370"/>
              </w:tabs>
            </w:pPr>
            <w:r>
              <w:t>ABI&amp;NSWBC</w:t>
            </w:r>
          </w:p>
        </w:tc>
        <w:tc>
          <w:tcPr>
            <w:tcW w:w="9072" w:type="dxa"/>
          </w:tcPr>
          <w:p w:rsidR="00046754" w:rsidRDefault="00046754" w:rsidP="00D81CAD">
            <w:pPr>
              <w:keepNext/>
              <w:tabs>
                <w:tab w:val="left" w:pos="2370"/>
              </w:tabs>
            </w:pPr>
            <w:r w:rsidRPr="00A350D1">
              <w:t>Australian Business Industrial, New South Wales Business Chamber</w:t>
            </w:r>
          </w:p>
        </w:tc>
      </w:tr>
      <w:tr w:rsidR="00D355D6" w:rsidTr="00F07FD1">
        <w:tc>
          <w:tcPr>
            <w:tcW w:w="1809" w:type="dxa"/>
          </w:tcPr>
          <w:p w:rsidR="00D355D6" w:rsidRDefault="005612B8" w:rsidP="00653360">
            <w:pPr>
              <w:keepNext/>
              <w:tabs>
                <w:tab w:val="left" w:pos="2370"/>
              </w:tabs>
            </w:pPr>
            <w:r>
              <w:t>ACCER</w:t>
            </w:r>
          </w:p>
        </w:tc>
        <w:tc>
          <w:tcPr>
            <w:tcW w:w="9072" w:type="dxa"/>
          </w:tcPr>
          <w:p w:rsidR="00D355D6" w:rsidRDefault="005612B8" w:rsidP="00653360">
            <w:pPr>
              <w:keepNext/>
              <w:tabs>
                <w:tab w:val="left" w:pos="2370"/>
              </w:tabs>
            </w:pPr>
            <w:r>
              <w:t>Australian Catholic Council for Employment Relations</w:t>
            </w:r>
          </w:p>
        </w:tc>
      </w:tr>
      <w:tr w:rsidR="00D355D6" w:rsidTr="00F07FD1">
        <w:tc>
          <w:tcPr>
            <w:tcW w:w="1809" w:type="dxa"/>
          </w:tcPr>
          <w:p w:rsidR="00D355D6" w:rsidRDefault="00D355D6" w:rsidP="00653360">
            <w:pPr>
              <w:keepNext/>
              <w:tabs>
                <w:tab w:val="left" w:pos="2370"/>
              </w:tabs>
            </w:pPr>
            <w:r>
              <w:t>ACCI</w:t>
            </w:r>
          </w:p>
        </w:tc>
        <w:tc>
          <w:tcPr>
            <w:tcW w:w="9072" w:type="dxa"/>
          </w:tcPr>
          <w:p w:rsidR="00D355D6" w:rsidRDefault="00D355D6" w:rsidP="00653360">
            <w:pPr>
              <w:keepNext/>
              <w:tabs>
                <w:tab w:val="left" w:pos="2370"/>
              </w:tabs>
            </w:pPr>
            <w:r>
              <w:t>Australian Chamber of Commerce and Industry</w:t>
            </w:r>
          </w:p>
        </w:tc>
      </w:tr>
      <w:tr w:rsidR="00D355D6" w:rsidTr="00F07FD1">
        <w:tc>
          <w:tcPr>
            <w:tcW w:w="1809" w:type="dxa"/>
          </w:tcPr>
          <w:p w:rsidR="00D355D6" w:rsidRDefault="00D355D6" w:rsidP="00653360">
            <w:pPr>
              <w:keepNext/>
              <w:tabs>
                <w:tab w:val="left" w:pos="2370"/>
              </w:tabs>
            </w:pPr>
            <w:r>
              <w:t>ACOSS</w:t>
            </w:r>
          </w:p>
        </w:tc>
        <w:tc>
          <w:tcPr>
            <w:tcW w:w="9072" w:type="dxa"/>
          </w:tcPr>
          <w:p w:rsidR="00D355D6" w:rsidRDefault="00D355D6" w:rsidP="00653360">
            <w:pPr>
              <w:keepNext/>
              <w:tabs>
                <w:tab w:val="left" w:pos="2370"/>
              </w:tabs>
            </w:pPr>
            <w:r>
              <w:t>Australian Council of Social Service</w:t>
            </w:r>
          </w:p>
        </w:tc>
      </w:tr>
      <w:tr w:rsidR="00D355D6" w:rsidTr="00F07FD1">
        <w:tc>
          <w:tcPr>
            <w:tcW w:w="1809" w:type="dxa"/>
          </w:tcPr>
          <w:p w:rsidR="00D355D6" w:rsidRDefault="00D355D6" w:rsidP="00653360">
            <w:pPr>
              <w:keepNext/>
              <w:tabs>
                <w:tab w:val="left" w:pos="2370"/>
              </w:tabs>
            </w:pPr>
            <w:r>
              <w:t>ACTU</w:t>
            </w:r>
          </w:p>
        </w:tc>
        <w:tc>
          <w:tcPr>
            <w:tcW w:w="9072" w:type="dxa"/>
          </w:tcPr>
          <w:p w:rsidR="00D355D6" w:rsidRDefault="00D355D6" w:rsidP="00653360">
            <w:pPr>
              <w:keepNext/>
              <w:tabs>
                <w:tab w:val="left" w:pos="2370"/>
              </w:tabs>
            </w:pPr>
            <w:r>
              <w:t>Australian Council of Trade Unions</w:t>
            </w:r>
          </w:p>
        </w:tc>
      </w:tr>
      <w:tr w:rsidR="005612B8" w:rsidTr="00F07FD1">
        <w:tc>
          <w:tcPr>
            <w:tcW w:w="1809" w:type="dxa"/>
          </w:tcPr>
          <w:p w:rsidR="005612B8" w:rsidRDefault="005612B8" w:rsidP="00653360">
            <w:pPr>
              <w:keepNext/>
              <w:tabs>
                <w:tab w:val="left" w:pos="2370"/>
              </w:tabs>
            </w:pPr>
            <w:r>
              <w:t>AFEI</w:t>
            </w:r>
          </w:p>
        </w:tc>
        <w:tc>
          <w:tcPr>
            <w:tcW w:w="9072" w:type="dxa"/>
          </w:tcPr>
          <w:p w:rsidR="005612B8" w:rsidRDefault="005612B8" w:rsidP="00653360">
            <w:pPr>
              <w:keepNext/>
              <w:tabs>
                <w:tab w:val="left" w:pos="2370"/>
              </w:tabs>
            </w:pPr>
            <w:r>
              <w:t>Australian Federation of Employers and Industries</w:t>
            </w:r>
          </w:p>
        </w:tc>
      </w:tr>
      <w:tr w:rsidR="004B6C63" w:rsidTr="00F07FD1">
        <w:tc>
          <w:tcPr>
            <w:tcW w:w="1809" w:type="dxa"/>
          </w:tcPr>
          <w:p w:rsidR="004B6C63" w:rsidRDefault="00D355D6" w:rsidP="00D355D6">
            <w:pPr>
              <w:keepNext/>
              <w:tabs>
                <w:tab w:val="left" w:pos="2370"/>
              </w:tabs>
            </w:pPr>
            <w:r>
              <w:t>Ai Group</w:t>
            </w:r>
          </w:p>
        </w:tc>
        <w:tc>
          <w:tcPr>
            <w:tcW w:w="9072" w:type="dxa"/>
          </w:tcPr>
          <w:p w:rsidR="004B6C63" w:rsidRDefault="00F07FD1" w:rsidP="00D355D6">
            <w:pPr>
              <w:keepNext/>
              <w:tabs>
                <w:tab w:val="left" w:pos="2370"/>
              </w:tabs>
            </w:pPr>
            <w:r>
              <w:t xml:space="preserve">Australian </w:t>
            </w:r>
            <w:r w:rsidR="00D355D6">
              <w:t>Industry Group</w:t>
            </w:r>
          </w:p>
        </w:tc>
      </w:tr>
      <w:tr w:rsidR="00EC149D" w:rsidTr="00F07FD1">
        <w:tc>
          <w:tcPr>
            <w:tcW w:w="1809" w:type="dxa"/>
          </w:tcPr>
          <w:p w:rsidR="00EC149D" w:rsidRDefault="00EC149D" w:rsidP="00D355D6">
            <w:pPr>
              <w:keepNext/>
              <w:tabs>
                <w:tab w:val="left" w:pos="2370"/>
              </w:tabs>
            </w:pPr>
            <w:r>
              <w:t>AWR</w:t>
            </w:r>
          </w:p>
        </w:tc>
        <w:tc>
          <w:tcPr>
            <w:tcW w:w="9072" w:type="dxa"/>
          </w:tcPr>
          <w:p w:rsidR="00EC149D" w:rsidRDefault="00EC149D" w:rsidP="00D355D6">
            <w:pPr>
              <w:keepNext/>
              <w:tabs>
                <w:tab w:val="left" w:pos="2370"/>
              </w:tabs>
            </w:pPr>
            <w:r>
              <w:t>Annual wage review</w:t>
            </w:r>
            <w:bookmarkStart w:id="0" w:name="_GoBack"/>
            <w:bookmarkEnd w:id="0"/>
          </w:p>
        </w:tc>
      </w:tr>
      <w:tr w:rsidR="00F07FD1" w:rsidTr="00F07FD1">
        <w:tc>
          <w:tcPr>
            <w:tcW w:w="1809" w:type="dxa"/>
          </w:tcPr>
          <w:p w:rsidR="00F07FD1" w:rsidRDefault="00EC149D" w:rsidP="00653360">
            <w:pPr>
              <w:keepNext/>
              <w:tabs>
                <w:tab w:val="left" w:pos="2370"/>
              </w:tabs>
            </w:pPr>
            <w:r>
              <w:t>NMW</w:t>
            </w:r>
          </w:p>
        </w:tc>
        <w:tc>
          <w:tcPr>
            <w:tcW w:w="9072" w:type="dxa"/>
          </w:tcPr>
          <w:p w:rsidR="00F07FD1" w:rsidRPr="00A350D1" w:rsidRDefault="00EC149D" w:rsidP="00653360">
            <w:pPr>
              <w:keepNext/>
              <w:tabs>
                <w:tab w:val="left" w:pos="2370"/>
              </w:tabs>
            </w:pPr>
            <w:r>
              <w:t>National minimum wage</w:t>
            </w:r>
          </w:p>
        </w:tc>
      </w:tr>
    </w:tbl>
    <w:p w:rsidR="004B6C63" w:rsidRDefault="004B6C63" w:rsidP="00DD2DD4">
      <w:pPr>
        <w:tabs>
          <w:tab w:val="left" w:pos="2370"/>
        </w:tabs>
      </w:pPr>
    </w:p>
    <w:sectPr w:rsidR="004B6C63" w:rsidSect="00227BA1">
      <w:footerReference w:type="default" r:id="rId5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73F" w:rsidRDefault="008F773F" w:rsidP="00E43447">
      <w:pPr>
        <w:spacing w:after="0" w:line="240" w:lineRule="auto"/>
      </w:pPr>
      <w:r>
        <w:separator/>
      </w:r>
    </w:p>
  </w:endnote>
  <w:endnote w:type="continuationSeparator" w:id="0">
    <w:p w:rsidR="008F773F" w:rsidRDefault="008F773F" w:rsidP="00E43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highlight w:val="yellow"/>
      </w:rPr>
      <w:id w:val="289940542"/>
      <w:docPartObj>
        <w:docPartGallery w:val="Page Numbers (Bottom of Page)"/>
        <w:docPartUnique/>
      </w:docPartObj>
    </w:sdtPr>
    <w:sdtEndPr>
      <w:rPr>
        <w:highlight w:val="none"/>
      </w:rPr>
    </w:sdtEndPr>
    <w:sdtContent>
      <w:p w:rsidR="008F773F" w:rsidRPr="00FA3D55" w:rsidRDefault="008F773F">
        <w:pPr>
          <w:pStyle w:val="Footer"/>
          <w:jc w:val="right"/>
        </w:pPr>
        <w:r w:rsidRPr="00FA3D55">
          <w:fldChar w:fldCharType="begin"/>
        </w:r>
        <w:r w:rsidRPr="00FA3D55">
          <w:instrText xml:space="preserve"> PAGE   \* MERGEFORMAT </w:instrText>
        </w:r>
        <w:r w:rsidRPr="00FA3D55">
          <w:fldChar w:fldCharType="separate"/>
        </w:r>
        <w:r w:rsidR="00EC149D">
          <w:rPr>
            <w:noProof/>
          </w:rPr>
          <w:t>6</w:t>
        </w:r>
        <w:r w:rsidRPr="00FA3D55">
          <w:rPr>
            <w:noProof/>
          </w:rPr>
          <w:fldChar w:fldCharType="end"/>
        </w:r>
      </w:p>
    </w:sdtContent>
  </w:sdt>
  <w:p w:rsidR="008F773F" w:rsidRDefault="00783F41">
    <w:pPr>
      <w:pStyle w:val="Footer"/>
    </w:pPr>
    <w:r>
      <w:t>2</w:t>
    </w:r>
    <w:r w:rsidR="0032732E">
      <w:t>1</w:t>
    </w:r>
    <w:r>
      <w:t xml:space="preserve"> </w:t>
    </w:r>
    <w:r w:rsidR="00197CF3">
      <w:t xml:space="preserve">October </w:t>
    </w:r>
    <w:r w:rsidR="00677792">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73F" w:rsidRDefault="008F773F" w:rsidP="00E43447">
      <w:pPr>
        <w:spacing w:after="0" w:line="240" w:lineRule="auto"/>
      </w:pPr>
      <w:r>
        <w:separator/>
      </w:r>
    </w:p>
  </w:footnote>
  <w:footnote w:type="continuationSeparator" w:id="0">
    <w:p w:rsidR="008F773F" w:rsidRDefault="008F773F" w:rsidP="00E434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F2582"/>
    <w:multiLevelType w:val="singleLevel"/>
    <w:tmpl w:val="7A2EA904"/>
    <w:lvl w:ilvl="0">
      <w:start w:val="1"/>
      <w:numFmt w:val="bullet"/>
      <w:pStyle w:val="BulletLevel1"/>
      <w:lvlText w:val=""/>
      <w:lvlJc w:val="left"/>
      <w:pPr>
        <w:ind w:left="1211" w:hanging="360"/>
      </w:pPr>
      <w:rPr>
        <w:rFonts w:ascii="Symbol" w:hAnsi="Symbol" w:hint="default"/>
        <w:sz w:val="22"/>
      </w:rPr>
    </w:lvl>
  </w:abstractNum>
  <w:abstractNum w:abstractNumId="1">
    <w:nsid w:val="13526617"/>
    <w:multiLevelType w:val="hybridMultilevel"/>
    <w:tmpl w:val="8B189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13412AF"/>
    <w:multiLevelType w:val="hybridMultilevel"/>
    <w:tmpl w:val="67522DC2"/>
    <w:lvl w:ilvl="0" w:tplc="0E8215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BF744D3"/>
    <w:multiLevelType w:val="hybridMultilevel"/>
    <w:tmpl w:val="0A86F81E"/>
    <w:lvl w:ilvl="0" w:tplc="AB706C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BF82A37"/>
    <w:multiLevelType w:val="hybridMultilevel"/>
    <w:tmpl w:val="A1D864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835551F"/>
    <w:multiLevelType w:val="hybridMultilevel"/>
    <w:tmpl w:val="0A86F81E"/>
    <w:lvl w:ilvl="0" w:tplc="AB706C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8A3"/>
    <w:rsid w:val="00000048"/>
    <w:rsid w:val="000001A1"/>
    <w:rsid w:val="0000168B"/>
    <w:rsid w:val="000078E5"/>
    <w:rsid w:val="000119B6"/>
    <w:rsid w:val="00012DBA"/>
    <w:rsid w:val="00015655"/>
    <w:rsid w:val="000225DE"/>
    <w:rsid w:val="0002629A"/>
    <w:rsid w:val="00027B5A"/>
    <w:rsid w:val="00030B14"/>
    <w:rsid w:val="00031DDF"/>
    <w:rsid w:val="000409D4"/>
    <w:rsid w:val="0004151B"/>
    <w:rsid w:val="00044BCD"/>
    <w:rsid w:val="000452F3"/>
    <w:rsid w:val="00045E2F"/>
    <w:rsid w:val="00046754"/>
    <w:rsid w:val="000473B5"/>
    <w:rsid w:val="00053676"/>
    <w:rsid w:val="00056A2E"/>
    <w:rsid w:val="0006144A"/>
    <w:rsid w:val="000668B6"/>
    <w:rsid w:val="00066BB0"/>
    <w:rsid w:val="00071CC8"/>
    <w:rsid w:val="00074035"/>
    <w:rsid w:val="0007563D"/>
    <w:rsid w:val="00077894"/>
    <w:rsid w:val="00081E0B"/>
    <w:rsid w:val="00083900"/>
    <w:rsid w:val="00084D1C"/>
    <w:rsid w:val="0009002F"/>
    <w:rsid w:val="00092181"/>
    <w:rsid w:val="00092357"/>
    <w:rsid w:val="0009383E"/>
    <w:rsid w:val="000A1FFC"/>
    <w:rsid w:val="000A21AE"/>
    <w:rsid w:val="000A5244"/>
    <w:rsid w:val="000A787A"/>
    <w:rsid w:val="000B217C"/>
    <w:rsid w:val="000B45BB"/>
    <w:rsid w:val="000C0187"/>
    <w:rsid w:val="000D018F"/>
    <w:rsid w:val="000D0637"/>
    <w:rsid w:val="000D232C"/>
    <w:rsid w:val="000D608E"/>
    <w:rsid w:val="000E2FE9"/>
    <w:rsid w:val="000E3EE1"/>
    <w:rsid w:val="000F0482"/>
    <w:rsid w:val="000F3324"/>
    <w:rsid w:val="000F71B2"/>
    <w:rsid w:val="000F722C"/>
    <w:rsid w:val="00106DD4"/>
    <w:rsid w:val="00111D47"/>
    <w:rsid w:val="00111EB0"/>
    <w:rsid w:val="00114F04"/>
    <w:rsid w:val="00117EF9"/>
    <w:rsid w:val="0012083C"/>
    <w:rsid w:val="00124129"/>
    <w:rsid w:val="001256E2"/>
    <w:rsid w:val="00126ABD"/>
    <w:rsid w:val="00133388"/>
    <w:rsid w:val="00133989"/>
    <w:rsid w:val="001475C5"/>
    <w:rsid w:val="001528FB"/>
    <w:rsid w:val="00154259"/>
    <w:rsid w:val="0015460E"/>
    <w:rsid w:val="00156C38"/>
    <w:rsid w:val="0016239B"/>
    <w:rsid w:val="001673CF"/>
    <w:rsid w:val="001750D4"/>
    <w:rsid w:val="001753FE"/>
    <w:rsid w:val="00176090"/>
    <w:rsid w:val="00176CEA"/>
    <w:rsid w:val="0018205A"/>
    <w:rsid w:val="0018363B"/>
    <w:rsid w:val="00183A6F"/>
    <w:rsid w:val="001864D9"/>
    <w:rsid w:val="001950C7"/>
    <w:rsid w:val="00197653"/>
    <w:rsid w:val="00197CF3"/>
    <w:rsid w:val="001A6E91"/>
    <w:rsid w:val="001D2312"/>
    <w:rsid w:val="001D32F2"/>
    <w:rsid w:val="001D463D"/>
    <w:rsid w:val="001D75F0"/>
    <w:rsid w:val="001E3768"/>
    <w:rsid w:val="001E419B"/>
    <w:rsid w:val="001E68CD"/>
    <w:rsid w:val="001F05EF"/>
    <w:rsid w:val="001F7085"/>
    <w:rsid w:val="00207834"/>
    <w:rsid w:val="00212053"/>
    <w:rsid w:val="00224744"/>
    <w:rsid w:val="00227BA1"/>
    <w:rsid w:val="002343E8"/>
    <w:rsid w:val="002348A3"/>
    <w:rsid w:val="00240FAD"/>
    <w:rsid w:val="00242A4C"/>
    <w:rsid w:val="00250208"/>
    <w:rsid w:val="002525CC"/>
    <w:rsid w:val="00255D36"/>
    <w:rsid w:val="00264031"/>
    <w:rsid w:val="00270AA4"/>
    <w:rsid w:val="00280398"/>
    <w:rsid w:val="002844F1"/>
    <w:rsid w:val="0028555C"/>
    <w:rsid w:val="00286783"/>
    <w:rsid w:val="00296F0A"/>
    <w:rsid w:val="002A46FD"/>
    <w:rsid w:val="002B6869"/>
    <w:rsid w:val="002B7126"/>
    <w:rsid w:val="002C31FE"/>
    <w:rsid w:val="002C4688"/>
    <w:rsid w:val="002D37F3"/>
    <w:rsid w:val="002D3B6D"/>
    <w:rsid w:val="002E0279"/>
    <w:rsid w:val="002E0FC7"/>
    <w:rsid w:val="002E2EEF"/>
    <w:rsid w:val="002F124F"/>
    <w:rsid w:val="002F346F"/>
    <w:rsid w:val="00305F3D"/>
    <w:rsid w:val="00311D58"/>
    <w:rsid w:val="00315157"/>
    <w:rsid w:val="003177F5"/>
    <w:rsid w:val="003212A7"/>
    <w:rsid w:val="003234D4"/>
    <w:rsid w:val="00325403"/>
    <w:rsid w:val="0032732E"/>
    <w:rsid w:val="003302CC"/>
    <w:rsid w:val="0033554B"/>
    <w:rsid w:val="003402E2"/>
    <w:rsid w:val="0034243A"/>
    <w:rsid w:val="003424E5"/>
    <w:rsid w:val="00352496"/>
    <w:rsid w:val="00353D35"/>
    <w:rsid w:val="00357D66"/>
    <w:rsid w:val="00360CA0"/>
    <w:rsid w:val="00360E6C"/>
    <w:rsid w:val="00363E0C"/>
    <w:rsid w:val="00364D46"/>
    <w:rsid w:val="003650B3"/>
    <w:rsid w:val="003723B7"/>
    <w:rsid w:val="00373451"/>
    <w:rsid w:val="00376B41"/>
    <w:rsid w:val="00381DD2"/>
    <w:rsid w:val="00391F72"/>
    <w:rsid w:val="003960F9"/>
    <w:rsid w:val="00397C25"/>
    <w:rsid w:val="003A0778"/>
    <w:rsid w:val="003A1201"/>
    <w:rsid w:val="003A37A3"/>
    <w:rsid w:val="003A60A5"/>
    <w:rsid w:val="003A640A"/>
    <w:rsid w:val="003C03D0"/>
    <w:rsid w:val="003C3F3D"/>
    <w:rsid w:val="003C4F3A"/>
    <w:rsid w:val="003C5CA3"/>
    <w:rsid w:val="003D0702"/>
    <w:rsid w:val="003D718E"/>
    <w:rsid w:val="003E009C"/>
    <w:rsid w:val="003E2060"/>
    <w:rsid w:val="003E40A0"/>
    <w:rsid w:val="003E51EF"/>
    <w:rsid w:val="003F2550"/>
    <w:rsid w:val="003F29C1"/>
    <w:rsid w:val="0040184C"/>
    <w:rsid w:val="00412F81"/>
    <w:rsid w:val="00414B07"/>
    <w:rsid w:val="004157D6"/>
    <w:rsid w:val="004269DF"/>
    <w:rsid w:val="00440BCA"/>
    <w:rsid w:val="00447055"/>
    <w:rsid w:val="00451A69"/>
    <w:rsid w:val="00455C33"/>
    <w:rsid w:val="004622C4"/>
    <w:rsid w:val="0046677F"/>
    <w:rsid w:val="00467C64"/>
    <w:rsid w:val="004740C7"/>
    <w:rsid w:val="004865F3"/>
    <w:rsid w:val="00493130"/>
    <w:rsid w:val="00493302"/>
    <w:rsid w:val="00493BCA"/>
    <w:rsid w:val="0049462F"/>
    <w:rsid w:val="004A0F6E"/>
    <w:rsid w:val="004A2C06"/>
    <w:rsid w:val="004A3202"/>
    <w:rsid w:val="004A4923"/>
    <w:rsid w:val="004A5BFD"/>
    <w:rsid w:val="004A7422"/>
    <w:rsid w:val="004A77F6"/>
    <w:rsid w:val="004B0061"/>
    <w:rsid w:val="004B6BF2"/>
    <w:rsid w:val="004B6C63"/>
    <w:rsid w:val="004C407B"/>
    <w:rsid w:val="004C5857"/>
    <w:rsid w:val="004D75BF"/>
    <w:rsid w:val="004E3EC3"/>
    <w:rsid w:val="004E4C1B"/>
    <w:rsid w:val="004F0547"/>
    <w:rsid w:val="004F0F59"/>
    <w:rsid w:val="004F10C0"/>
    <w:rsid w:val="004F5F55"/>
    <w:rsid w:val="004F7C14"/>
    <w:rsid w:val="00502910"/>
    <w:rsid w:val="0050593E"/>
    <w:rsid w:val="005101B0"/>
    <w:rsid w:val="0051159C"/>
    <w:rsid w:val="00512841"/>
    <w:rsid w:val="005216A1"/>
    <w:rsid w:val="00523372"/>
    <w:rsid w:val="00530571"/>
    <w:rsid w:val="0053629F"/>
    <w:rsid w:val="00540133"/>
    <w:rsid w:val="005406B1"/>
    <w:rsid w:val="0054343E"/>
    <w:rsid w:val="005448CD"/>
    <w:rsid w:val="005458FB"/>
    <w:rsid w:val="005509A5"/>
    <w:rsid w:val="00557E3E"/>
    <w:rsid w:val="005612B8"/>
    <w:rsid w:val="005636B6"/>
    <w:rsid w:val="005760A4"/>
    <w:rsid w:val="00576638"/>
    <w:rsid w:val="00580AFA"/>
    <w:rsid w:val="0058155A"/>
    <w:rsid w:val="005850CF"/>
    <w:rsid w:val="00585105"/>
    <w:rsid w:val="00590194"/>
    <w:rsid w:val="00591458"/>
    <w:rsid w:val="00593314"/>
    <w:rsid w:val="00594103"/>
    <w:rsid w:val="00595BED"/>
    <w:rsid w:val="00595E99"/>
    <w:rsid w:val="005A2700"/>
    <w:rsid w:val="005B1BD4"/>
    <w:rsid w:val="005B223C"/>
    <w:rsid w:val="005C4718"/>
    <w:rsid w:val="005C5550"/>
    <w:rsid w:val="005C590A"/>
    <w:rsid w:val="005D29EA"/>
    <w:rsid w:val="005D438E"/>
    <w:rsid w:val="005E0CCF"/>
    <w:rsid w:val="005E43F0"/>
    <w:rsid w:val="005E4427"/>
    <w:rsid w:val="005E5FDF"/>
    <w:rsid w:val="005E6FD7"/>
    <w:rsid w:val="005F2EB7"/>
    <w:rsid w:val="005F375B"/>
    <w:rsid w:val="005F3BCA"/>
    <w:rsid w:val="005F6573"/>
    <w:rsid w:val="005F692E"/>
    <w:rsid w:val="005F74EB"/>
    <w:rsid w:val="0060439B"/>
    <w:rsid w:val="00610CC8"/>
    <w:rsid w:val="00612A47"/>
    <w:rsid w:val="0061544D"/>
    <w:rsid w:val="006215CB"/>
    <w:rsid w:val="00622A2A"/>
    <w:rsid w:val="00626A1C"/>
    <w:rsid w:val="00633882"/>
    <w:rsid w:val="00633F26"/>
    <w:rsid w:val="006356F2"/>
    <w:rsid w:val="00635B0F"/>
    <w:rsid w:val="00637633"/>
    <w:rsid w:val="00637B13"/>
    <w:rsid w:val="00637B6A"/>
    <w:rsid w:val="00642FCB"/>
    <w:rsid w:val="00644F8F"/>
    <w:rsid w:val="00653360"/>
    <w:rsid w:val="00655D34"/>
    <w:rsid w:val="0065694D"/>
    <w:rsid w:val="00657502"/>
    <w:rsid w:val="0066718A"/>
    <w:rsid w:val="0067335C"/>
    <w:rsid w:val="006776A6"/>
    <w:rsid w:val="00677792"/>
    <w:rsid w:val="00677DD5"/>
    <w:rsid w:val="00682B8C"/>
    <w:rsid w:val="00684654"/>
    <w:rsid w:val="0068466B"/>
    <w:rsid w:val="006850D9"/>
    <w:rsid w:val="00686246"/>
    <w:rsid w:val="00686B7E"/>
    <w:rsid w:val="006909A3"/>
    <w:rsid w:val="00691BD3"/>
    <w:rsid w:val="00695D3F"/>
    <w:rsid w:val="006962AB"/>
    <w:rsid w:val="0069673A"/>
    <w:rsid w:val="00696FDE"/>
    <w:rsid w:val="006A0A2F"/>
    <w:rsid w:val="006A0A37"/>
    <w:rsid w:val="006A27AF"/>
    <w:rsid w:val="006B0FBF"/>
    <w:rsid w:val="006B172B"/>
    <w:rsid w:val="006B21E4"/>
    <w:rsid w:val="006C22B6"/>
    <w:rsid w:val="006C28FF"/>
    <w:rsid w:val="006C7468"/>
    <w:rsid w:val="006D5DCD"/>
    <w:rsid w:val="006E1AC1"/>
    <w:rsid w:val="006E280A"/>
    <w:rsid w:val="006E3CCD"/>
    <w:rsid w:val="006F294C"/>
    <w:rsid w:val="006F62DE"/>
    <w:rsid w:val="006F7700"/>
    <w:rsid w:val="00702915"/>
    <w:rsid w:val="0070294E"/>
    <w:rsid w:val="00706318"/>
    <w:rsid w:val="0070779A"/>
    <w:rsid w:val="00712800"/>
    <w:rsid w:val="00715D3D"/>
    <w:rsid w:val="007278D5"/>
    <w:rsid w:val="00727FA0"/>
    <w:rsid w:val="007369FD"/>
    <w:rsid w:val="007507AA"/>
    <w:rsid w:val="007509EC"/>
    <w:rsid w:val="00751DCF"/>
    <w:rsid w:val="00752D53"/>
    <w:rsid w:val="00752EC0"/>
    <w:rsid w:val="0075739E"/>
    <w:rsid w:val="00760A83"/>
    <w:rsid w:val="00761F20"/>
    <w:rsid w:val="00766597"/>
    <w:rsid w:val="00770B60"/>
    <w:rsid w:val="0077410D"/>
    <w:rsid w:val="00783F41"/>
    <w:rsid w:val="00784FDE"/>
    <w:rsid w:val="007867FE"/>
    <w:rsid w:val="0079233F"/>
    <w:rsid w:val="007A5B98"/>
    <w:rsid w:val="007B3500"/>
    <w:rsid w:val="007C33CB"/>
    <w:rsid w:val="007C64C9"/>
    <w:rsid w:val="007C6CBD"/>
    <w:rsid w:val="007D4813"/>
    <w:rsid w:val="007E060E"/>
    <w:rsid w:val="007E0DCD"/>
    <w:rsid w:val="007E555B"/>
    <w:rsid w:val="007E5948"/>
    <w:rsid w:val="007F3CC8"/>
    <w:rsid w:val="007F41DF"/>
    <w:rsid w:val="0080112A"/>
    <w:rsid w:val="0080511F"/>
    <w:rsid w:val="00810B1B"/>
    <w:rsid w:val="0081332E"/>
    <w:rsid w:val="00813EA3"/>
    <w:rsid w:val="0082153F"/>
    <w:rsid w:val="008248CF"/>
    <w:rsid w:val="008252D5"/>
    <w:rsid w:val="00830534"/>
    <w:rsid w:val="008404AD"/>
    <w:rsid w:val="008412C5"/>
    <w:rsid w:val="008429EA"/>
    <w:rsid w:val="008436C3"/>
    <w:rsid w:val="0084380E"/>
    <w:rsid w:val="00847491"/>
    <w:rsid w:val="008506F9"/>
    <w:rsid w:val="008513E1"/>
    <w:rsid w:val="008556A6"/>
    <w:rsid w:val="00855CE1"/>
    <w:rsid w:val="00856425"/>
    <w:rsid w:val="0086143F"/>
    <w:rsid w:val="008639DD"/>
    <w:rsid w:val="00866E95"/>
    <w:rsid w:val="00872397"/>
    <w:rsid w:val="008756DE"/>
    <w:rsid w:val="00875CDC"/>
    <w:rsid w:val="008835F9"/>
    <w:rsid w:val="00886D6C"/>
    <w:rsid w:val="00891487"/>
    <w:rsid w:val="00894C1F"/>
    <w:rsid w:val="008A1394"/>
    <w:rsid w:val="008A3CBF"/>
    <w:rsid w:val="008A3F7E"/>
    <w:rsid w:val="008A4EA0"/>
    <w:rsid w:val="008A5ECB"/>
    <w:rsid w:val="008A78F1"/>
    <w:rsid w:val="008A7D68"/>
    <w:rsid w:val="008B1B91"/>
    <w:rsid w:val="008B4A30"/>
    <w:rsid w:val="008D0208"/>
    <w:rsid w:val="008D050B"/>
    <w:rsid w:val="008D20FF"/>
    <w:rsid w:val="008D2CF8"/>
    <w:rsid w:val="008D3FAE"/>
    <w:rsid w:val="008D5B94"/>
    <w:rsid w:val="008D73E0"/>
    <w:rsid w:val="008D7E4D"/>
    <w:rsid w:val="008D7F31"/>
    <w:rsid w:val="008E41EA"/>
    <w:rsid w:val="008E4A70"/>
    <w:rsid w:val="008F67A9"/>
    <w:rsid w:val="008F773F"/>
    <w:rsid w:val="008F7D1B"/>
    <w:rsid w:val="0090046B"/>
    <w:rsid w:val="009014A7"/>
    <w:rsid w:val="00902025"/>
    <w:rsid w:val="0090299C"/>
    <w:rsid w:val="00903382"/>
    <w:rsid w:val="00905895"/>
    <w:rsid w:val="00905EFC"/>
    <w:rsid w:val="00916A9C"/>
    <w:rsid w:val="0091785D"/>
    <w:rsid w:val="009210CB"/>
    <w:rsid w:val="009213A5"/>
    <w:rsid w:val="00921BBB"/>
    <w:rsid w:val="00926B4F"/>
    <w:rsid w:val="00927BBE"/>
    <w:rsid w:val="00930584"/>
    <w:rsid w:val="00930C9E"/>
    <w:rsid w:val="009402C7"/>
    <w:rsid w:val="0094787A"/>
    <w:rsid w:val="00954825"/>
    <w:rsid w:val="00955E32"/>
    <w:rsid w:val="0095627C"/>
    <w:rsid w:val="0097607C"/>
    <w:rsid w:val="009838C0"/>
    <w:rsid w:val="009946AB"/>
    <w:rsid w:val="009A29C7"/>
    <w:rsid w:val="009A448F"/>
    <w:rsid w:val="009A5230"/>
    <w:rsid w:val="009B6DC5"/>
    <w:rsid w:val="009C158B"/>
    <w:rsid w:val="009C20B4"/>
    <w:rsid w:val="009C773C"/>
    <w:rsid w:val="009C7747"/>
    <w:rsid w:val="009D07FB"/>
    <w:rsid w:val="009D1472"/>
    <w:rsid w:val="009D1D7F"/>
    <w:rsid w:val="009D1F96"/>
    <w:rsid w:val="009D47A5"/>
    <w:rsid w:val="009E0384"/>
    <w:rsid w:val="009E4243"/>
    <w:rsid w:val="009E6039"/>
    <w:rsid w:val="009E6775"/>
    <w:rsid w:val="009E71F4"/>
    <w:rsid w:val="009E7338"/>
    <w:rsid w:val="009F497D"/>
    <w:rsid w:val="00A114B2"/>
    <w:rsid w:val="00A13013"/>
    <w:rsid w:val="00A17EEC"/>
    <w:rsid w:val="00A2260C"/>
    <w:rsid w:val="00A22723"/>
    <w:rsid w:val="00A22844"/>
    <w:rsid w:val="00A3548D"/>
    <w:rsid w:val="00A35BAB"/>
    <w:rsid w:val="00A3778E"/>
    <w:rsid w:val="00A4693B"/>
    <w:rsid w:val="00A50166"/>
    <w:rsid w:val="00A50B90"/>
    <w:rsid w:val="00A5179D"/>
    <w:rsid w:val="00A579EB"/>
    <w:rsid w:val="00A608BC"/>
    <w:rsid w:val="00A6682C"/>
    <w:rsid w:val="00A716C3"/>
    <w:rsid w:val="00A87FE0"/>
    <w:rsid w:val="00A913BC"/>
    <w:rsid w:val="00A91736"/>
    <w:rsid w:val="00A91896"/>
    <w:rsid w:val="00A92075"/>
    <w:rsid w:val="00A925BD"/>
    <w:rsid w:val="00A928D3"/>
    <w:rsid w:val="00A95CFF"/>
    <w:rsid w:val="00A97C2C"/>
    <w:rsid w:val="00AA14EC"/>
    <w:rsid w:val="00AA7B9B"/>
    <w:rsid w:val="00AB0015"/>
    <w:rsid w:val="00AB2989"/>
    <w:rsid w:val="00AB3B91"/>
    <w:rsid w:val="00AB3D00"/>
    <w:rsid w:val="00AC05B2"/>
    <w:rsid w:val="00AC1362"/>
    <w:rsid w:val="00AC7D6D"/>
    <w:rsid w:val="00AD0330"/>
    <w:rsid w:val="00AE04EF"/>
    <w:rsid w:val="00AE270F"/>
    <w:rsid w:val="00AE63E8"/>
    <w:rsid w:val="00AE7018"/>
    <w:rsid w:val="00AF1D4F"/>
    <w:rsid w:val="00AF2E08"/>
    <w:rsid w:val="00AF3921"/>
    <w:rsid w:val="00B017F0"/>
    <w:rsid w:val="00B037FE"/>
    <w:rsid w:val="00B05DAB"/>
    <w:rsid w:val="00B13B5E"/>
    <w:rsid w:val="00B140F3"/>
    <w:rsid w:val="00B160F1"/>
    <w:rsid w:val="00B20A5E"/>
    <w:rsid w:val="00B226C8"/>
    <w:rsid w:val="00B22B3D"/>
    <w:rsid w:val="00B2640D"/>
    <w:rsid w:val="00B26708"/>
    <w:rsid w:val="00B30285"/>
    <w:rsid w:val="00B417CD"/>
    <w:rsid w:val="00B41FA5"/>
    <w:rsid w:val="00B436B5"/>
    <w:rsid w:val="00B46ACA"/>
    <w:rsid w:val="00B519B0"/>
    <w:rsid w:val="00B609E4"/>
    <w:rsid w:val="00B61EBB"/>
    <w:rsid w:val="00B6225B"/>
    <w:rsid w:val="00B672B8"/>
    <w:rsid w:val="00B67518"/>
    <w:rsid w:val="00B67F84"/>
    <w:rsid w:val="00B700FC"/>
    <w:rsid w:val="00B75FAD"/>
    <w:rsid w:val="00B77B75"/>
    <w:rsid w:val="00B77EF3"/>
    <w:rsid w:val="00B83DB7"/>
    <w:rsid w:val="00B95164"/>
    <w:rsid w:val="00BA219C"/>
    <w:rsid w:val="00BA22C8"/>
    <w:rsid w:val="00BA3CFF"/>
    <w:rsid w:val="00BA6F87"/>
    <w:rsid w:val="00BB3BB7"/>
    <w:rsid w:val="00BB5639"/>
    <w:rsid w:val="00BC0584"/>
    <w:rsid w:val="00BC2FA8"/>
    <w:rsid w:val="00BC42BD"/>
    <w:rsid w:val="00BD2A5F"/>
    <w:rsid w:val="00BD3A49"/>
    <w:rsid w:val="00BD3BD0"/>
    <w:rsid w:val="00BD5307"/>
    <w:rsid w:val="00BE116E"/>
    <w:rsid w:val="00BE7744"/>
    <w:rsid w:val="00BF1600"/>
    <w:rsid w:val="00BF3034"/>
    <w:rsid w:val="00BF592C"/>
    <w:rsid w:val="00BF72E6"/>
    <w:rsid w:val="00C02685"/>
    <w:rsid w:val="00C02919"/>
    <w:rsid w:val="00C0396A"/>
    <w:rsid w:val="00C040E0"/>
    <w:rsid w:val="00C119DB"/>
    <w:rsid w:val="00C1504A"/>
    <w:rsid w:val="00C17890"/>
    <w:rsid w:val="00C17CFD"/>
    <w:rsid w:val="00C22AF7"/>
    <w:rsid w:val="00C23C63"/>
    <w:rsid w:val="00C30B10"/>
    <w:rsid w:val="00C312F4"/>
    <w:rsid w:val="00C342E9"/>
    <w:rsid w:val="00C4262F"/>
    <w:rsid w:val="00C52D5D"/>
    <w:rsid w:val="00C52D76"/>
    <w:rsid w:val="00C53DB0"/>
    <w:rsid w:val="00C561C6"/>
    <w:rsid w:val="00C5771E"/>
    <w:rsid w:val="00C57832"/>
    <w:rsid w:val="00C67740"/>
    <w:rsid w:val="00C72E7B"/>
    <w:rsid w:val="00C7449D"/>
    <w:rsid w:val="00C754C9"/>
    <w:rsid w:val="00C82503"/>
    <w:rsid w:val="00C82FA3"/>
    <w:rsid w:val="00C85D07"/>
    <w:rsid w:val="00C929A1"/>
    <w:rsid w:val="00C97E65"/>
    <w:rsid w:val="00CA0E00"/>
    <w:rsid w:val="00CA1648"/>
    <w:rsid w:val="00CA23C3"/>
    <w:rsid w:val="00CB1610"/>
    <w:rsid w:val="00CB7BE9"/>
    <w:rsid w:val="00CC47CF"/>
    <w:rsid w:val="00CE13AD"/>
    <w:rsid w:val="00CE1F61"/>
    <w:rsid w:val="00CE47BF"/>
    <w:rsid w:val="00CE7076"/>
    <w:rsid w:val="00CF168E"/>
    <w:rsid w:val="00CF2D15"/>
    <w:rsid w:val="00CF6B3A"/>
    <w:rsid w:val="00D00B10"/>
    <w:rsid w:val="00D03437"/>
    <w:rsid w:val="00D10087"/>
    <w:rsid w:val="00D10F8C"/>
    <w:rsid w:val="00D112DA"/>
    <w:rsid w:val="00D12A4E"/>
    <w:rsid w:val="00D12D29"/>
    <w:rsid w:val="00D203D2"/>
    <w:rsid w:val="00D20B2F"/>
    <w:rsid w:val="00D24E9D"/>
    <w:rsid w:val="00D3138D"/>
    <w:rsid w:val="00D355D6"/>
    <w:rsid w:val="00D574D3"/>
    <w:rsid w:val="00D57F25"/>
    <w:rsid w:val="00D66722"/>
    <w:rsid w:val="00D66DFD"/>
    <w:rsid w:val="00D67BBF"/>
    <w:rsid w:val="00D828E2"/>
    <w:rsid w:val="00D86523"/>
    <w:rsid w:val="00D8693A"/>
    <w:rsid w:val="00D86B4C"/>
    <w:rsid w:val="00D87ED3"/>
    <w:rsid w:val="00D920A8"/>
    <w:rsid w:val="00D93410"/>
    <w:rsid w:val="00D93C4C"/>
    <w:rsid w:val="00D93F7F"/>
    <w:rsid w:val="00D978A0"/>
    <w:rsid w:val="00DA365E"/>
    <w:rsid w:val="00DA62CA"/>
    <w:rsid w:val="00DA7398"/>
    <w:rsid w:val="00DB094B"/>
    <w:rsid w:val="00DB466F"/>
    <w:rsid w:val="00DB5FEB"/>
    <w:rsid w:val="00DB71D0"/>
    <w:rsid w:val="00DC172F"/>
    <w:rsid w:val="00DC5460"/>
    <w:rsid w:val="00DD135D"/>
    <w:rsid w:val="00DD2DD4"/>
    <w:rsid w:val="00DD33E7"/>
    <w:rsid w:val="00DD3AD3"/>
    <w:rsid w:val="00DE1CA1"/>
    <w:rsid w:val="00DE2179"/>
    <w:rsid w:val="00DE5A43"/>
    <w:rsid w:val="00DF2BCB"/>
    <w:rsid w:val="00DF7151"/>
    <w:rsid w:val="00E0391F"/>
    <w:rsid w:val="00E07FA1"/>
    <w:rsid w:val="00E200D9"/>
    <w:rsid w:val="00E20CE6"/>
    <w:rsid w:val="00E237B1"/>
    <w:rsid w:val="00E2415F"/>
    <w:rsid w:val="00E275D9"/>
    <w:rsid w:val="00E2799B"/>
    <w:rsid w:val="00E300DE"/>
    <w:rsid w:val="00E31D05"/>
    <w:rsid w:val="00E3606D"/>
    <w:rsid w:val="00E405AE"/>
    <w:rsid w:val="00E40B69"/>
    <w:rsid w:val="00E425BC"/>
    <w:rsid w:val="00E43136"/>
    <w:rsid w:val="00E43447"/>
    <w:rsid w:val="00E43AC9"/>
    <w:rsid w:val="00E43B50"/>
    <w:rsid w:val="00E45494"/>
    <w:rsid w:val="00E458DB"/>
    <w:rsid w:val="00E50EF1"/>
    <w:rsid w:val="00E57EDE"/>
    <w:rsid w:val="00E63342"/>
    <w:rsid w:val="00E67602"/>
    <w:rsid w:val="00E73E22"/>
    <w:rsid w:val="00E77577"/>
    <w:rsid w:val="00E8160B"/>
    <w:rsid w:val="00E83EC9"/>
    <w:rsid w:val="00E851EE"/>
    <w:rsid w:val="00E92963"/>
    <w:rsid w:val="00E93E84"/>
    <w:rsid w:val="00E95C80"/>
    <w:rsid w:val="00EA1F8D"/>
    <w:rsid w:val="00EA3B72"/>
    <w:rsid w:val="00EB1F7D"/>
    <w:rsid w:val="00EB3158"/>
    <w:rsid w:val="00EB3DA5"/>
    <w:rsid w:val="00EC149D"/>
    <w:rsid w:val="00EC46A2"/>
    <w:rsid w:val="00EC6DC8"/>
    <w:rsid w:val="00ED05CA"/>
    <w:rsid w:val="00ED0A67"/>
    <w:rsid w:val="00ED333B"/>
    <w:rsid w:val="00EE0F41"/>
    <w:rsid w:val="00EE24B7"/>
    <w:rsid w:val="00EF001B"/>
    <w:rsid w:val="00EF3313"/>
    <w:rsid w:val="00EF7154"/>
    <w:rsid w:val="00F03B52"/>
    <w:rsid w:val="00F068E8"/>
    <w:rsid w:val="00F069E5"/>
    <w:rsid w:val="00F07FD1"/>
    <w:rsid w:val="00F10AE7"/>
    <w:rsid w:val="00F13275"/>
    <w:rsid w:val="00F14682"/>
    <w:rsid w:val="00F14AEB"/>
    <w:rsid w:val="00F1590A"/>
    <w:rsid w:val="00F2254D"/>
    <w:rsid w:val="00F23C00"/>
    <w:rsid w:val="00F25238"/>
    <w:rsid w:val="00F252C8"/>
    <w:rsid w:val="00F33AED"/>
    <w:rsid w:val="00F369E1"/>
    <w:rsid w:val="00F36A82"/>
    <w:rsid w:val="00F42C15"/>
    <w:rsid w:val="00F449F7"/>
    <w:rsid w:val="00F45763"/>
    <w:rsid w:val="00F45866"/>
    <w:rsid w:val="00F50037"/>
    <w:rsid w:val="00F502F9"/>
    <w:rsid w:val="00F5166A"/>
    <w:rsid w:val="00F537D5"/>
    <w:rsid w:val="00F553EB"/>
    <w:rsid w:val="00F558E7"/>
    <w:rsid w:val="00F56B24"/>
    <w:rsid w:val="00F57902"/>
    <w:rsid w:val="00F60CBF"/>
    <w:rsid w:val="00F6207A"/>
    <w:rsid w:val="00F721E9"/>
    <w:rsid w:val="00F74DC8"/>
    <w:rsid w:val="00F77EEB"/>
    <w:rsid w:val="00F8053A"/>
    <w:rsid w:val="00F80663"/>
    <w:rsid w:val="00F846AE"/>
    <w:rsid w:val="00F8587F"/>
    <w:rsid w:val="00F868AA"/>
    <w:rsid w:val="00F86D86"/>
    <w:rsid w:val="00F922F7"/>
    <w:rsid w:val="00F942F2"/>
    <w:rsid w:val="00F94D38"/>
    <w:rsid w:val="00FA0534"/>
    <w:rsid w:val="00FA066F"/>
    <w:rsid w:val="00FA2726"/>
    <w:rsid w:val="00FA3468"/>
    <w:rsid w:val="00FA3D55"/>
    <w:rsid w:val="00FA50D9"/>
    <w:rsid w:val="00FA5153"/>
    <w:rsid w:val="00FB4A21"/>
    <w:rsid w:val="00FB4B55"/>
    <w:rsid w:val="00FB5A07"/>
    <w:rsid w:val="00FC7EA9"/>
    <w:rsid w:val="00FD1C0E"/>
    <w:rsid w:val="00FD5F91"/>
    <w:rsid w:val="00FD7010"/>
    <w:rsid w:val="00FD7677"/>
    <w:rsid w:val="00FD7BF5"/>
    <w:rsid w:val="00FE02BE"/>
    <w:rsid w:val="00FE102D"/>
    <w:rsid w:val="00FE1831"/>
    <w:rsid w:val="00FE20C6"/>
    <w:rsid w:val="00FE72AB"/>
    <w:rsid w:val="00FE74A9"/>
    <w:rsid w:val="00FE7A6E"/>
    <w:rsid w:val="00FF07FD"/>
    <w:rsid w:val="00FF371F"/>
    <w:rsid w:val="00FF3BB3"/>
    <w:rsid w:val="00FF4E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8A3"/>
    <w:rPr>
      <w:color w:val="0000FF" w:themeColor="hyperlink"/>
      <w:u w:val="single"/>
    </w:rPr>
  </w:style>
  <w:style w:type="table" w:styleId="TableGrid">
    <w:name w:val="Table Grid"/>
    <w:basedOn w:val="TableNormal"/>
    <w:uiPriority w:val="59"/>
    <w:rsid w:val="00234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3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447"/>
  </w:style>
  <w:style w:type="paragraph" w:styleId="Footer">
    <w:name w:val="footer"/>
    <w:basedOn w:val="Normal"/>
    <w:link w:val="FooterChar"/>
    <w:uiPriority w:val="99"/>
    <w:unhideWhenUsed/>
    <w:rsid w:val="00E43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447"/>
  </w:style>
  <w:style w:type="paragraph" w:styleId="BalloonText">
    <w:name w:val="Balloon Text"/>
    <w:basedOn w:val="Normal"/>
    <w:link w:val="BalloonTextChar"/>
    <w:uiPriority w:val="99"/>
    <w:semiHidden/>
    <w:unhideWhenUsed/>
    <w:rsid w:val="00E43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447"/>
    <w:rPr>
      <w:rFonts w:ascii="Tahoma" w:hAnsi="Tahoma" w:cs="Tahoma"/>
      <w:sz w:val="16"/>
      <w:szCs w:val="16"/>
    </w:rPr>
  </w:style>
  <w:style w:type="paragraph" w:styleId="ListParagraph">
    <w:name w:val="List Paragraph"/>
    <w:basedOn w:val="Normal"/>
    <w:uiPriority w:val="34"/>
    <w:qFormat/>
    <w:rsid w:val="00240FAD"/>
    <w:pPr>
      <w:ind w:left="720"/>
      <w:contextualSpacing/>
    </w:pPr>
  </w:style>
  <w:style w:type="character" w:styleId="FollowedHyperlink">
    <w:name w:val="FollowedHyperlink"/>
    <w:basedOn w:val="DefaultParagraphFont"/>
    <w:uiPriority w:val="99"/>
    <w:semiHidden/>
    <w:unhideWhenUsed/>
    <w:rsid w:val="008A3CBF"/>
    <w:rPr>
      <w:color w:val="800080" w:themeColor="followedHyperlink"/>
      <w:u w:val="single"/>
    </w:rPr>
  </w:style>
  <w:style w:type="paragraph" w:customStyle="1" w:styleId="BulletLevel1">
    <w:name w:val="Bullet Level 1"/>
    <w:basedOn w:val="Normal"/>
    <w:next w:val="Normal"/>
    <w:rsid w:val="009402C7"/>
    <w:pPr>
      <w:numPr>
        <w:numId w:val="4"/>
      </w:numPr>
      <w:spacing w:after="0" w:line="240" w:lineRule="auto"/>
      <w:jc w:val="both"/>
    </w:pPr>
    <w:rPr>
      <w:rFonts w:eastAsia="Times New Roman"/>
      <w:szCs w:val="20"/>
      <w:lang w:val="en-GB"/>
    </w:rPr>
  </w:style>
  <w:style w:type="paragraph" w:customStyle="1" w:styleId="Default">
    <w:name w:val="Default"/>
    <w:rsid w:val="00B67F84"/>
    <w:pPr>
      <w:autoSpaceDE w:val="0"/>
      <w:autoSpaceDN w:val="0"/>
      <w:adjustRightInd w:val="0"/>
      <w:spacing w:after="0" w:line="240" w:lineRule="auto"/>
    </w:pPr>
    <w:rPr>
      <w:color w:val="000000"/>
    </w:rPr>
  </w:style>
  <w:style w:type="character" w:styleId="CommentReference">
    <w:name w:val="annotation reference"/>
    <w:basedOn w:val="DefaultParagraphFont"/>
    <w:uiPriority w:val="99"/>
    <w:semiHidden/>
    <w:unhideWhenUsed/>
    <w:rsid w:val="008D3FAE"/>
    <w:rPr>
      <w:sz w:val="16"/>
      <w:szCs w:val="16"/>
    </w:rPr>
  </w:style>
  <w:style w:type="paragraph" w:styleId="CommentText">
    <w:name w:val="annotation text"/>
    <w:basedOn w:val="Normal"/>
    <w:link w:val="CommentTextChar"/>
    <w:uiPriority w:val="99"/>
    <w:semiHidden/>
    <w:unhideWhenUsed/>
    <w:rsid w:val="008D3FAE"/>
    <w:pPr>
      <w:spacing w:line="240" w:lineRule="auto"/>
    </w:pPr>
    <w:rPr>
      <w:sz w:val="20"/>
      <w:szCs w:val="20"/>
    </w:rPr>
  </w:style>
  <w:style w:type="character" w:customStyle="1" w:styleId="CommentTextChar">
    <w:name w:val="Comment Text Char"/>
    <w:basedOn w:val="DefaultParagraphFont"/>
    <w:link w:val="CommentText"/>
    <w:uiPriority w:val="99"/>
    <w:semiHidden/>
    <w:rsid w:val="008D3FAE"/>
    <w:rPr>
      <w:sz w:val="20"/>
      <w:szCs w:val="20"/>
    </w:rPr>
  </w:style>
  <w:style w:type="paragraph" w:styleId="CommentSubject">
    <w:name w:val="annotation subject"/>
    <w:basedOn w:val="CommentText"/>
    <w:next w:val="CommentText"/>
    <w:link w:val="CommentSubjectChar"/>
    <w:uiPriority w:val="99"/>
    <w:semiHidden/>
    <w:unhideWhenUsed/>
    <w:rsid w:val="008D3FAE"/>
    <w:rPr>
      <w:b/>
      <w:bCs/>
    </w:rPr>
  </w:style>
  <w:style w:type="character" w:customStyle="1" w:styleId="CommentSubjectChar">
    <w:name w:val="Comment Subject Char"/>
    <w:basedOn w:val="CommentTextChar"/>
    <w:link w:val="CommentSubject"/>
    <w:uiPriority w:val="99"/>
    <w:semiHidden/>
    <w:rsid w:val="008D3FAE"/>
    <w:rPr>
      <w:b/>
      <w:bCs/>
      <w:sz w:val="20"/>
      <w:szCs w:val="20"/>
    </w:rPr>
  </w:style>
  <w:style w:type="paragraph" w:styleId="FootnoteText">
    <w:name w:val="footnote text"/>
    <w:aliases w:val="Footnote Text Char1,Footnote Text Char2 Char,Footnote Text Char1 Char Char1,Footnote Text Char Char Char Char1,Footnote Text Char Char1 Char1,Footnote Text Char1 Char1"/>
    <w:basedOn w:val="Normal"/>
    <w:link w:val="FootnoteTextChar"/>
    <w:rsid w:val="005612B8"/>
    <w:pPr>
      <w:tabs>
        <w:tab w:val="left" w:pos="284"/>
      </w:tabs>
      <w:spacing w:before="60" w:after="0" w:line="230" w:lineRule="exact"/>
      <w:ind w:left="284" w:hanging="284"/>
    </w:pPr>
    <w:rPr>
      <w:rFonts w:eastAsia="Times New Roman"/>
      <w:sz w:val="18"/>
      <w:szCs w:val="20"/>
      <w:lang w:val="en-GB"/>
    </w:rPr>
  </w:style>
  <w:style w:type="character" w:customStyle="1" w:styleId="FootnoteTextChar">
    <w:name w:val="Footnote Text Char"/>
    <w:aliases w:val="Footnote Text Char1 Char,Footnote Text Char2 Char Char,Footnote Text Char1 Char Char1 Char,Footnote Text Char Char Char Char1 Char,Footnote Text Char Char1 Char1 Char,Footnote Text Char1 Char1 Char"/>
    <w:basedOn w:val="DefaultParagraphFont"/>
    <w:link w:val="FootnoteText"/>
    <w:rsid w:val="005612B8"/>
    <w:rPr>
      <w:rFonts w:eastAsia="Times New Roman"/>
      <w:sz w:val="18"/>
      <w:szCs w:val="20"/>
      <w:lang w:val="en-GB"/>
    </w:rPr>
  </w:style>
  <w:style w:type="character" w:styleId="FootnoteReference">
    <w:name w:val="footnote reference"/>
    <w:basedOn w:val="DefaultParagraphFont"/>
    <w:rsid w:val="005612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8A3"/>
    <w:rPr>
      <w:color w:val="0000FF" w:themeColor="hyperlink"/>
      <w:u w:val="single"/>
    </w:rPr>
  </w:style>
  <w:style w:type="table" w:styleId="TableGrid">
    <w:name w:val="Table Grid"/>
    <w:basedOn w:val="TableNormal"/>
    <w:uiPriority w:val="59"/>
    <w:rsid w:val="00234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3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447"/>
  </w:style>
  <w:style w:type="paragraph" w:styleId="Footer">
    <w:name w:val="footer"/>
    <w:basedOn w:val="Normal"/>
    <w:link w:val="FooterChar"/>
    <w:uiPriority w:val="99"/>
    <w:unhideWhenUsed/>
    <w:rsid w:val="00E43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447"/>
  </w:style>
  <w:style w:type="paragraph" w:styleId="BalloonText">
    <w:name w:val="Balloon Text"/>
    <w:basedOn w:val="Normal"/>
    <w:link w:val="BalloonTextChar"/>
    <w:uiPriority w:val="99"/>
    <w:semiHidden/>
    <w:unhideWhenUsed/>
    <w:rsid w:val="00E43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447"/>
    <w:rPr>
      <w:rFonts w:ascii="Tahoma" w:hAnsi="Tahoma" w:cs="Tahoma"/>
      <w:sz w:val="16"/>
      <w:szCs w:val="16"/>
    </w:rPr>
  </w:style>
  <w:style w:type="paragraph" w:styleId="ListParagraph">
    <w:name w:val="List Paragraph"/>
    <w:basedOn w:val="Normal"/>
    <w:uiPriority w:val="34"/>
    <w:qFormat/>
    <w:rsid w:val="00240FAD"/>
    <w:pPr>
      <w:ind w:left="720"/>
      <w:contextualSpacing/>
    </w:pPr>
  </w:style>
  <w:style w:type="character" w:styleId="FollowedHyperlink">
    <w:name w:val="FollowedHyperlink"/>
    <w:basedOn w:val="DefaultParagraphFont"/>
    <w:uiPriority w:val="99"/>
    <w:semiHidden/>
    <w:unhideWhenUsed/>
    <w:rsid w:val="008A3CBF"/>
    <w:rPr>
      <w:color w:val="800080" w:themeColor="followedHyperlink"/>
      <w:u w:val="single"/>
    </w:rPr>
  </w:style>
  <w:style w:type="paragraph" w:customStyle="1" w:styleId="BulletLevel1">
    <w:name w:val="Bullet Level 1"/>
    <w:basedOn w:val="Normal"/>
    <w:next w:val="Normal"/>
    <w:rsid w:val="009402C7"/>
    <w:pPr>
      <w:numPr>
        <w:numId w:val="4"/>
      </w:numPr>
      <w:spacing w:after="0" w:line="240" w:lineRule="auto"/>
      <w:jc w:val="both"/>
    </w:pPr>
    <w:rPr>
      <w:rFonts w:eastAsia="Times New Roman"/>
      <w:szCs w:val="20"/>
      <w:lang w:val="en-GB"/>
    </w:rPr>
  </w:style>
  <w:style w:type="paragraph" w:customStyle="1" w:styleId="Default">
    <w:name w:val="Default"/>
    <w:rsid w:val="00B67F84"/>
    <w:pPr>
      <w:autoSpaceDE w:val="0"/>
      <w:autoSpaceDN w:val="0"/>
      <w:adjustRightInd w:val="0"/>
      <w:spacing w:after="0" w:line="240" w:lineRule="auto"/>
    </w:pPr>
    <w:rPr>
      <w:color w:val="000000"/>
    </w:rPr>
  </w:style>
  <w:style w:type="character" w:styleId="CommentReference">
    <w:name w:val="annotation reference"/>
    <w:basedOn w:val="DefaultParagraphFont"/>
    <w:uiPriority w:val="99"/>
    <w:semiHidden/>
    <w:unhideWhenUsed/>
    <w:rsid w:val="008D3FAE"/>
    <w:rPr>
      <w:sz w:val="16"/>
      <w:szCs w:val="16"/>
    </w:rPr>
  </w:style>
  <w:style w:type="paragraph" w:styleId="CommentText">
    <w:name w:val="annotation text"/>
    <w:basedOn w:val="Normal"/>
    <w:link w:val="CommentTextChar"/>
    <w:uiPriority w:val="99"/>
    <w:semiHidden/>
    <w:unhideWhenUsed/>
    <w:rsid w:val="008D3FAE"/>
    <w:pPr>
      <w:spacing w:line="240" w:lineRule="auto"/>
    </w:pPr>
    <w:rPr>
      <w:sz w:val="20"/>
      <w:szCs w:val="20"/>
    </w:rPr>
  </w:style>
  <w:style w:type="character" w:customStyle="1" w:styleId="CommentTextChar">
    <w:name w:val="Comment Text Char"/>
    <w:basedOn w:val="DefaultParagraphFont"/>
    <w:link w:val="CommentText"/>
    <w:uiPriority w:val="99"/>
    <w:semiHidden/>
    <w:rsid w:val="008D3FAE"/>
    <w:rPr>
      <w:sz w:val="20"/>
      <w:szCs w:val="20"/>
    </w:rPr>
  </w:style>
  <w:style w:type="paragraph" w:styleId="CommentSubject">
    <w:name w:val="annotation subject"/>
    <w:basedOn w:val="CommentText"/>
    <w:next w:val="CommentText"/>
    <w:link w:val="CommentSubjectChar"/>
    <w:uiPriority w:val="99"/>
    <w:semiHidden/>
    <w:unhideWhenUsed/>
    <w:rsid w:val="008D3FAE"/>
    <w:rPr>
      <w:b/>
      <w:bCs/>
    </w:rPr>
  </w:style>
  <w:style w:type="character" w:customStyle="1" w:styleId="CommentSubjectChar">
    <w:name w:val="Comment Subject Char"/>
    <w:basedOn w:val="CommentTextChar"/>
    <w:link w:val="CommentSubject"/>
    <w:uiPriority w:val="99"/>
    <w:semiHidden/>
    <w:rsid w:val="008D3FAE"/>
    <w:rPr>
      <w:b/>
      <w:bCs/>
      <w:sz w:val="20"/>
      <w:szCs w:val="20"/>
    </w:rPr>
  </w:style>
  <w:style w:type="paragraph" w:styleId="FootnoteText">
    <w:name w:val="footnote text"/>
    <w:aliases w:val="Footnote Text Char1,Footnote Text Char2 Char,Footnote Text Char1 Char Char1,Footnote Text Char Char Char Char1,Footnote Text Char Char1 Char1,Footnote Text Char1 Char1"/>
    <w:basedOn w:val="Normal"/>
    <w:link w:val="FootnoteTextChar"/>
    <w:rsid w:val="005612B8"/>
    <w:pPr>
      <w:tabs>
        <w:tab w:val="left" w:pos="284"/>
      </w:tabs>
      <w:spacing w:before="60" w:after="0" w:line="230" w:lineRule="exact"/>
      <w:ind w:left="284" w:hanging="284"/>
    </w:pPr>
    <w:rPr>
      <w:rFonts w:eastAsia="Times New Roman"/>
      <w:sz w:val="18"/>
      <w:szCs w:val="20"/>
      <w:lang w:val="en-GB"/>
    </w:rPr>
  </w:style>
  <w:style w:type="character" w:customStyle="1" w:styleId="FootnoteTextChar">
    <w:name w:val="Footnote Text Char"/>
    <w:aliases w:val="Footnote Text Char1 Char,Footnote Text Char2 Char Char,Footnote Text Char1 Char Char1 Char,Footnote Text Char Char Char Char1 Char,Footnote Text Char Char1 Char1 Char,Footnote Text Char1 Char1 Char"/>
    <w:basedOn w:val="DefaultParagraphFont"/>
    <w:link w:val="FootnoteText"/>
    <w:rsid w:val="005612B8"/>
    <w:rPr>
      <w:rFonts w:eastAsia="Times New Roman"/>
      <w:sz w:val="18"/>
      <w:szCs w:val="20"/>
      <w:lang w:val="en-GB"/>
    </w:rPr>
  </w:style>
  <w:style w:type="character" w:styleId="FootnoteReference">
    <w:name w:val="footnote reference"/>
    <w:basedOn w:val="DefaultParagraphFont"/>
    <w:rsid w:val="005612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5715">
      <w:bodyDiv w:val="1"/>
      <w:marLeft w:val="0"/>
      <w:marRight w:val="0"/>
      <w:marTop w:val="0"/>
      <w:marBottom w:val="0"/>
      <w:divBdr>
        <w:top w:val="none" w:sz="0" w:space="0" w:color="auto"/>
        <w:left w:val="none" w:sz="0" w:space="0" w:color="auto"/>
        <w:bottom w:val="none" w:sz="0" w:space="0" w:color="auto"/>
        <w:right w:val="none" w:sz="0" w:space="0" w:color="auto"/>
      </w:divBdr>
    </w:div>
    <w:div w:id="620692082">
      <w:bodyDiv w:val="1"/>
      <w:marLeft w:val="0"/>
      <w:marRight w:val="0"/>
      <w:marTop w:val="0"/>
      <w:marBottom w:val="0"/>
      <w:divBdr>
        <w:top w:val="none" w:sz="0" w:space="0" w:color="auto"/>
        <w:left w:val="none" w:sz="0" w:space="0" w:color="auto"/>
        <w:bottom w:val="none" w:sz="0" w:space="0" w:color="auto"/>
        <w:right w:val="none" w:sz="0" w:space="0" w:color="auto"/>
      </w:divBdr>
    </w:div>
    <w:div w:id="1001087574">
      <w:bodyDiv w:val="1"/>
      <w:marLeft w:val="0"/>
      <w:marRight w:val="0"/>
      <w:marTop w:val="0"/>
      <w:marBottom w:val="0"/>
      <w:divBdr>
        <w:top w:val="none" w:sz="0" w:space="0" w:color="auto"/>
        <w:left w:val="none" w:sz="0" w:space="0" w:color="auto"/>
        <w:bottom w:val="none" w:sz="0" w:space="0" w:color="auto"/>
        <w:right w:val="none" w:sz="0" w:space="0" w:color="auto"/>
      </w:divBdr>
    </w:div>
    <w:div w:id="1647052404">
      <w:bodyDiv w:val="1"/>
      <w:marLeft w:val="0"/>
      <w:marRight w:val="0"/>
      <w:marTop w:val="0"/>
      <w:marBottom w:val="0"/>
      <w:divBdr>
        <w:top w:val="none" w:sz="0" w:space="0" w:color="auto"/>
        <w:left w:val="none" w:sz="0" w:space="0" w:color="auto"/>
        <w:bottom w:val="none" w:sz="0" w:space="0" w:color="auto"/>
        <w:right w:val="none" w:sz="0" w:space="0" w:color="auto"/>
      </w:divBdr>
    </w:div>
    <w:div w:id="1924532217">
      <w:bodyDiv w:val="1"/>
      <w:marLeft w:val="0"/>
      <w:marRight w:val="0"/>
      <w:marTop w:val="0"/>
      <w:marBottom w:val="0"/>
      <w:divBdr>
        <w:top w:val="none" w:sz="0" w:space="0" w:color="auto"/>
        <w:left w:val="none" w:sz="0" w:space="0" w:color="auto"/>
        <w:bottom w:val="none" w:sz="0" w:space="0" w:color="auto"/>
        <w:right w:val="none" w:sz="0" w:space="0" w:color="auto"/>
      </w:divBdr>
    </w:div>
    <w:div w:id="209381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wc.gov.au/documents/sites/wagereview2017/consultations/ausgovsub.pdf" TargetMode="External"/><Relationship Id="rId18" Type="http://schemas.openxmlformats.org/officeDocument/2006/relationships/hyperlink" Target="https://www.fwc.gov.au/documents/sites/wagereview2017/consultations/uvsub.pdf" TargetMode="External"/><Relationship Id="rId26" Type="http://schemas.openxmlformats.org/officeDocument/2006/relationships/hyperlink" Target="https://www.fwc.gov.au/documents/sites/wagereview2017/consultations/acosssub.pdf" TargetMode="External"/><Relationship Id="rId39" Type="http://schemas.openxmlformats.org/officeDocument/2006/relationships/hyperlink" Target="https://www.fwc.gov.au/documents/sites/wagereview2017/consultations/actusub.pdf" TargetMode="External"/><Relationship Id="rId3" Type="http://schemas.openxmlformats.org/officeDocument/2006/relationships/styles" Target="styles.xml"/><Relationship Id="rId21" Type="http://schemas.openxmlformats.org/officeDocument/2006/relationships/hyperlink" Target="https://www.fwc.gov.au/documents/sites/wagereview2017/consultations/aigroupsub.pdf" TargetMode="External"/><Relationship Id="rId34" Type="http://schemas.openxmlformats.org/officeDocument/2006/relationships/hyperlink" Target="https://www.fwc.gov.au/documents/sites/wagereview2017/consultations/actusub.pdf" TargetMode="External"/><Relationship Id="rId42" Type="http://schemas.openxmlformats.org/officeDocument/2006/relationships/hyperlink" Target="https://www.fwc.gov.au/documents/sites/wagereview2017/consultations/uvsub.pdf" TargetMode="External"/><Relationship Id="rId47" Type="http://schemas.openxmlformats.org/officeDocument/2006/relationships/hyperlink" Target="https://www.fwc.gov.au/documents/sites/wagereview2017/consultations/accisub.pdf"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fwc.gov.au/documents/sites/wagereview2017/consultations/acosssub.pdf" TargetMode="External"/><Relationship Id="rId17" Type="http://schemas.openxmlformats.org/officeDocument/2006/relationships/hyperlink" Target="https://www.fwc.gov.au/documents/sites/wagereview2017/consultations/afeisub.pdf" TargetMode="External"/><Relationship Id="rId25" Type="http://schemas.openxmlformats.org/officeDocument/2006/relationships/hyperlink" Target="https://www.fwc.gov.au/documents/sites/wagereview2017/consultations/actusub.pdf" TargetMode="External"/><Relationship Id="rId33" Type="http://schemas.openxmlformats.org/officeDocument/2006/relationships/hyperlink" Target="https://www.fwc.gov.au/documents/sites/wagereview2017/consultations/uvsub.pdf" TargetMode="External"/><Relationship Id="rId38" Type="http://schemas.openxmlformats.org/officeDocument/2006/relationships/hyperlink" Target="https://www.fwc.gov.au/documents/sites/wagereview2017/consultations/uvsub.pdf" TargetMode="External"/><Relationship Id="rId46" Type="http://schemas.openxmlformats.org/officeDocument/2006/relationships/hyperlink" Target="https://www.fwc.gov.au/documents/sites/wagereview2017/consultations/aigroupsub.pdf" TargetMode="External"/><Relationship Id="rId2" Type="http://schemas.openxmlformats.org/officeDocument/2006/relationships/numbering" Target="numbering.xml"/><Relationship Id="rId16" Type="http://schemas.openxmlformats.org/officeDocument/2006/relationships/hyperlink" Target="https://www.fwc.gov.au/documents/sites/wagereview2017/consultations/abisub.pdf" TargetMode="External"/><Relationship Id="rId20" Type="http://schemas.openxmlformats.org/officeDocument/2006/relationships/hyperlink" Target="https://www.fwc.gov.au/documents/sites/wagereview2017/consultations/accersub.pdf" TargetMode="External"/><Relationship Id="rId29" Type="http://schemas.openxmlformats.org/officeDocument/2006/relationships/hyperlink" Target="https://www.fwc.gov.au/documents/sites/wagereview2017/consultations/accisub.pdf" TargetMode="External"/><Relationship Id="rId41" Type="http://schemas.openxmlformats.org/officeDocument/2006/relationships/hyperlink" Target="https://www.fwc.gov.au/documents/sites/wagereview2017/consultations/accisub.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wc.gov.au/documents/sites/wagereview2017/consultations/accersub.pdf" TargetMode="External"/><Relationship Id="rId24" Type="http://schemas.openxmlformats.org/officeDocument/2006/relationships/hyperlink" Target="https://www.fwc.gov.au/documents/sites/wagereview2017/consultations/uvsub.pdf" TargetMode="External"/><Relationship Id="rId32" Type="http://schemas.openxmlformats.org/officeDocument/2006/relationships/hyperlink" Target="https://www.fwc.gov.au/documents/sites/wagereview2017/consultations/actusub.pdf" TargetMode="External"/><Relationship Id="rId37" Type="http://schemas.openxmlformats.org/officeDocument/2006/relationships/hyperlink" Target="https://www.fwc.gov.au/documents/sites/wagereview2017/consultations/accisub.pdf" TargetMode="External"/><Relationship Id="rId40" Type="http://schemas.openxmlformats.org/officeDocument/2006/relationships/hyperlink" Target="https://www.fwc.gov.au/documents/sites/wagereview2017/consultations/aigroupsub.pdf" TargetMode="External"/><Relationship Id="rId45" Type="http://schemas.openxmlformats.org/officeDocument/2006/relationships/hyperlink" Target="https://www.fwc.gov.au/documents/sites/wagereview2017/consultations/ausgovsub.pdf" TargetMode="External"/><Relationship Id="rId5" Type="http://schemas.openxmlformats.org/officeDocument/2006/relationships/settings" Target="settings.xml"/><Relationship Id="rId15" Type="http://schemas.openxmlformats.org/officeDocument/2006/relationships/hyperlink" Target="https://www.fwc.gov.au/documents/sites/wagereview2017/consultations/accisub.pdf" TargetMode="External"/><Relationship Id="rId23" Type="http://schemas.openxmlformats.org/officeDocument/2006/relationships/hyperlink" Target="https://www.fwc.gov.au/documents/sites/wagereview2017/consultations/afeisub.pdf" TargetMode="External"/><Relationship Id="rId28" Type="http://schemas.openxmlformats.org/officeDocument/2006/relationships/hyperlink" Target="https://www.fwc.gov.au/documents/sites/wagereview2017/consultations/aigroupsub.pdf" TargetMode="External"/><Relationship Id="rId36" Type="http://schemas.openxmlformats.org/officeDocument/2006/relationships/hyperlink" Target="https://www.fwc.gov.au/documents/sites/wagereview2017/consultations/acosssub.pdf" TargetMode="External"/><Relationship Id="rId49" Type="http://schemas.openxmlformats.org/officeDocument/2006/relationships/hyperlink" Target="https://www.fwc.gov.au/documents/sites/wagereview2017/consultations/afeisub.pdf" TargetMode="External"/><Relationship Id="rId10" Type="http://schemas.openxmlformats.org/officeDocument/2006/relationships/hyperlink" Target="https://www.fwc.gov.au/documents/sites/wagereview2017/consultations/actusub.pdf" TargetMode="External"/><Relationship Id="rId19" Type="http://schemas.openxmlformats.org/officeDocument/2006/relationships/hyperlink" Target="https://www.fwc.gov.au/documents/sites/wagereview2017/consultations/actusub.pdf" TargetMode="External"/><Relationship Id="rId31" Type="http://schemas.openxmlformats.org/officeDocument/2006/relationships/hyperlink" Target="https://www.fwc.gov.au/documents/sites/wagereview2017/consultations/uvsub.pdf" TargetMode="External"/><Relationship Id="rId44" Type="http://schemas.openxmlformats.org/officeDocument/2006/relationships/hyperlink" Target="https://www.fwc.gov.au/documents/sites/wagereview2017/consultations/acosssub.pdf"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fwc.gov.au/documents/sites/wagereview2017/consultations/uvsub.pdf" TargetMode="External"/><Relationship Id="rId14" Type="http://schemas.openxmlformats.org/officeDocument/2006/relationships/hyperlink" Target="https://www.fwc.gov.au/documents/sites/wagereview2017/consultations/aigroupsub.pdf" TargetMode="External"/><Relationship Id="rId22" Type="http://schemas.openxmlformats.org/officeDocument/2006/relationships/hyperlink" Target="https://www.fwc.gov.au/documents/sites/wagereview2017/consultations/accisub.pdf" TargetMode="External"/><Relationship Id="rId27" Type="http://schemas.openxmlformats.org/officeDocument/2006/relationships/hyperlink" Target="https://www.fwc.gov.au/documents/sites/wagereview2017/consultations/ausgovsub.pdf" TargetMode="External"/><Relationship Id="rId30" Type="http://schemas.openxmlformats.org/officeDocument/2006/relationships/hyperlink" Target="https://www.fwc.gov.au/documents/sites/wagereview2017/consultations/abisub.pdf" TargetMode="External"/><Relationship Id="rId35" Type="http://schemas.openxmlformats.org/officeDocument/2006/relationships/hyperlink" Target="https://www.fwc.gov.au/documents/sites/wagereview2017/consultations/accersub.pdf" TargetMode="External"/><Relationship Id="rId43" Type="http://schemas.openxmlformats.org/officeDocument/2006/relationships/hyperlink" Target="https://www.fwc.gov.au/documents/sites/wagereview2017/consultations/actusub.pdf" TargetMode="External"/><Relationship Id="rId48" Type="http://schemas.openxmlformats.org/officeDocument/2006/relationships/hyperlink" Target="https://www.fwc.gov.au/documents/sites/wagereview2017/consultations/abisub.pdf"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C0B50-FD11-40C1-A9A2-F32DA232A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6</Pages>
  <Words>2059</Words>
  <Characters>11741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Fair Work Commission</Company>
  <LinksUpToDate>false</LinksUpToDate>
  <CharactersWithSpaces>13773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rozenbes</cp:lastModifiedBy>
  <cp:revision>122</cp:revision>
  <cp:lastPrinted>2014-12-01T02:07:00Z</cp:lastPrinted>
  <dcterms:created xsi:type="dcterms:W3CDTF">2016-10-19T03:31:00Z</dcterms:created>
  <dcterms:modified xsi:type="dcterms:W3CDTF">2016-10-21T04:52:00Z</dcterms:modified>
</cp:coreProperties>
</file>