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CE6" w:rsidRDefault="00E20CE6" w:rsidP="00AB3B91">
      <w:pPr>
        <w:jc w:val="center"/>
      </w:pPr>
      <w:bookmarkStart w:id="0" w:name="_GoBack"/>
      <w:bookmarkEnd w:id="0"/>
      <w:r>
        <w:rPr>
          <w:b/>
        </w:rPr>
        <w:t>SUMMARY OF SUBMISSIONS</w:t>
      </w:r>
      <w:r w:rsidR="001F4C6F">
        <w:rPr>
          <w:b/>
        </w:rPr>
        <w:t>: REVIEW OF TRANSITIONAL INSTRUMENTS</w:t>
      </w:r>
    </w:p>
    <w:p w:rsidR="008D050B" w:rsidRDefault="004269DF" w:rsidP="008D050B">
      <w:r>
        <w:t>This table is a summar</w:t>
      </w:r>
      <w:r w:rsidR="008D050B">
        <w:t xml:space="preserve">y of submissions lodged for the Annual Wage Review 2016–17 preliminary hearing </w:t>
      </w:r>
      <w:r w:rsidR="000668B6">
        <w:t xml:space="preserve">into </w:t>
      </w:r>
      <w:r w:rsidR="008D050B">
        <w:t>a review of transitional instruments.</w:t>
      </w:r>
    </w:p>
    <w:tbl>
      <w:tblPr>
        <w:tblStyle w:val="TableGrid"/>
        <w:tblW w:w="5000" w:type="pct"/>
        <w:tblLook w:val="04A0" w:firstRow="1" w:lastRow="0" w:firstColumn="1" w:lastColumn="0" w:noHBand="0" w:noVBand="1"/>
      </w:tblPr>
      <w:tblGrid>
        <w:gridCol w:w="816"/>
        <w:gridCol w:w="4961"/>
        <w:gridCol w:w="8397"/>
      </w:tblGrid>
      <w:tr w:rsidR="00197CF3" w:rsidRPr="008D5B94" w:rsidTr="00937F0C">
        <w:trPr>
          <w:trHeight w:val="347"/>
          <w:tblHeader/>
        </w:trPr>
        <w:tc>
          <w:tcPr>
            <w:tcW w:w="288" w:type="pct"/>
            <w:shd w:val="clear" w:color="auto" w:fill="C6D9F1" w:themeFill="text2" w:themeFillTint="33"/>
          </w:tcPr>
          <w:p w:rsidR="00197CF3" w:rsidRPr="008D5B94" w:rsidRDefault="001F4C6F" w:rsidP="00381DD2">
            <w:pPr>
              <w:rPr>
                <w:b/>
              </w:rPr>
            </w:pPr>
            <w:r>
              <w:rPr>
                <w:b/>
              </w:rPr>
              <w:t>No.</w:t>
            </w:r>
          </w:p>
        </w:tc>
        <w:tc>
          <w:tcPr>
            <w:tcW w:w="1750" w:type="pct"/>
            <w:shd w:val="clear" w:color="auto" w:fill="C6D9F1" w:themeFill="text2" w:themeFillTint="33"/>
          </w:tcPr>
          <w:p w:rsidR="00197CF3" w:rsidRPr="008D5B94" w:rsidRDefault="00197CF3" w:rsidP="00381DD2">
            <w:pPr>
              <w:rPr>
                <w:b/>
              </w:rPr>
            </w:pPr>
            <w:r w:rsidRPr="008D5B94">
              <w:rPr>
                <w:b/>
              </w:rPr>
              <w:t>QUESTION</w:t>
            </w:r>
          </w:p>
        </w:tc>
        <w:tc>
          <w:tcPr>
            <w:tcW w:w="2962" w:type="pct"/>
            <w:shd w:val="clear" w:color="auto" w:fill="C6D9F1" w:themeFill="text2" w:themeFillTint="33"/>
          </w:tcPr>
          <w:p w:rsidR="00197CF3" w:rsidRPr="008D5B94" w:rsidRDefault="00197CF3" w:rsidP="00381DD2">
            <w:pPr>
              <w:rPr>
                <w:b/>
              </w:rPr>
            </w:pPr>
            <w:r w:rsidRPr="008D5B94">
              <w:rPr>
                <w:b/>
              </w:rPr>
              <w:t>SUMMARY OF SUBMISSION</w:t>
            </w:r>
            <w:r w:rsidR="00044BCD" w:rsidRPr="008D5B94">
              <w:rPr>
                <w:b/>
              </w:rPr>
              <w:t>S</w:t>
            </w:r>
          </w:p>
        </w:tc>
      </w:tr>
      <w:tr w:rsidR="00197CF3" w:rsidRPr="008D5B94" w:rsidTr="00937F0C">
        <w:tc>
          <w:tcPr>
            <w:tcW w:w="288" w:type="pct"/>
          </w:tcPr>
          <w:p w:rsidR="00197CF3" w:rsidRPr="008D5B94" w:rsidRDefault="00197CF3" w:rsidP="00F558E7">
            <w:pPr>
              <w:pStyle w:val="ListParagraph"/>
              <w:ind w:left="0"/>
              <w:jc w:val="both"/>
            </w:pPr>
            <w:r w:rsidRPr="008D5B94">
              <w:t>1.</w:t>
            </w:r>
          </w:p>
          <w:p w:rsidR="00197CF3" w:rsidRPr="008D5B94" w:rsidRDefault="00197CF3" w:rsidP="00CA0E00">
            <w:pPr>
              <w:pStyle w:val="ListParagraph"/>
              <w:jc w:val="both"/>
            </w:pPr>
          </w:p>
        </w:tc>
        <w:tc>
          <w:tcPr>
            <w:tcW w:w="1750" w:type="pct"/>
          </w:tcPr>
          <w:p w:rsidR="005850CF" w:rsidRDefault="005850CF" w:rsidP="005850CF">
            <w:pPr>
              <w:rPr>
                <w:b/>
                <w:lang w:eastAsia="en-AU"/>
              </w:rPr>
            </w:pPr>
            <w:r w:rsidRPr="001A2F93">
              <w:rPr>
                <w:b/>
                <w:lang w:eastAsia="en-AU"/>
              </w:rPr>
              <w:t xml:space="preserve">Instruments of general application </w:t>
            </w:r>
          </w:p>
          <w:p w:rsidR="005850CF" w:rsidRDefault="005850CF" w:rsidP="004A77F6">
            <w:pPr>
              <w:rPr>
                <w:b/>
                <w:i/>
                <w:lang w:eastAsia="en-AU"/>
              </w:rPr>
            </w:pPr>
          </w:p>
          <w:p w:rsidR="004A77F6" w:rsidRPr="001A2F93" w:rsidRDefault="004A77F6" w:rsidP="004A77F6">
            <w:pPr>
              <w:rPr>
                <w:b/>
                <w:i/>
                <w:lang w:eastAsia="en-AU"/>
              </w:rPr>
            </w:pPr>
            <w:r w:rsidRPr="001A2F93">
              <w:rPr>
                <w:b/>
                <w:i/>
                <w:lang w:eastAsia="en-AU"/>
              </w:rPr>
              <w:t xml:space="preserve">Given the operation of s.113 of the Fair Work Act, can the long service leave awards be terminated? </w:t>
            </w:r>
          </w:p>
          <w:p w:rsidR="00197CF3" w:rsidRPr="008D5B94" w:rsidRDefault="00197CF3" w:rsidP="00381DD2"/>
        </w:tc>
        <w:tc>
          <w:tcPr>
            <w:tcW w:w="2962" w:type="pct"/>
          </w:tcPr>
          <w:p w:rsidR="00046754" w:rsidRDefault="003F2216" w:rsidP="00197CF3">
            <w:hyperlink r:id="rId9" w:history="1">
              <w:r w:rsidR="00154259" w:rsidRPr="007F41DF">
                <w:rPr>
                  <w:rStyle w:val="Hyperlink"/>
                </w:rPr>
                <w:t>Australian Government</w:t>
              </w:r>
            </w:hyperlink>
            <w:r w:rsidR="000668B6">
              <w:t xml:space="preserve"> (p. </w:t>
            </w:r>
            <w:r w:rsidR="00901D65">
              <w:t>4</w:t>
            </w:r>
            <w:r w:rsidR="008D5B94">
              <w:t>)</w:t>
            </w:r>
            <w:r w:rsidR="00644A3B">
              <w:t xml:space="preserve"> s</w:t>
            </w:r>
            <w:r w:rsidR="00901D65">
              <w:t>ubmitted</w:t>
            </w:r>
            <w:r w:rsidR="00644A3B">
              <w:t xml:space="preserve"> that</w:t>
            </w:r>
            <w:r w:rsidR="00901D65">
              <w:t xml:space="preserve"> LSL awards could be terminated because s.113 preserves the effect of LSL terms in these awards.</w:t>
            </w:r>
            <w:r w:rsidR="008D5B94">
              <w:t xml:space="preserve"> </w:t>
            </w:r>
          </w:p>
          <w:p w:rsidR="000668B6" w:rsidRDefault="000668B6" w:rsidP="00197CF3"/>
          <w:p w:rsidR="000668B6" w:rsidRDefault="003F2216" w:rsidP="00197CF3">
            <w:pPr>
              <w:rPr>
                <w:lang w:eastAsia="en-AU"/>
              </w:rPr>
            </w:pPr>
            <w:hyperlink r:id="rId10" w:history="1">
              <w:r w:rsidR="000668B6" w:rsidRPr="00EE0F41">
                <w:rPr>
                  <w:rStyle w:val="Hyperlink"/>
                </w:rPr>
                <w:t>ACTU</w:t>
              </w:r>
            </w:hyperlink>
            <w:r w:rsidR="000668B6" w:rsidRPr="00EE0F41">
              <w:rPr>
                <w:rStyle w:val="Hyperlink"/>
              </w:rPr>
              <w:t xml:space="preserve"> </w:t>
            </w:r>
            <w:r w:rsidR="000668B6">
              <w:t>(p.</w:t>
            </w:r>
            <w:r w:rsidR="00901D65">
              <w:t>32</w:t>
            </w:r>
            <w:r w:rsidR="000668B6" w:rsidRPr="008D5B94">
              <w:t xml:space="preserve">) </w:t>
            </w:r>
            <w:r w:rsidR="00644A3B">
              <w:t>s</w:t>
            </w:r>
            <w:r w:rsidR="00901D65">
              <w:t>uggested that terminating the awards could have the unintended effect of extinguishing the entitlement s.113 to operate upon.</w:t>
            </w:r>
            <w:r w:rsidR="0049694F">
              <w:t xml:space="preserve"> Commission may not have jurisdiction to terminate these instruments as i</w:t>
            </w:r>
            <w:r w:rsidR="0049694F">
              <w:rPr>
                <w:lang w:eastAsia="en-AU"/>
              </w:rPr>
              <w:t>tems 12(3) and 12A(4) of Schedule 3 may create a barrier to terminating these instruments outside of the modernisation processes.</w:t>
            </w:r>
            <w:r w:rsidR="00B12EB9">
              <w:rPr>
                <w:lang w:eastAsia="en-AU"/>
              </w:rPr>
              <w:t xml:space="preserve">  </w:t>
            </w:r>
          </w:p>
          <w:p w:rsidR="000668B6" w:rsidRDefault="000668B6" w:rsidP="00197CF3"/>
          <w:p w:rsidR="00451A69" w:rsidRDefault="003F2216" w:rsidP="00197CF3">
            <w:hyperlink r:id="rId11" w:history="1">
              <w:r w:rsidR="00451A69" w:rsidRPr="00AE37AB">
                <w:rPr>
                  <w:rStyle w:val="Hyperlink"/>
                </w:rPr>
                <w:t>CFMEU C&amp;G</w:t>
              </w:r>
            </w:hyperlink>
            <w:r w:rsidR="008E41EA">
              <w:t xml:space="preserve"> (p.</w:t>
            </w:r>
            <w:r w:rsidR="00901D65">
              <w:t>2</w:t>
            </w:r>
            <w:r w:rsidR="008E41EA">
              <w:t>)</w:t>
            </w:r>
            <w:r w:rsidR="00644A3B">
              <w:t xml:space="preserve"> supported</w:t>
            </w:r>
            <w:r w:rsidR="00901D65">
              <w:t xml:space="preserve"> ACTU submission on this issue bu</w:t>
            </w:r>
            <w:r w:rsidR="00644A3B">
              <w:t>t did</w:t>
            </w:r>
            <w:r w:rsidR="0083554F">
              <w:t xml:space="preserve"> not object to identified</w:t>
            </w:r>
            <w:r w:rsidR="00901D65">
              <w:t xml:space="preserve"> relevant LSL Awards being terminated</w:t>
            </w:r>
            <w:r w:rsidR="0083554F">
              <w:t>.</w:t>
            </w:r>
          </w:p>
          <w:p w:rsidR="00451A69" w:rsidRDefault="00451A69" w:rsidP="00197CF3"/>
          <w:p w:rsidR="00451A69" w:rsidRDefault="003F2216" w:rsidP="00197CF3">
            <w:hyperlink r:id="rId12" w:history="1">
              <w:r w:rsidR="00451A69" w:rsidRPr="00AE37AB">
                <w:rPr>
                  <w:rStyle w:val="Hyperlink"/>
                </w:rPr>
                <w:t>CFMEU FFPD</w:t>
              </w:r>
            </w:hyperlink>
            <w:r w:rsidR="008E41EA">
              <w:t xml:space="preserve"> (p</w:t>
            </w:r>
            <w:r w:rsidR="005F3340">
              <w:t>.3</w:t>
            </w:r>
            <w:r w:rsidR="008E41EA">
              <w:t xml:space="preserve">.) </w:t>
            </w:r>
            <w:r w:rsidR="00644A3B">
              <w:t>supported</w:t>
            </w:r>
            <w:r w:rsidR="00901D65">
              <w:t xml:space="preserve"> ACTU s</w:t>
            </w:r>
            <w:r w:rsidR="00644A3B">
              <w:t>ubmission on this issue but did</w:t>
            </w:r>
            <w:r w:rsidR="00901D65">
              <w:t xml:space="preserve"> not object to identified relevant LSL Awards being terminated</w:t>
            </w:r>
            <w:r w:rsidR="0083554F">
              <w:t>.</w:t>
            </w:r>
          </w:p>
          <w:p w:rsidR="00451A69" w:rsidRDefault="00451A69" w:rsidP="00197CF3"/>
          <w:p w:rsidR="00451A69" w:rsidRDefault="003F2216" w:rsidP="00197CF3">
            <w:hyperlink r:id="rId13" w:history="1">
              <w:r w:rsidR="00451A69" w:rsidRPr="007213D7">
                <w:rPr>
                  <w:rStyle w:val="Hyperlink"/>
                </w:rPr>
                <w:t>TCFU</w:t>
              </w:r>
            </w:hyperlink>
            <w:r w:rsidR="007823C1">
              <w:t xml:space="preserve"> (</w:t>
            </w:r>
            <w:r w:rsidR="0049694F">
              <w:t xml:space="preserve"> para.2.2</w:t>
            </w:r>
            <w:r w:rsidR="007823C1">
              <w:t>, p.2</w:t>
            </w:r>
            <w:r w:rsidR="00451A69">
              <w:t xml:space="preserve"> )</w:t>
            </w:r>
            <w:r w:rsidR="00644A3B">
              <w:t xml:space="preserve"> did</w:t>
            </w:r>
            <w:r w:rsidR="0049694F">
              <w:t xml:space="preserve"> not object to termination of the </w:t>
            </w:r>
            <w:r w:rsidR="0049694F" w:rsidRPr="00656B07">
              <w:rPr>
                <w:i/>
              </w:rPr>
              <w:t>Footwear – Manufacturing and Component Industry (Long Service Leave) Award 1977</w:t>
            </w:r>
            <w:r w:rsidR="0049694F">
              <w:t>and noted that this award had very limited application, in addition to having terms less beneficial than applicable provisions in relevant state legislation.</w:t>
            </w:r>
          </w:p>
          <w:p w:rsidR="00451A69" w:rsidRDefault="00451A69" w:rsidP="00197CF3"/>
          <w:p w:rsidR="00046754" w:rsidRDefault="003F2216" w:rsidP="00197CF3">
            <w:hyperlink r:id="rId14" w:history="1">
              <w:r w:rsidR="00046754" w:rsidRPr="007F41DF">
                <w:rPr>
                  <w:rStyle w:val="Hyperlink"/>
                </w:rPr>
                <w:t>Ai Group</w:t>
              </w:r>
            </w:hyperlink>
            <w:r w:rsidR="000668B6">
              <w:t xml:space="preserve"> (p.</w:t>
            </w:r>
            <w:r w:rsidR="0049694F">
              <w:t>8</w:t>
            </w:r>
            <w:r w:rsidR="000668B6">
              <w:t xml:space="preserve"> </w:t>
            </w:r>
            <w:r w:rsidR="00046754">
              <w:t xml:space="preserve">) </w:t>
            </w:r>
            <w:r w:rsidR="0049694F">
              <w:t>Section 113 operates to preserve LSL entitlements and it was not the intention of Parliament that pre-modern LSL awards be maintained.</w:t>
            </w:r>
          </w:p>
          <w:p w:rsidR="00046754" w:rsidRDefault="00046754" w:rsidP="00197CF3"/>
          <w:p w:rsidR="00AD0330" w:rsidRDefault="003F2216" w:rsidP="00197CF3">
            <w:hyperlink r:id="rId15" w:history="1">
              <w:r w:rsidR="007F7BF2">
                <w:rPr>
                  <w:rStyle w:val="Hyperlink"/>
                </w:rPr>
                <w:t xml:space="preserve">ABI and </w:t>
              </w:r>
              <w:r w:rsidR="00046754" w:rsidRPr="009A7A71">
                <w:rPr>
                  <w:rStyle w:val="Hyperlink"/>
                </w:rPr>
                <w:t>NSWBC</w:t>
              </w:r>
            </w:hyperlink>
            <w:r w:rsidR="00F83594" w:rsidRPr="009A7A71">
              <w:t xml:space="preserve"> (</w:t>
            </w:r>
            <w:r w:rsidR="000668B6" w:rsidRPr="009A7A71">
              <w:t>para</w:t>
            </w:r>
            <w:r w:rsidR="007823C1" w:rsidRPr="009A7A71">
              <w:t>s 4.6–7, p</w:t>
            </w:r>
            <w:r w:rsidR="00CE67CC" w:rsidRPr="009A7A71">
              <w:t>p</w:t>
            </w:r>
            <w:r w:rsidR="007823C1" w:rsidRPr="009A7A71">
              <w:t>.</w:t>
            </w:r>
            <w:r w:rsidR="00CE67CC" w:rsidRPr="009A7A71">
              <w:t>6–</w:t>
            </w:r>
            <w:r w:rsidR="007823C1" w:rsidRPr="009A7A71">
              <w:t>7</w:t>
            </w:r>
            <w:r w:rsidR="00AD0330" w:rsidRPr="009A7A71">
              <w:t>)</w:t>
            </w:r>
            <w:r w:rsidR="00644A3B">
              <w:t xml:space="preserve"> </w:t>
            </w:r>
            <w:r w:rsidR="007823C1" w:rsidRPr="009A7A71">
              <w:t>LSL awards can be terminated as</w:t>
            </w:r>
            <w:r w:rsidR="00CE67CC" w:rsidRPr="009A7A71">
              <w:t xml:space="preserve"> the effect of section 113</w:t>
            </w:r>
            <w:r w:rsidR="00CE67CC">
              <w:rPr>
                <w:sz w:val="22"/>
                <w:szCs w:val="22"/>
              </w:rPr>
              <w:t xml:space="preserve"> </w:t>
            </w:r>
            <w:r w:rsidR="00CE67CC" w:rsidRPr="00CE67CC">
              <w:t>of the FW Act is to preserve employee entitlements to long service leave derived from awards or State reference transitional awards</w:t>
            </w:r>
            <w:r w:rsidR="007823C1">
              <w:t xml:space="preserve">. </w:t>
            </w:r>
            <w:r w:rsidR="00B670C9">
              <w:t xml:space="preserve">See also  </w:t>
            </w:r>
            <w:hyperlink r:id="rId16" w:history="1">
              <w:r w:rsidR="00B670C9" w:rsidRPr="00CE67CC">
                <w:rPr>
                  <w:rStyle w:val="Hyperlink"/>
                </w:rPr>
                <w:t xml:space="preserve">ABI and </w:t>
              </w:r>
              <w:r w:rsidR="00B670C9" w:rsidRPr="00CE67CC">
                <w:rPr>
                  <w:rStyle w:val="Hyperlink"/>
                </w:rPr>
                <w:lastRenderedPageBreak/>
                <w:t>NSW submission in reply</w:t>
              </w:r>
            </w:hyperlink>
            <w:r w:rsidR="00B670C9" w:rsidRPr="007823C1">
              <w:t xml:space="preserve"> </w:t>
            </w:r>
            <w:r w:rsidR="00B670C9">
              <w:t>(p.4 at paras 2.1–2.5)</w:t>
            </w:r>
            <w:r w:rsidR="0083554F">
              <w:t>.</w:t>
            </w:r>
          </w:p>
          <w:p w:rsidR="00451A69" w:rsidRDefault="00451A69" w:rsidP="00197CF3"/>
          <w:p w:rsidR="00451A69" w:rsidRDefault="003F2216" w:rsidP="00197CF3">
            <w:hyperlink r:id="rId17" w:history="1">
              <w:r w:rsidR="00451A69" w:rsidRPr="007213D7">
                <w:rPr>
                  <w:rStyle w:val="Hyperlink"/>
                </w:rPr>
                <w:t>MTA organisations</w:t>
              </w:r>
            </w:hyperlink>
            <w:r w:rsidR="00451A69">
              <w:t xml:space="preserve"> (p</w:t>
            </w:r>
            <w:r w:rsidR="004C084B">
              <w:t>p</w:t>
            </w:r>
            <w:r w:rsidR="00451A69">
              <w:t xml:space="preserve">. </w:t>
            </w:r>
            <w:r w:rsidR="004C084B">
              <w:t>2–3</w:t>
            </w:r>
            <w:r w:rsidR="00451A69">
              <w:t>)</w:t>
            </w:r>
            <w:r w:rsidR="00F83594">
              <w:t xml:space="preserve"> </w:t>
            </w:r>
            <w:r w:rsidR="00644A3B">
              <w:t xml:space="preserve">submitted that </w:t>
            </w:r>
            <w:r w:rsidR="00F83594">
              <w:t>s 113 has the effect of preserving these entitlements</w:t>
            </w:r>
            <w:r w:rsidR="004C084B">
              <w:t xml:space="preserve">. </w:t>
            </w:r>
            <w:r w:rsidR="00F83594">
              <w:t xml:space="preserve"> </w:t>
            </w:r>
            <w:r w:rsidR="004C084B">
              <w:t>MTA oppose</w:t>
            </w:r>
            <w:r w:rsidR="005F3340">
              <w:t>d</w:t>
            </w:r>
            <w:r w:rsidR="004C084B">
              <w:t xml:space="preserve"> terminating </w:t>
            </w:r>
            <w:r w:rsidR="00F83594">
              <w:t>instruments identified as relevant to their industry</w:t>
            </w:r>
            <w:r w:rsidR="004C084B">
              <w:t xml:space="preserve"> because , in the absence of a national standard, LSL conditions in their relevant awards would be governed by state legislation </w:t>
            </w:r>
            <w:r w:rsidR="00F83594">
              <w:t xml:space="preserve">which could incur </w:t>
            </w:r>
            <w:r w:rsidR="005F3340">
              <w:t xml:space="preserve">unreasonable </w:t>
            </w:r>
            <w:r w:rsidR="00F83594">
              <w:t>costs for employers.</w:t>
            </w:r>
          </w:p>
          <w:p w:rsidR="00935B63" w:rsidRPr="008D5B94" w:rsidRDefault="00935B63" w:rsidP="000668B6"/>
        </w:tc>
      </w:tr>
      <w:tr w:rsidR="00197CF3" w:rsidRPr="008D5B94" w:rsidTr="00937F0C">
        <w:tc>
          <w:tcPr>
            <w:tcW w:w="288" w:type="pct"/>
          </w:tcPr>
          <w:p w:rsidR="00197CF3" w:rsidRPr="008D5B94" w:rsidRDefault="00197CF3" w:rsidP="00381DD2">
            <w:r w:rsidRPr="008D5B94">
              <w:lastRenderedPageBreak/>
              <w:t>2.</w:t>
            </w:r>
          </w:p>
        </w:tc>
        <w:tc>
          <w:tcPr>
            <w:tcW w:w="1750" w:type="pct"/>
          </w:tcPr>
          <w:p w:rsidR="005850CF" w:rsidRPr="001A2F93" w:rsidRDefault="005850CF" w:rsidP="005850CF">
            <w:pPr>
              <w:rPr>
                <w:b/>
                <w:lang w:eastAsia="en-AU"/>
              </w:rPr>
            </w:pPr>
            <w:r w:rsidRPr="001A2F93">
              <w:rPr>
                <w:b/>
                <w:lang w:eastAsia="en-AU"/>
              </w:rPr>
              <w:t xml:space="preserve">Outstanding issues </w:t>
            </w:r>
          </w:p>
          <w:p w:rsidR="005850CF" w:rsidRDefault="005850CF" w:rsidP="004A77F6">
            <w:pPr>
              <w:rPr>
                <w:b/>
                <w:i/>
                <w:lang w:eastAsia="en-AU"/>
              </w:rPr>
            </w:pPr>
          </w:p>
          <w:p w:rsidR="004A77F6" w:rsidRPr="001A2F93" w:rsidRDefault="004A77F6" w:rsidP="004A77F6">
            <w:pPr>
              <w:rPr>
                <w:b/>
                <w:i/>
                <w:lang w:eastAsia="en-AU"/>
              </w:rPr>
            </w:pPr>
            <w:r w:rsidRPr="001A2F93">
              <w:rPr>
                <w:b/>
                <w:i/>
                <w:lang w:eastAsia="en-AU"/>
              </w:rPr>
              <w:t xml:space="preserve">The parties are directed to review the list of existing transitional instruments at Appendix 1 and indicate whether there are instruments on the list in which they have an interest and that they consider need to remain current. </w:t>
            </w:r>
          </w:p>
          <w:p w:rsidR="00197CF3" w:rsidRPr="008D5B94" w:rsidRDefault="00197CF3" w:rsidP="004A77F6">
            <w:pPr>
              <w:tabs>
                <w:tab w:val="left" w:pos="1223"/>
              </w:tabs>
            </w:pPr>
          </w:p>
        </w:tc>
        <w:tc>
          <w:tcPr>
            <w:tcW w:w="2962" w:type="pct"/>
          </w:tcPr>
          <w:p w:rsidR="009A7A71" w:rsidRDefault="003F2216" w:rsidP="009A7A71">
            <w:hyperlink r:id="rId18" w:history="1">
              <w:r w:rsidR="009A7A71" w:rsidRPr="00EE0F41">
                <w:rPr>
                  <w:rStyle w:val="Hyperlink"/>
                </w:rPr>
                <w:t>ACTU</w:t>
              </w:r>
            </w:hyperlink>
            <w:r w:rsidR="009A7A71" w:rsidRPr="00EE0F41">
              <w:rPr>
                <w:rStyle w:val="Hyperlink"/>
              </w:rPr>
              <w:t xml:space="preserve"> </w:t>
            </w:r>
            <w:r w:rsidR="009A7A71">
              <w:t>(p. 34</w:t>
            </w:r>
            <w:r w:rsidR="009A7A71" w:rsidRPr="008D5B94">
              <w:t xml:space="preserve">) </w:t>
            </w:r>
            <w:r w:rsidR="009A7A71">
              <w:t xml:space="preserve">supported the termination of </w:t>
            </w:r>
            <w:r w:rsidR="00F80707">
              <w:t xml:space="preserve">modernisable </w:t>
            </w:r>
            <w:r w:rsidR="009A7A71">
              <w:t>instru</w:t>
            </w:r>
            <w:r w:rsidR="00F80707">
              <w:t>ments</w:t>
            </w:r>
            <w:r w:rsidR="009A7A71">
              <w:t xml:space="preserve"> after the completion of the modernisation process</w:t>
            </w:r>
            <w:r w:rsidR="009A7A71">
              <w:rPr>
                <w:lang w:eastAsia="en-AU"/>
              </w:rPr>
              <w:t>, but advised that they were consulting with their affiliates as to the proper characterisation of the instruments listed in Appendix 1.</w:t>
            </w:r>
          </w:p>
          <w:p w:rsidR="009A7A71" w:rsidRDefault="009A7A71" w:rsidP="009A7A71"/>
          <w:p w:rsidR="009A7A71" w:rsidRDefault="003F2216" w:rsidP="009A7A71">
            <w:hyperlink r:id="rId19" w:history="1">
              <w:r w:rsidR="009A7A71" w:rsidRPr="00AE37AB">
                <w:rPr>
                  <w:rStyle w:val="Hyperlink"/>
                </w:rPr>
                <w:t>CFMEU C&amp;G</w:t>
              </w:r>
            </w:hyperlink>
            <w:r w:rsidR="009A7A71">
              <w:t xml:space="preserve"> (pp. 2-3) submitted an interest in the following instruments:</w:t>
            </w:r>
          </w:p>
          <w:p w:rsidR="009A7A71" w:rsidRDefault="009A7A71" w:rsidP="009A7A71">
            <w:pPr>
              <w:rPr>
                <w:lang w:eastAsia="en-AU"/>
              </w:rPr>
            </w:pPr>
          </w:p>
          <w:p w:rsidR="009A7A71" w:rsidRPr="00DB732D" w:rsidRDefault="009A7A71" w:rsidP="009A7A71">
            <w:pPr>
              <w:pStyle w:val="BulletLevel1"/>
              <w:ind w:left="1021" w:hanging="170"/>
              <w:rPr>
                <w:i/>
              </w:rPr>
            </w:pPr>
            <w:r w:rsidRPr="00DB732D">
              <w:rPr>
                <w:i/>
              </w:rPr>
              <w:t>Building and Construction Industry (State) Award</w:t>
            </w:r>
          </w:p>
          <w:p w:rsidR="009A7A71" w:rsidRPr="00DB732D" w:rsidRDefault="009A7A71" w:rsidP="009A7A71">
            <w:pPr>
              <w:pStyle w:val="BulletLevel1"/>
              <w:ind w:left="1021" w:hanging="170"/>
              <w:rPr>
                <w:i/>
              </w:rPr>
            </w:pPr>
            <w:r w:rsidRPr="00DB732D">
              <w:rPr>
                <w:i/>
              </w:rPr>
              <w:t>Building Construction Industry Award - State 2003</w:t>
            </w:r>
          </w:p>
          <w:p w:rsidR="009A7A71" w:rsidRPr="00DB732D" w:rsidRDefault="009A7A71" w:rsidP="009A7A71">
            <w:pPr>
              <w:pStyle w:val="BulletLevel1"/>
              <w:ind w:left="1021" w:hanging="170"/>
              <w:rPr>
                <w:i/>
                <w:lang w:val="en-AU" w:eastAsia="en-AU"/>
              </w:rPr>
            </w:pPr>
            <w:r w:rsidRPr="00DB732D">
              <w:rPr>
                <w:i/>
              </w:rPr>
              <w:t>Building Employees Mixed Industries (State) Award</w:t>
            </w:r>
          </w:p>
          <w:p w:rsidR="009A7A71" w:rsidRPr="00DB732D" w:rsidRDefault="009A7A71" w:rsidP="009A7A71">
            <w:pPr>
              <w:pStyle w:val="BulletLevel1"/>
              <w:ind w:left="1021" w:hanging="170"/>
              <w:rPr>
                <w:i/>
              </w:rPr>
            </w:pPr>
            <w:r w:rsidRPr="00DB732D">
              <w:rPr>
                <w:i/>
              </w:rPr>
              <w:t>Building Products, Manufacture and Minor Maintenance Award - State 2003</w:t>
            </w:r>
          </w:p>
          <w:p w:rsidR="009A7A71" w:rsidRPr="00DB732D" w:rsidRDefault="009A7A71" w:rsidP="009A7A71">
            <w:pPr>
              <w:pStyle w:val="BulletLevel1"/>
              <w:ind w:left="1021" w:hanging="170"/>
              <w:rPr>
                <w:i/>
              </w:rPr>
            </w:pPr>
            <w:r w:rsidRPr="00DB732D">
              <w:rPr>
                <w:i/>
              </w:rPr>
              <w:t>Building Trades (Construction) Award 1987</w:t>
            </w:r>
          </w:p>
          <w:p w:rsidR="009A7A71" w:rsidRPr="00DB732D" w:rsidRDefault="009A7A71" w:rsidP="009A7A71">
            <w:pPr>
              <w:pStyle w:val="BulletLevel1"/>
              <w:ind w:left="1021" w:hanging="170"/>
              <w:rPr>
                <w:i/>
              </w:rPr>
            </w:pPr>
            <w:r w:rsidRPr="00DB732D">
              <w:rPr>
                <w:i/>
              </w:rPr>
              <w:t>Building Trades (Government) Award 1968</w:t>
            </w:r>
          </w:p>
          <w:p w:rsidR="009A7A71" w:rsidRPr="00DB732D" w:rsidRDefault="009A7A71" w:rsidP="009A7A71">
            <w:pPr>
              <w:pStyle w:val="BulletLevel1"/>
              <w:ind w:left="1021" w:hanging="170"/>
              <w:rPr>
                <w:i/>
              </w:rPr>
            </w:pPr>
            <w:r w:rsidRPr="00DB732D">
              <w:rPr>
                <w:i/>
              </w:rPr>
              <w:t>Carpenters &amp; Joiners (General) Award 1993</w:t>
            </w:r>
          </w:p>
          <w:p w:rsidR="009A7A71" w:rsidRPr="00DB732D" w:rsidRDefault="009A7A71" w:rsidP="009A7A71">
            <w:pPr>
              <w:pStyle w:val="BulletLevel1"/>
              <w:ind w:left="1021" w:hanging="170"/>
              <w:rPr>
                <w:i/>
              </w:rPr>
            </w:pPr>
            <w:r w:rsidRPr="00DB732D">
              <w:rPr>
                <w:i/>
              </w:rPr>
              <w:t>Civil Construction, Operations and Maintenance General Award - State 2003</w:t>
            </w:r>
          </w:p>
          <w:p w:rsidR="009A7A71" w:rsidRPr="00DB732D" w:rsidRDefault="009A7A71" w:rsidP="009A7A71">
            <w:pPr>
              <w:pStyle w:val="BulletLevel1"/>
              <w:ind w:left="1021" w:hanging="170"/>
              <w:rPr>
                <w:i/>
              </w:rPr>
            </w:pPr>
            <w:r w:rsidRPr="00DB732D">
              <w:rPr>
                <w:i/>
              </w:rPr>
              <w:t>Concrete Products Factories (A.C.T.) Award 1999</w:t>
            </w:r>
          </w:p>
          <w:p w:rsidR="009A7A71" w:rsidRPr="00DB732D" w:rsidRDefault="009A7A71" w:rsidP="009A7A71">
            <w:pPr>
              <w:pStyle w:val="BulletLevel1"/>
              <w:ind w:left="1021" w:hanging="170"/>
              <w:rPr>
                <w:i/>
              </w:rPr>
            </w:pPr>
            <w:r w:rsidRPr="00DB732D">
              <w:rPr>
                <w:i/>
              </w:rPr>
              <w:t>Engine Drivers and Firemen - General - Award 1998</w:t>
            </w:r>
          </w:p>
          <w:p w:rsidR="009A7A71" w:rsidRPr="00DB732D" w:rsidRDefault="009A7A71" w:rsidP="009A7A71">
            <w:pPr>
              <w:pStyle w:val="BulletLevel1"/>
              <w:ind w:left="1021" w:hanging="170"/>
              <w:rPr>
                <w:i/>
              </w:rPr>
            </w:pPr>
            <w:r w:rsidRPr="00DB732D">
              <w:rPr>
                <w:i/>
              </w:rPr>
              <w:t>General Construction and Maintenance, Civil and Mechanical Engineering, &amp;c. (State) Award</w:t>
            </w:r>
          </w:p>
          <w:p w:rsidR="009A7A71" w:rsidRPr="00DB732D" w:rsidRDefault="009A7A71" w:rsidP="009A7A71">
            <w:pPr>
              <w:pStyle w:val="BulletLevel1"/>
              <w:ind w:left="1021" w:hanging="170"/>
              <w:rPr>
                <w:i/>
              </w:rPr>
            </w:pPr>
            <w:r w:rsidRPr="00DB732D">
              <w:rPr>
                <w:i/>
              </w:rPr>
              <w:t>Glass Workers (State) Award</w:t>
            </w:r>
          </w:p>
          <w:p w:rsidR="009A7A71" w:rsidRPr="00DB732D" w:rsidRDefault="009A7A71" w:rsidP="009A7A71">
            <w:pPr>
              <w:pStyle w:val="BulletLevel1"/>
              <w:ind w:left="1021" w:hanging="170"/>
              <w:rPr>
                <w:i/>
              </w:rPr>
            </w:pPr>
            <w:r w:rsidRPr="00DB732D">
              <w:rPr>
                <w:i/>
              </w:rPr>
              <w:t>Joiners (State) Award</w:t>
            </w:r>
          </w:p>
          <w:p w:rsidR="009A7A71" w:rsidRPr="00DB732D" w:rsidRDefault="009A7A71" w:rsidP="009A7A71">
            <w:pPr>
              <w:pStyle w:val="BulletLevel1"/>
              <w:ind w:left="1021" w:hanging="170"/>
              <w:rPr>
                <w:i/>
              </w:rPr>
            </w:pPr>
            <w:r w:rsidRPr="00DB732D">
              <w:rPr>
                <w:i/>
              </w:rPr>
              <w:lastRenderedPageBreak/>
              <w:t>Metal, Engineering and Associated Industries (Accident Pay, Victoria) Award 1998</w:t>
            </w:r>
          </w:p>
          <w:p w:rsidR="009A7A71" w:rsidRPr="00DB732D" w:rsidRDefault="009A7A71" w:rsidP="009A7A71">
            <w:pPr>
              <w:pStyle w:val="BulletLevel1"/>
              <w:ind w:left="1021" w:hanging="170"/>
              <w:rPr>
                <w:i/>
              </w:rPr>
            </w:pPr>
            <w:r w:rsidRPr="00DB732D">
              <w:rPr>
                <w:i/>
              </w:rPr>
              <w:t>Metal, Engineering and Associated Industries (State) Award</w:t>
            </w:r>
          </w:p>
          <w:p w:rsidR="009A7A71" w:rsidRPr="00DB732D" w:rsidRDefault="009A7A71" w:rsidP="009A7A71">
            <w:pPr>
              <w:pStyle w:val="BulletLevel1"/>
              <w:ind w:left="1021" w:hanging="170"/>
              <w:rPr>
                <w:i/>
              </w:rPr>
            </w:pPr>
            <w:r w:rsidRPr="00DB732D">
              <w:rPr>
                <w:i/>
              </w:rPr>
              <w:t xml:space="preserve">Metal, Engineering and Associated Industries Award 1998 </w:t>
            </w:r>
          </w:p>
          <w:p w:rsidR="009A7A71" w:rsidRPr="00DB732D" w:rsidRDefault="009A7A71" w:rsidP="009A7A71">
            <w:pPr>
              <w:pStyle w:val="BulletLevel1"/>
              <w:ind w:left="1021" w:hanging="170"/>
              <w:rPr>
                <w:i/>
              </w:rPr>
            </w:pPr>
            <w:r w:rsidRPr="00DB732D">
              <w:rPr>
                <w:i/>
              </w:rPr>
              <w:t>Mobile Crane Hiring Award 2002</w:t>
            </w:r>
          </w:p>
          <w:p w:rsidR="009A7A71" w:rsidRPr="00DB732D" w:rsidRDefault="009A7A71" w:rsidP="009A7A71">
            <w:pPr>
              <w:pStyle w:val="BulletLevel1"/>
              <w:ind w:left="1021" w:hanging="170"/>
              <w:rPr>
                <w:i/>
              </w:rPr>
            </w:pPr>
            <w:r w:rsidRPr="00DB732D">
              <w:rPr>
                <w:i/>
              </w:rPr>
              <w:t>National Building and Construction Industry Award 2000</w:t>
            </w:r>
          </w:p>
          <w:p w:rsidR="009A7A71" w:rsidRPr="00DB732D" w:rsidRDefault="009A7A71" w:rsidP="009A7A71">
            <w:pPr>
              <w:pStyle w:val="BulletLevel1"/>
              <w:ind w:left="1021" w:hanging="170"/>
              <w:rPr>
                <w:i/>
              </w:rPr>
            </w:pPr>
            <w:r w:rsidRPr="00DB732D">
              <w:rPr>
                <w:i/>
              </w:rPr>
              <w:t xml:space="preserve">National Joinery and Building Trades Products Award 2002 </w:t>
            </w:r>
          </w:p>
          <w:p w:rsidR="009A7A71" w:rsidRPr="00DB732D" w:rsidRDefault="009A7A71" w:rsidP="009A7A71">
            <w:pPr>
              <w:pStyle w:val="BulletLevel1"/>
              <w:ind w:left="1021" w:hanging="170"/>
              <w:rPr>
                <w:i/>
              </w:rPr>
            </w:pPr>
            <w:r w:rsidRPr="00DB732D">
              <w:rPr>
                <w:i/>
              </w:rPr>
              <w:t xml:space="preserve">National Training Wage Award 2000 </w:t>
            </w:r>
          </w:p>
          <w:p w:rsidR="009A7A71" w:rsidRPr="00DB732D" w:rsidRDefault="009A7A71" w:rsidP="009A7A71">
            <w:pPr>
              <w:pStyle w:val="BulletLevel1"/>
              <w:ind w:left="1021" w:hanging="170"/>
              <w:rPr>
                <w:i/>
              </w:rPr>
            </w:pPr>
            <w:r w:rsidRPr="00DB732D">
              <w:rPr>
                <w:i/>
              </w:rPr>
              <w:t xml:space="preserve">Order – Apprentices’ and Trainees’ Wages and Conditions (Excluding Certain Queensland Government Entities) 2003 </w:t>
            </w:r>
          </w:p>
          <w:p w:rsidR="009A7A71" w:rsidRPr="00DB732D" w:rsidRDefault="009A7A71" w:rsidP="009A7A71">
            <w:pPr>
              <w:pStyle w:val="BulletLevel1"/>
              <w:ind w:left="1021" w:hanging="170"/>
              <w:rPr>
                <w:i/>
              </w:rPr>
            </w:pPr>
            <w:r w:rsidRPr="00DB732D">
              <w:rPr>
                <w:i/>
              </w:rPr>
              <w:t>Order – Apprentices’ and Trainees’ Wages and Conditions (Queensland Government Departments and Certain Government Entities)</w:t>
            </w:r>
          </w:p>
          <w:p w:rsidR="009A7A71" w:rsidRPr="00DB732D" w:rsidRDefault="009A7A71" w:rsidP="009A7A71">
            <w:pPr>
              <w:pStyle w:val="BulletLevel1"/>
              <w:ind w:left="1021" w:hanging="170"/>
              <w:rPr>
                <w:i/>
              </w:rPr>
            </w:pPr>
            <w:r w:rsidRPr="00DB732D">
              <w:rPr>
                <w:i/>
              </w:rPr>
              <w:t xml:space="preserve">Order – Supply of Tools to Apprentices (Qld) </w:t>
            </w:r>
          </w:p>
          <w:p w:rsidR="009A7A71" w:rsidRPr="00DB732D" w:rsidRDefault="009A7A71" w:rsidP="009A7A71">
            <w:pPr>
              <w:pStyle w:val="BulletLevel1"/>
              <w:ind w:left="1021" w:hanging="170"/>
              <w:rPr>
                <w:i/>
              </w:rPr>
            </w:pPr>
            <w:r w:rsidRPr="00DB732D">
              <w:rPr>
                <w:i/>
              </w:rPr>
              <w:t xml:space="preserve">Plant, &amp;c., Operators on Construction (State) Award </w:t>
            </w:r>
          </w:p>
          <w:p w:rsidR="009A7A71" w:rsidRPr="00DB732D" w:rsidRDefault="009A7A71" w:rsidP="009A7A71">
            <w:pPr>
              <w:pStyle w:val="BulletLevel1"/>
              <w:ind w:left="1021" w:hanging="170"/>
              <w:rPr>
                <w:i/>
              </w:rPr>
            </w:pPr>
            <w:r w:rsidRPr="00DB732D">
              <w:rPr>
                <w:i/>
              </w:rPr>
              <w:t>Quarries, &amp;c (State) Award</w:t>
            </w:r>
          </w:p>
          <w:p w:rsidR="009A7A71" w:rsidRPr="00DB732D" w:rsidRDefault="009A7A71" w:rsidP="009A7A71">
            <w:pPr>
              <w:pStyle w:val="BulletLevel1"/>
              <w:ind w:left="1021" w:hanging="170"/>
              <w:rPr>
                <w:i/>
              </w:rPr>
            </w:pPr>
            <w:r w:rsidRPr="00DB732D">
              <w:rPr>
                <w:i/>
              </w:rPr>
              <w:t xml:space="preserve">Railways Metal Trades Grades Award 2002 </w:t>
            </w:r>
          </w:p>
          <w:p w:rsidR="009A7A71" w:rsidRPr="00DB732D" w:rsidRDefault="009A7A71" w:rsidP="009A7A71">
            <w:pPr>
              <w:pStyle w:val="BulletLevel1"/>
              <w:ind w:left="1021" w:hanging="170"/>
              <w:rPr>
                <w:i/>
              </w:rPr>
            </w:pPr>
            <w:r w:rsidRPr="00DB732D">
              <w:rPr>
                <w:i/>
              </w:rPr>
              <w:t>Training Wage Award - State 2003</w:t>
            </w:r>
          </w:p>
          <w:p w:rsidR="009A7A71" w:rsidRDefault="009A7A71" w:rsidP="009A7A71"/>
          <w:p w:rsidR="009A7A71" w:rsidRDefault="009A7A71" w:rsidP="009A7A71">
            <w:pPr>
              <w:rPr>
                <w:lang w:eastAsia="en-AU"/>
              </w:rPr>
            </w:pPr>
            <w:r>
              <w:rPr>
                <w:lang w:eastAsia="en-AU"/>
              </w:rPr>
              <w:t xml:space="preserve">The CFMEU C&amp;G </w:t>
            </w:r>
            <w:r w:rsidR="00F80707">
              <w:rPr>
                <w:lang w:eastAsia="en-AU"/>
              </w:rPr>
              <w:t xml:space="preserve">(p. 3) </w:t>
            </w:r>
            <w:r>
              <w:rPr>
                <w:lang w:eastAsia="en-AU"/>
              </w:rPr>
              <w:t>indicated that they would deal with these instruments in their response to Question 3.</w:t>
            </w:r>
          </w:p>
          <w:p w:rsidR="009A7A71" w:rsidRDefault="009A7A71" w:rsidP="009A7A71"/>
          <w:p w:rsidR="009A7A71" w:rsidRPr="00DB732D" w:rsidRDefault="003F2216" w:rsidP="009A7A71">
            <w:hyperlink r:id="rId20" w:history="1">
              <w:r w:rsidR="009A7A71" w:rsidRPr="00AE37AB">
                <w:rPr>
                  <w:rStyle w:val="Hyperlink"/>
                </w:rPr>
                <w:t>CFMEU FFPD</w:t>
              </w:r>
            </w:hyperlink>
            <w:r w:rsidR="009A7A71">
              <w:t xml:space="preserve"> (p. 4) </w:t>
            </w:r>
            <w:r w:rsidR="009A7A71">
              <w:rPr>
                <w:lang w:eastAsia="en-AU"/>
              </w:rPr>
              <w:t>submitted a list of current transitional instruments in which they had an interest, and supported the CFMEU C&amp;G’s approach to dealing with these instruments:</w:t>
            </w:r>
          </w:p>
          <w:p w:rsidR="009A7A71" w:rsidRPr="00DB732D" w:rsidRDefault="009A7A71" w:rsidP="009A7A71">
            <w:pPr>
              <w:pStyle w:val="ListParagraph"/>
              <w:numPr>
                <w:ilvl w:val="0"/>
                <w:numId w:val="5"/>
              </w:numPr>
              <w:autoSpaceDE w:val="0"/>
              <w:autoSpaceDN w:val="0"/>
              <w:adjustRightInd w:val="0"/>
              <w:jc w:val="both"/>
              <w:rPr>
                <w:i/>
                <w:color w:val="000000"/>
                <w:lang w:eastAsia="en-AU"/>
              </w:rPr>
            </w:pPr>
            <w:r w:rsidRPr="00DB732D">
              <w:rPr>
                <w:i/>
                <w:color w:val="000000"/>
                <w:lang w:eastAsia="en-AU"/>
              </w:rPr>
              <w:t>Timber and Allied Industry (Long Service Leave) Award 1999</w:t>
            </w:r>
          </w:p>
          <w:p w:rsidR="009A7A71" w:rsidRPr="00DB732D" w:rsidRDefault="009A7A71" w:rsidP="009A7A71">
            <w:pPr>
              <w:pStyle w:val="ListParagraph"/>
              <w:numPr>
                <w:ilvl w:val="0"/>
                <w:numId w:val="5"/>
              </w:numPr>
              <w:autoSpaceDE w:val="0"/>
              <w:autoSpaceDN w:val="0"/>
              <w:adjustRightInd w:val="0"/>
              <w:jc w:val="both"/>
              <w:rPr>
                <w:i/>
                <w:color w:val="000000"/>
                <w:lang w:eastAsia="en-AU"/>
              </w:rPr>
            </w:pPr>
            <w:r w:rsidRPr="00DB732D">
              <w:rPr>
                <w:i/>
                <w:color w:val="000000"/>
                <w:lang w:eastAsia="en-AU"/>
              </w:rPr>
              <w:t>Glass Industry – Glass Production (Long Service Leave) – Award 1999</w:t>
            </w:r>
          </w:p>
          <w:p w:rsidR="009A7A71" w:rsidRPr="00DB732D" w:rsidRDefault="009A7A71" w:rsidP="009A7A71">
            <w:pPr>
              <w:pStyle w:val="ListParagraph"/>
              <w:numPr>
                <w:ilvl w:val="0"/>
                <w:numId w:val="5"/>
              </w:numPr>
              <w:autoSpaceDE w:val="0"/>
              <w:autoSpaceDN w:val="0"/>
              <w:adjustRightInd w:val="0"/>
              <w:jc w:val="both"/>
              <w:rPr>
                <w:i/>
                <w:color w:val="000000"/>
                <w:lang w:eastAsia="en-AU"/>
              </w:rPr>
            </w:pPr>
            <w:r w:rsidRPr="00DB732D">
              <w:rPr>
                <w:i/>
                <w:color w:val="000000"/>
                <w:lang w:eastAsia="en-AU"/>
              </w:rPr>
              <w:t xml:space="preserve">Furnishing Industry National Award 2003 </w:t>
            </w:r>
          </w:p>
          <w:p w:rsidR="009A7A71" w:rsidRDefault="009A7A71" w:rsidP="009A7A71"/>
          <w:p w:rsidR="009A7A71" w:rsidRDefault="003F2216" w:rsidP="009A7A71">
            <w:hyperlink r:id="rId21" w:history="1">
              <w:r w:rsidR="009A7A71" w:rsidRPr="00AE37AB">
                <w:rPr>
                  <w:rStyle w:val="Hyperlink"/>
                </w:rPr>
                <w:t>CPSU</w:t>
              </w:r>
            </w:hyperlink>
            <w:r w:rsidR="009A7A71">
              <w:t xml:space="preserve"> (p. 1) submitted that </w:t>
            </w:r>
            <w:r w:rsidR="009A7A71" w:rsidRPr="00161F78">
              <w:t xml:space="preserve">transitional </w:t>
            </w:r>
            <w:r w:rsidR="009A7A71" w:rsidRPr="00E92813">
              <w:rPr>
                <w:i/>
              </w:rPr>
              <w:t>Government Administration Industry Sector – Minimum Wage Order – Victoria 1998</w:t>
            </w:r>
            <w:r w:rsidR="009A7A71">
              <w:t xml:space="preserve"> </w:t>
            </w:r>
            <w:r w:rsidR="009A7A71" w:rsidRPr="00161F78">
              <w:t>is now superseded by AT841792 and AT825011.</w:t>
            </w:r>
          </w:p>
          <w:p w:rsidR="009A7A71" w:rsidRDefault="009A7A71" w:rsidP="009A7A71"/>
          <w:p w:rsidR="009A7A71" w:rsidRDefault="003F2216" w:rsidP="009A7A71">
            <w:hyperlink r:id="rId22" w:history="1">
              <w:r w:rsidR="009A7A71" w:rsidRPr="007213D7">
                <w:rPr>
                  <w:rStyle w:val="Hyperlink"/>
                </w:rPr>
                <w:t>TCFU</w:t>
              </w:r>
            </w:hyperlink>
            <w:r w:rsidR="009A7A71">
              <w:rPr>
                <w:rStyle w:val="Hyperlink"/>
              </w:rPr>
              <w:t>A</w:t>
            </w:r>
            <w:r w:rsidR="009A7A71">
              <w:t xml:space="preserve"> (pp. 1–2) submitted an interest in the following instruments:</w:t>
            </w:r>
          </w:p>
          <w:p w:rsidR="009A7A71" w:rsidRPr="00DB732D" w:rsidRDefault="009A7A71" w:rsidP="009A7A71">
            <w:pPr>
              <w:pStyle w:val="BulletLevel1"/>
              <w:ind w:left="1021" w:hanging="170"/>
              <w:rPr>
                <w:i/>
              </w:rPr>
            </w:pPr>
            <w:r w:rsidRPr="00DB732D">
              <w:rPr>
                <w:i/>
              </w:rPr>
              <w:t>Clothing Trades Award 1999</w:t>
            </w:r>
          </w:p>
          <w:p w:rsidR="009A7A71" w:rsidRPr="00DB732D" w:rsidRDefault="009A7A71" w:rsidP="009A7A71">
            <w:pPr>
              <w:pStyle w:val="BulletLevel1"/>
              <w:ind w:left="1021" w:hanging="170"/>
              <w:rPr>
                <w:i/>
              </w:rPr>
            </w:pPr>
            <w:r w:rsidRPr="00DB732D">
              <w:rPr>
                <w:i/>
              </w:rPr>
              <w:t>Textile Industry Award 2000</w:t>
            </w:r>
          </w:p>
          <w:p w:rsidR="009A7A71" w:rsidRPr="00DB732D" w:rsidRDefault="009A7A71" w:rsidP="009A7A71">
            <w:pPr>
              <w:pStyle w:val="BulletLevel1"/>
              <w:ind w:left="1021" w:hanging="170"/>
              <w:rPr>
                <w:i/>
              </w:rPr>
            </w:pPr>
            <w:r w:rsidRPr="00DB732D">
              <w:rPr>
                <w:i/>
              </w:rPr>
              <w:t>Textile Industry (State) Award (NSW)</w:t>
            </w:r>
          </w:p>
          <w:p w:rsidR="009A7A71" w:rsidRDefault="009A7A71" w:rsidP="009A7A71">
            <w:r>
              <w:t>The TCFU supported the proposed process outlined by the ACTU in dealing with these instruments.</w:t>
            </w:r>
          </w:p>
          <w:p w:rsidR="009A7A71" w:rsidRDefault="009A7A71" w:rsidP="009A7A71"/>
          <w:p w:rsidR="009A7A71" w:rsidRDefault="003F2216" w:rsidP="009A7A71">
            <w:hyperlink r:id="rId23" w:history="1">
              <w:r w:rsidR="009A7A71" w:rsidRPr="007F41DF">
                <w:rPr>
                  <w:rStyle w:val="Hyperlink"/>
                </w:rPr>
                <w:t>Ai Group</w:t>
              </w:r>
            </w:hyperlink>
            <w:r w:rsidR="009A7A71">
              <w:t xml:space="preserve"> (p. 9) </w:t>
            </w:r>
            <w:r w:rsidR="009A7A71" w:rsidRPr="003E5664">
              <w:rPr>
                <w:lang w:eastAsia="en-AU"/>
              </w:rPr>
              <w:t xml:space="preserve">submitted that the </w:t>
            </w:r>
            <w:r w:rsidR="009A7A71" w:rsidRPr="00DB732D">
              <w:rPr>
                <w:i/>
                <w:iCs/>
                <w:lang w:eastAsia="en-AU"/>
              </w:rPr>
              <w:t xml:space="preserve">Metal, Engineering and Associated Industries Award 1998 </w:t>
            </w:r>
            <w:r w:rsidR="009A7A71" w:rsidRPr="00DB732D">
              <w:rPr>
                <w:lang w:eastAsia="en-AU"/>
              </w:rPr>
              <w:t>and</w:t>
            </w:r>
            <w:r w:rsidR="009A7A71" w:rsidRPr="00DB732D">
              <w:rPr>
                <w:i/>
                <w:lang w:eastAsia="en-AU"/>
              </w:rPr>
              <w:t xml:space="preserve"> the </w:t>
            </w:r>
            <w:r w:rsidR="009A7A71" w:rsidRPr="00DB732D">
              <w:rPr>
                <w:i/>
                <w:iCs/>
                <w:lang w:eastAsia="en-AU"/>
              </w:rPr>
              <w:t>Graphic Arts - General - Award 2000</w:t>
            </w:r>
            <w:r w:rsidR="009A7A71" w:rsidRPr="003E5664">
              <w:rPr>
                <w:lang w:eastAsia="en-AU"/>
              </w:rPr>
              <w:t xml:space="preserve"> should not be terminated “if there is any doubt</w:t>
            </w:r>
            <w:r w:rsidR="009A7A71" w:rsidRPr="003E5664">
              <w:rPr>
                <w:iCs/>
                <w:lang w:eastAsia="en-AU"/>
              </w:rPr>
              <w:t xml:space="preserve"> </w:t>
            </w:r>
            <w:r w:rsidR="009A7A71" w:rsidRPr="003E5664">
              <w:rPr>
                <w:lang w:eastAsia="en-AU"/>
              </w:rPr>
              <w:t>about the ongoing operation of the “applicable award-derived long service leave terms” which were</w:t>
            </w:r>
            <w:r w:rsidR="009A7A71" w:rsidRPr="003E5664">
              <w:rPr>
                <w:i/>
                <w:iCs/>
                <w:lang w:eastAsia="en-AU"/>
              </w:rPr>
              <w:t xml:space="preserve"> </w:t>
            </w:r>
            <w:r w:rsidR="009A7A71" w:rsidRPr="003E5664">
              <w:rPr>
                <w:lang w:eastAsia="en-AU"/>
              </w:rPr>
              <w:t>derived from these awards.”</w:t>
            </w:r>
          </w:p>
          <w:p w:rsidR="009A7A71" w:rsidRDefault="009A7A71" w:rsidP="009A7A71"/>
          <w:p w:rsidR="009A7A71" w:rsidRDefault="003F2216" w:rsidP="009A7A71">
            <w:hyperlink r:id="rId24" w:history="1">
              <w:r w:rsidR="007F7BF2">
                <w:rPr>
                  <w:rStyle w:val="Hyperlink"/>
                </w:rPr>
                <w:t xml:space="preserve">ABI and </w:t>
              </w:r>
              <w:r w:rsidR="009A7A71" w:rsidRPr="007F41DF">
                <w:rPr>
                  <w:rStyle w:val="Hyperlink"/>
                </w:rPr>
                <w:t>NSWBC</w:t>
              </w:r>
            </w:hyperlink>
            <w:r w:rsidR="009A7A71">
              <w:t xml:space="preserve"> (p.8 , paras. 4.10 - 4.11) </w:t>
            </w:r>
            <w:r w:rsidR="009A7A71" w:rsidRPr="005C7F41">
              <w:rPr>
                <w:lang w:eastAsia="en-AU"/>
              </w:rPr>
              <w:t>submitted that the</w:t>
            </w:r>
            <w:r w:rsidR="009A7A71">
              <w:rPr>
                <w:lang w:eastAsia="en-AU"/>
              </w:rPr>
              <w:t>re was no particular need to maintain the</w:t>
            </w:r>
            <w:r w:rsidR="009A7A71" w:rsidRPr="005C7F41">
              <w:rPr>
                <w:lang w:eastAsia="en-AU"/>
              </w:rPr>
              <w:t xml:space="preserve"> transitional instr</w:t>
            </w:r>
            <w:r w:rsidR="009A7A71">
              <w:rPr>
                <w:lang w:eastAsia="en-AU"/>
              </w:rPr>
              <w:t>uments identified in Appendix 1</w:t>
            </w:r>
            <w:r w:rsidR="009A7A71" w:rsidRPr="005C7F41">
              <w:t>.</w:t>
            </w:r>
          </w:p>
          <w:p w:rsidR="009A7A71" w:rsidRDefault="009A7A71" w:rsidP="009A7A71"/>
          <w:p w:rsidR="009A7A71" w:rsidRDefault="003F2216" w:rsidP="009A7A71">
            <w:hyperlink r:id="rId25" w:history="1">
              <w:r w:rsidR="009A7A71" w:rsidRPr="007213D7">
                <w:rPr>
                  <w:rStyle w:val="Hyperlink"/>
                </w:rPr>
                <w:t>MTA organisations</w:t>
              </w:r>
            </w:hyperlink>
            <w:r w:rsidR="009A7A71">
              <w:t xml:space="preserve"> (p. 1) submitted an interest in the following instruments:</w:t>
            </w:r>
          </w:p>
          <w:p w:rsidR="009A7A71" w:rsidRPr="00DB732D" w:rsidRDefault="009A7A71" w:rsidP="009A7A71">
            <w:pPr>
              <w:pStyle w:val="BulletLevel1"/>
              <w:rPr>
                <w:i/>
                <w:lang w:eastAsia="en-AU"/>
              </w:rPr>
            </w:pPr>
            <w:r w:rsidRPr="00DB732D">
              <w:rPr>
                <w:i/>
                <w:lang w:eastAsia="en-AU"/>
              </w:rPr>
              <w:t>The Vehicle Industry Repair Services and Retail (Long Service Leave) Award</w:t>
            </w:r>
          </w:p>
          <w:p w:rsidR="009A7A71" w:rsidRPr="00DB732D" w:rsidRDefault="009A7A71" w:rsidP="009A7A71">
            <w:pPr>
              <w:pStyle w:val="BulletLevel1"/>
              <w:rPr>
                <w:i/>
                <w:lang w:eastAsia="en-AU"/>
              </w:rPr>
            </w:pPr>
            <w:r w:rsidRPr="00DB732D">
              <w:rPr>
                <w:i/>
                <w:lang w:eastAsia="en-AU"/>
              </w:rPr>
              <w:t>The Vehicle Industry (Long Service Leave) Award 1977</w:t>
            </w:r>
          </w:p>
          <w:p w:rsidR="009A7A71" w:rsidRDefault="009A7A71" w:rsidP="009A7A71">
            <w:pPr>
              <w:pStyle w:val="BulletLevel1"/>
              <w:rPr>
                <w:i/>
                <w:lang w:eastAsia="en-AU"/>
              </w:rPr>
            </w:pPr>
            <w:r w:rsidRPr="00DB732D">
              <w:rPr>
                <w:i/>
                <w:lang w:eastAsia="en-AU"/>
              </w:rPr>
              <w:t>The Vehicle Industry Award 2000</w:t>
            </w:r>
          </w:p>
          <w:p w:rsidR="009A7A71" w:rsidRDefault="009A7A71" w:rsidP="009A7A71">
            <w:pPr>
              <w:rPr>
                <w:lang w:val="en-GB" w:eastAsia="en-AU"/>
              </w:rPr>
            </w:pPr>
          </w:p>
          <w:p w:rsidR="009A7A71" w:rsidRPr="005F60D5" w:rsidRDefault="009A7A71" w:rsidP="009A7A71">
            <w:pPr>
              <w:rPr>
                <w:lang w:val="en-GB" w:eastAsia="en-AU"/>
              </w:rPr>
            </w:pPr>
            <w:r>
              <w:rPr>
                <w:lang w:eastAsia="en-AU"/>
              </w:rPr>
              <w:t xml:space="preserve">MTA organisations (p. 1) also submitted an additional award </w:t>
            </w:r>
            <w:r w:rsidRPr="00161F78">
              <w:rPr>
                <w:lang w:eastAsia="en-AU"/>
              </w:rPr>
              <w:t xml:space="preserve">not included in Appendix 1, the </w:t>
            </w:r>
            <w:r w:rsidRPr="00EB3543">
              <w:rPr>
                <w:i/>
                <w:lang w:eastAsia="en-AU"/>
              </w:rPr>
              <w:t>Clerks (Vehicle Industry – Repair, Services and Retail) Award 2003</w:t>
            </w:r>
            <w:r>
              <w:rPr>
                <w:i/>
                <w:lang w:eastAsia="en-AU"/>
              </w:rPr>
              <w:t>,</w:t>
            </w:r>
            <w:r w:rsidRPr="00161F78">
              <w:rPr>
                <w:rStyle w:val="FootnoteReference"/>
                <w:lang w:eastAsia="en-AU"/>
              </w:rPr>
              <w:footnoteReference w:id="1"/>
            </w:r>
            <w:r>
              <w:rPr>
                <w:lang w:eastAsia="en-AU"/>
              </w:rPr>
              <w:t xml:space="preserve"> noting</w:t>
            </w:r>
            <w:r w:rsidRPr="00161F78">
              <w:rPr>
                <w:lang w:eastAsia="en-AU"/>
              </w:rPr>
              <w:t xml:space="preserve"> that this award</w:t>
            </w:r>
            <w:r>
              <w:rPr>
                <w:lang w:eastAsia="en-AU"/>
              </w:rPr>
              <w:t xml:space="preserve"> provides for LSL</w:t>
            </w:r>
            <w:r w:rsidRPr="00161F78">
              <w:rPr>
                <w:lang w:eastAsia="en-AU"/>
              </w:rPr>
              <w:t xml:space="preserve"> in accordance with the </w:t>
            </w:r>
            <w:r w:rsidRPr="00EB3543">
              <w:rPr>
                <w:i/>
                <w:lang w:eastAsia="en-AU"/>
              </w:rPr>
              <w:t>Vehicle Industry - Repair Services and Retail (Long Service Leave) Award</w:t>
            </w:r>
            <w:r w:rsidRPr="00161F78">
              <w:rPr>
                <w:lang w:eastAsia="en-AU"/>
              </w:rPr>
              <w:t>.</w:t>
            </w:r>
          </w:p>
          <w:p w:rsidR="00197CF3" w:rsidRPr="008D5B94" w:rsidRDefault="00197CF3" w:rsidP="00AF0ED7">
            <w:pPr>
              <w:pStyle w:val="BulletLevel1"/>
              <w:numPr>
                <w:ilvl w:val="0"/>
                <w:numId w:val="0"/>
              </w:numPr>
            </w:pPr>
          </w:p>
        </w:tc>
      </w:tr>
      <w:tr w:rsidR="00197CF3" w:rsidRPr="008D5B94" w:rsidTr="00937F0C">
        <w:tc>
          <w:tcPr>
            <w:tcW w:w="288" w:type="pct"/>
          </w:tcPr>
          <w:p w:rsidR="00197CF3" w:rsidRPr="008D5B94" w:rsidRDefault="00197CF3" w:rsidP="000409D4">
            <w:pPr>
              <w:keepNext/>
              <w:keepLines/>
            </w:pPr>
            <w:r w:rsidRPr="008D5B94">
              <w:lastRenderedPageBreak/>
              <w:t>3.</w:t>
            </w:r>
          </w:p>
        </w:tc>
        <w:tc>
          <w:tcPr>
            <w:tcW w:w="1750" w:type="pct"/>
          </w:tcPr>
          <w:p w:rsidR="005850CF" w:rsidRPr="001A2F93" w:rsidRDefault="005850CF" w:rsidP="005850CF">
            <w:pPr>
              <w:rPr>
                <w:b/>
                <w:lang w:eastAsia="en-AU"/>
              </w:rPr>
            </w:pPr>
            <w:r w:rsidRPr="001A2F93">
              <w:rPr>
                <w:b/>
                <w:lang w:eastAsia="en-AU"/>
              </w:rPr>
              <w:t xml:space="preserve">Outstanding issues </w:t>
            </w:r>
          </w:p>
          <w:p w:rsidR="005850CF" w:rsidRDefault="005850CF" w:rsidP="004A77F6">
            <w:pPr>
              <w:rPr>
                <w:b/>
                <w:i/>
                <w:lang w:eastAsia="en-AU"/>
              </w:rPr>
            </w:pPr>
          </w:p>
          <w:p w:rsidR="004A77F6" w:rsidRDefault="004A77F6" w:rsidP="004A77F6">
            <w:pPr>
              <w:rPr>
                <w:b/>
                <w:i/>
                <w:lang w:eastAsia="en-AU"/>
              </w:rPr>
            </w:pPr>
            <w:r w:rsidRPr="001A2F93">
              <w:rPr>
                <w:b/>
                <w:i/>
                <w:lang w:eastAsia="en-AU"/>
              </w:rPr>
              <w:t xml:space="preserve">Do the parties agree that when the modernisation processes have been completed, the modernisable instruments in Appendix 1 should be terminated by the Commission? </w:t>
            </w:r>
          </w:p>
          <w:p w:rsidR="00197CF3" w:rsidRPr="008D5B94" w:rsidRDefault="00197CF3" w:rsidP="000409D4">
            <w:pPr>
              <w:keepNext/>
              <w:keepLines/>
            </w:pPr>
          </w:p>
        </w:tc>
        <w:tc>
          <w:tcPr>
            <w:tcW w:w="2962" w:type="pct"/>
          </w:tcPr>
          <w:p w:rsidR="00DB3A21" w:rsidRDefault="003F2216" w:rsidP="00DB3A21">
            <w:pPr>
              <w:rPr>
                <w:lang w:eastAsia="en-AU"/>
              </w:rPr>
            </w:pPr>
            <w:hyperlink r:id="rId26" w:history="1">
              <w:r w:rsidR="00DB3A21" w:rsidRPr="007F41DF">
                <w:rPr>
                  <w:rStyle w:val="Hyperlink"/>
                </w:rPr>
                <w:t>Australian Government</w:t>
              </w:r>
            </w:hyperlink>
            <w:r w:rsidR="00DB3A21">
              <w:t xml:space="preserve"> (p. 4) </w:t>
            </w:r>
            <w:r w:rsidR="00DB3A21">
              <w:rPr>
                <w:lang w:eastAsia="en-AU"/>
              </w:rPr>
              <w:t>submitted that some instruments in Appendix 1 may continue to be preserved as Division 2B Awards, but did not specify which instruments.</w:t>
            </w:r>
          </w:p>
          <w:p w:rsidR="00DB3A21" w:rsidRDefault="00DB3A21" w:rsidP="00DB3A21"/>
          <w:p w:rsidR="00DB3A21" w:rsidRDefault="003F2216" w:rsidP="00DB3A21">
            <w:hyperlink r:id="rId27" w:history="1">
              <w:r w:rsidR="00DB3A21" w:rsidRPr="00EE0F41">
                <w:rPr>
                  <w:rStyle w:val="Hyperlink"/>
                </w:rPr>
                <w:t>ACTU</w:t>
              </w:r>
            </w:hyperlink>
            <w:r w:rsidR="00DB3A21" w:rsidRPr="00EE0F41">
              <w:rPr>
                <w:rStyle w:val="Hyperlink"/>
              </w:rPr>
              <w:t xml:space="preserve"> </w:t>
            </w:r>
            <w:r w:rsidR="00DB3A21">
              <w:t>(p. 34</w:t>
            </w:r>
            <w:r w:rsidR="00DB3A21" w:rsidRPr="008D5B94">
              <w:t xml:space="preserve">) </w:t>
            </w:r>
            <w:r w:rsidR="00DB3A21">
              <w:t>noted that some Appendix 1 instruments might be incorporated by reference in enterprise agreements (EAs), and the Commission should encourage parties to identify such incorporated instruments so their termination can be deferred until applications have been made or the EAs have been replaced.</w:t>
            </w:r>
          </w:p>
          <w:p w:rsidR="00DB3A21" w:rsidRDefault="00DB3A21" w:rsidP="00DB3A21"/>
          <w:p w:rsidR="00DB3A21" w:rsidRDefault="003F2216" w:rsidP="00DB3A21">
            <w:hyperlink r:id="rId28" w:history="1">
              <w:r w:rsidR="00DB3A21" w:rsidRPr="00AE37AB">
                <w:rPr>
                  <w:rStyle w:val="Hyperlink"/>
                </w:rPr>
                <w:t>CFMEU C&amp;G</w:t>
              </w:r>
            </w:hyperlink>
            <w:r w:rsidR="00DB3A21">
              <w:t xml:space="preserve"> (p. 4) submitted that </w:t>
            </w:r>
            <w:r w:rsidR="00DB3A21" w:rsidRPr="002055F8">
              <w:rPr>
                <w:lang w:eastAsia="en-AU"/>
              </w:rPr>
              <w:t xml:space="preserve">if the Commission’s decision in </w:t>
            </w:r>
            <w:r w:rsidR="00DB3A21" w:rsidRPr="002055F8">
              <w:rPr>
                <w:i/>
              </w:rPr>
              <w:t xml:space="preserve">All Trades Queensland Pty Limited </w:t>
            </w:r>
            <w:r w:rsidR="00DB3A21" w:rsidRPr="002055F8">
              <w:rPr>
                <w:rStyle w:val="FootnoteReference"/>
                <w:i/>
              </w:rPr>
              <w:footnoteReference w:id="2"/>
            </w:r>
            <w:r w:rsidR="00DB3A21" w:rsidRPr="002055F8">
              <w:t>(All Trades) stands on appeal, then the majority of NAPSAs and Award Based Transitional Instruments have already been terminated.</w:t>
            </w:r>
          </w:p>
          <w:p w:rsidR="00DB3A21" w:rsidRDefault="00DB3A21" w:rsidP="00DB3A21"/>
          <w:p w:rsidR="00DB3A21" w:rsidRDefault="003F2216" w:rsidP="00DB3A21">
            <w:hyperlink r:id="rId29" w:history="1">
              <w:r w:rsidR="00DB3A21" w:rsidRPr="00AE37AB">
                <w:rPr>
                  <w:rStyle w:val="Hyperlink"/>
                </w:rPr>
                <w:t>CFMEU FFPD</w:t>
              </w:r>
            </w:hyperlink>
            <w:r w:rsidR="00DB3A21">
              <w:t xml:space="preserve"> (p. 4) supported the CFMEU C&amp;C’s response to this issue.  </w:t>
            </w:r>
          </w:p>
          <w:p w:rsidR="00DB3A21" w:rsidRDefault="00DB3A21" w:rsidP="00DB3A21"/>
          <w:p w:rsidR="00DB3A21" w:rsidRDefault="003F2216" w:rsidP="00DB3A21">
            <w:hyperlink r:id="rId30" w:history="1">
              <w:r w:rsidR="00DB3A21" w:rsidRPr="00AE37AB">
                <w:rPr>
                  <w:rStyle w:val="Hyperlink"/>
                </w:rPr>
                <w:t>CPSU</w:t>
              </w:r>
            </w:hyperlink>
            <w:r w:rsidR="00DB3A21">
              <w:t xml:space="preserve"> (p. 1) supported the termination of instruments in Appendix 1 after the completion of the modernisation process.</w:t>
            </w:r>
          </w:p>
          <w:p w:rsidR="00DB3A21" w:rsidRDefault="00DB3A21" w:rsidP="00DB3A21"/>
          <w:p w:rsidR="00DB3A21" w:rsidRDefault="003F2216" w:rsidP="00DB3A21">
            <w:hyperlink r:id="rId31" w:history="1">
              <w:r w:rsidR="00DB3A21" w:rsidRPr="007213D7">
                <w:rPr>
                  <w:rStyle w:val="Hyperlink"/>
                </w:rPr>
                <w:t>TCFU</w:t>
              </w:r>
            </w:hyperlink>
            <w:r w:rsidR="00DB3A21">
              <w:rPr>
                <w:rStyle w:val="Hyperlink"/>
              </w:rPr>
              <w:t>A</w:t>
            </w:r>
            <w:r w:rsidR="00DB3A21">
              <w:t xml:space="preserve"> (p. 2, para. 2.3) supported the ACTU’s views on the termination of Appendix 1 instruments where such instruments might have been incorporated in EAs. </w:t>
            </w:r>
          </w:p>
          <w:p w:rsidR="00DB3A21" w:rsidRDefault="00DB3A21" w:rsidP="00DB3A21"/>
          <w:p w:rsidR="00DB3A21" w:rsidRDefault="003F2216" w:rsidP="00DB3A21">
            <w:hyperlink r:id="rId32" w:history="1">
              <w:r w:rsidR="00DB3A21" w:rsidRPr="007F41DF">
                <w:rPr>
                  <w:rStyle w:val="Hyperlink"/>
                </w:rPr>
                <w:t>Ai Group</w:t>
              </w:r>
            </w:hyperlink>
            <w:r w:rsidR="00DB3A21">
              <w:t xml:space="preserve"> (p. 10) </w:t>
            </w:r>
            <w:r w:rsidR="00DB3A21" w:rsidRPr="009F325F">
              <w:rPr>
                <w:lang w:eastAsia="en-AU"/>
              </w:rPr>
              <w:t>submitted that they</w:t>
            </w:r>
            <w:r w:rsidR="00DB3A21">
              <w:rPr>
                <w:lang w:eastAsia="en-AU"/>
              </w:rPr>
              <w:t xml:space="preserve"> did not support the retention of any “redundant instruments”, however if any “valid reasons” were identified for maintaining a particular transitional instrument, the instrument should not be terminated.</w:t>
            </w:r>
          </w:p>
          <w:p w:rsidR="00DB3A21" w:rsidRDefault="00DB3A21" w:rsidP="00DB3A21"/>
          <w:p w:rsidR="00DB3A21" w:rsidRDefault="003F2216" w:rsidP="00DB3A21">
            <w:hyperlink r:id="rId33" w:history="1">
              <w:r w:rsidR="007F7BF2">
                <w:rPr>
                  <w:rStyle w:val="Hyperlink"/>
                </w:rPr>
                <w:t xml:space="preserve">ABI and </w:t>
              </w:r>
              <w:r w:rsidR="00DB3A21" w:rsidRPr="007F41DF">
                <w:rPr>
                  <w:rStyle w:val="Hyperlink"/>
                </w:rPr>
                <w:t>NSWBC</w:t>
              </w:r>
            </w:hyperlink>
            <w:r w:rsidR="00DB3A21">
              <w:t xml:space="preserve"> (p. 8, paras. 4.12–4.13) supported the termination of instruments in Appendix 1 after the completion of the modernisation process. </w:t>
            </w:r>
          </w:p>
          <w:p w:rsidR="00BD5307" w:rsidRPr="008D73E0" w:rsidRDefault="00BD5307" w:rsidP="009A7A71"/>
        </w:tc>
      </w:tr>
      <w:tr w:rsidR="000668B6" w:rsidRPr="00A350D1" w:rsidTr="00937F0C">
        <w:trPr>
          <w:trHeight w:val="1721"/>
        </w:trPr>
        <w:tc>
          <w:tcPr>
            <w:tcW w:w="288" w:type="pct"/>
          </w:tcPr>
          <w:p w:rsidR="000668B6" w:rsidRPr="00A350D1" w:rsidRDefault="000668B6" w:rsidP="004F0F59">
            <w:r>
              <w:lastRenderedPageBreak/>
              <w:t>4.</w:t>
            </w:r>
          </w:p>
        </w:tc>
        <w:tc>
          <w:tcPr>
            <w:tcW w:w="1750" w:type="pct"/>
          </w:tcPr>
          <w:p w:rsidR="005850CF" w:rsidRPr="001A2F93" w:rsidRDefault="005850CF" w:rsidP="005850CF">
            <w:pPr>
              <w:rPr>
                <w:b/>
                <w:lang w:eastAsia="en-AU"/>
              </w:rPr>
            </w:pPr>
            <w:r w:rsidRPr="001A2F93">
              <w:rPr>
                <w:b/>
                <w:lang w:eastAsia="en-AU"/>
              </w:rPr>
              <w:t xml:space="preserve">Apprentices and trainees for whom competency-based wage arrangements apply </w:t>
            </w:r>
          </w:p>
          <w:p w:rsidR="005850CF" w:rsidRDefault="005850CF" w:rsidP="00FF3BB3">
            <w:pPr>
              <w:rPr>
                <w:b/>
                <w:i/>
                <w:lang w:eastAsia="en-AU"/>
              </w:rPr>
            </w:pPr>
          </w:p>
          <w:p w:rsidR="000668B6" w:rsidRDefault="004A77F6" w:rsidP="00FF3BB3">
            <w:r w:rsidRPr="001A2F93">
              <w:rPr>
                <w:b/>
                <w:i/>
                <w:lang w:eastAsia="en-AU"/>
              </w:rPr>
              <w:t>Are there any other transitional instruments not listed above that are preserved by the Transitional regulations for the purposes of providing for competency-based arrangements and provision of tools?</w:t>
            </w:r>
          </w:p>
        </w:tc>
        <w:tc>
          <w:tcPr>
            <w:tcW w:w="2962" w:type="pct"/>
          </w:tcPr>
          <w:p w:rsidR="00A872F9" w:rsidRDefault="003F2216" w:rsidP="00A872F9">
            <w:hyperlink r:id="rId34" w:history="1">
              <w:r w:rsidR="00A872F9" w:rsidRPr="007F41DF">
                <w:rPr>
                  <w:rStyle w:val="Hyperlink"/>
                </w:rPr>
                <w:t>Australian Government</w:t>
              </w:r>
            </w:hyperlink>
            <w:r w:rsidR="00A872F9">
              <w:t xml:space="preserve"> (p. 5) submitted a list of preserved state awards that did not appear in the Background Paper: </w:t>
            </w:r>
          </w:p>
          <w:p w:rsidR="00A872F9" w:rsidRDefault="00A872F9" w:rsidP="00A872F9"/>
          <w:p w:rsidR="00A872F9" w:rsidRPr="003849F3" w:rsidRDefault="00A872F9" w:rsidP="00A872F9">
            <w:pPr>
              <w:pStyle w:val="BulletLevel1"/>
              <w:ind w:left="1021" w:hanging="170"/>
              <w:rPr>
                <w:szCs w:val="24"/>
              </w:rPr>
            </w:pPr>
            <w:r w:rsidRPr="00EB3543">
              <w:rPr>
                <w:i/>
                <w:szCs w:val="24"/>
              </w:rPr>
              <w:t>Electrical Contracting Industry Award – State</w:t>
            </w:r>
            <w:r w:rsidRPr="00EB3543">
              <w:rPr>
                <w:szCs w:val="24"/>
              </w:rPr>
              <w:t xml:space="preserve"> </w:t>
            </w:r>
          </w:p>
          <w:p w:rsidR="00A872F9" w:rsidRPr="003849F3" w:rsidRDefault="00A872F9" w:rsidP="00A872F9">
            <w:pPr>
              <w:pStyle w:val="BulletLevel1"/>
              <w:ind w:left="1021" w:hanging="170"/>
              <w:rPr>
                <w:szCs w:val="24"/>
              </w:rPr>
            </w:pPr>
            <w:r w:rsidRPr="00EB3543">
              <w:rPr>
                <w:i/>
                <w:szCs w:val="24"/>
              </w:rPr>
              <w:t>Furniture and Allied Trades Award – State 2003</w:t>
            </w:r>
            <w:r w:rsidRPr="00EB3543">
              <w:rPr>
                <w:szCs w:val="24"/>
              </w:rPr>
              <w:t xml:space="preserve"> </w:t>
            </w:r>
          </w:p>
          <w:p w:rsidR="00A872F9" w:rsidRPr="003849F3" w:rsidRDefault="00A872F9" w:rsidP="00A872F9">
            <w:pPr>
              <w:pStyle w:val="BulletLevel1"/>
              <w:ind w:left="1021" w:hanging="170"/>
              <w:rPr>
                <w:szCs w:val="24"/>
              </w:rPr>
            </w:pPr>
            <w:r w:rsidRPr="00EB3543">
              <w:rPr>
                <w:i/>
                <w:szCs w:val="24"/>
              </w:rPr>
              <w:t>Plumbing Industry (QLD and WA) Award 1999</w:t>
            </w:r>
            <w:r w:rsidRPr="00EB3543">
              <w:rPr>
                <w:szCs w:val="24"/>
              </w:rPr>
              <w:t xml:space="preserve"> and </w:t>
            </w:r>
          </w:p>
          <w:p w:rsidR="00A872F9" w:rsidRPr="00EB3543" w:rsidRDefault="00A872F9" w:rsidP="00A872F9">
            <w:pPr>
              <w:pStyle w:val="BulletLevel1"/>
              <w:ind w:left="1021" w:hanging="170"/>
              <w:rPr>
                <w:szCs w:val="24"/>
              </w:rPr>
            </w:pPr>
            <w:r w:rsidRPr="00EB3543">
              <w:rPr>
                <w:i/>
                <w:szCs w:val="24"/>
              </w:rPr>
              <w:t>Vehicle Industry – Repair, Services and Retail Award 2002</w:t>
            </w:r>
            <w:r>
              <w:rPr>
                <w:i/>
                <w:szCs w:val="24"/>
              </w:rPr>
              <w:t>.</w:t>
            </w:r>
          </w:p>
          <w:p w:rsidR="00A872F9" w:rsidRDefault="00A872F9" w:rsidP="00A872F9"/>
          <w:p w:rsidR="00A872F9" w:rsidRDefault="003F2216" w:rsidP="00A872F9">
            <w:hyperlink r:id="rId35" w:history="1">
              <w:r w:rsidR="00A872F9" w:rsidRPr="00EE0F41">
                <w:rPr>
                  <w:rStyle w:val="Hyperlink"/>
                </w:rPr>
                <w:t>ACTU</w:t>
              </w:r>
            </w:hyperlink>
            <w:r w:rsidR="00A872F9" w:rsidRPr="00EE0F41">
              <w:rPr>
                <w:rStyle w:val="Hyperlink"/>
              </w:rPr>
              <w:t xml:space="preserve"> </w:t>
            </w:r>
            <w:r w:rsidR="00A872F9">
              <w:t>(p. 35</w:t>
            </w:r>
            <w:r w:rsidR="00A872F9" w:rsidRPr="008D5B94">
              <w:t xml:space="preserve">) </w:t>
            </w:r>
            <w:r w:rsidR="00A872F9">
              <w:t>submitted that they were unaware of any instruments outside those listed in the Background Paper, but were currently consulting with their affiliates and would notify the Commission of any additional instruments.</w:t>
            </w:r>
          </w:p>
          <w:p w:rsidR="00A872F9" w:rsidRDefault="00A872F9" w:rsidP="00A872F9"/>
          <w:p w:rsidR="000668B6" w:rsidRDefault="003F2216" w:rsidP="00A872F9">
            <w:pPr>
              <w:rPr>
                <w:lang w:eastAsia="en-AU"/>
              </w:rPr>
            </w:pPr>
            <w:hyperlink r:id="rId36" w:history="1">
              <w:r w:rsidR="00A872F9" w:rsidRPr="007213D7">
                <w:rPr>
                  <w:rStyle w:val="Hyperlink"/>
                </w:rPr>
                <w:t>HIA</w:t>
              </w:r>
            </w:hyperlink>
            <w:r w:rsidR="00A872F9">
              <w:t xml:space="preserve"> (p. 2) submitted that they disagreed with the decision reached in </w:t>
            </w:r>
            <w:r w:rsidR="00A872F9">
              <w:rPr>
                <w:lang w:eastAsia="en-AU"/>
              </w:rPr>
              <w:t>All Trades that the Queensland transitional instruments had terminated, and advised that they would be seeking to intervene in the appeal. It submitted that the Commission should cease its examination of this matter before the appeal has been determined.</w:t>
            </w:r>
          </w:p>
          <w:p w:rsidR="00A872F9" w:rsidRPr="00D93410" w:rsidRDefault="00A872F9" w:rsidP="00A872F9">
            <w:pPr>
              <w:rPr>
                <w:lang w:val="en-GB"/>
              </w:rPr>
            </w:pPr>
          </w:p>
        </w:tc>
      </w:tr>
      <w:tr w:rsidR="00E63342" w:rsidRPr="00A350D1" w:rsidTr="00937F0C">
        <w:trPr>
          <w:trHeight w:val="1134"/>
        </w:trPr>
        <w:tc>
          <w:tcPr>
            <w:tcW w:w="288" w:type="pct"/>
          </w:tcPr>
          <w:p w:rsidR="00E63342" w:rsidRPr="00A350D1" w:rsidRDefault="00E63342" w:rsidP="004E3EC3">
            <w:r>
              <w:t>5.</w:t>
            </w:r>
          </w:p>
        </w:tc>
        <w:tc>
          <w:tcPr>
            <w:tcW w:w="1750" w:type="pct"/>
          </w:tcPr>
          <w:p w:rsidR="005850CF" w:rsidRPr="001A2F93" w:rsidRDefault="005850CF" w:rsidP="005850CF">
            <w:pPr>
              <w:rPr>
                <w:b/>
                <w:lang w:eastAsia="en-AU"/>
              </w:rPr>
            </w:pPr>
            <w:r w:rsidRPr="001A2F93">
              <w:rPr>
                <w:b/>
                <w:lang w:eastAsia="en-AU"/>
              </w:rPr>
              <w:t xml:space="preserve">Apprentices and trainees for whom competency-based wage arrangements apply </w:t>
            </w:r>
          </w:p>
          <w:p w:rsidR="00E63342" w:rsidRPr="00951D64" w:rsidRDefault="005850CF" w:rsidP="000668B6">
            <w:pPr>
              <w:rPr>
                <w:b/>
                <w:i/>
                <w:lang w:eastAsia="en-AU"/>
              </w:rPr>
            </w:pPr>
            <w:r>
              <w:rPr>
                <w:b/>
                <w:i/>
                <w:lang w:eastAsia="en-AU"/>
              </w:rPr>
              <w:br/>
            </w:r>
            <w:r w:rsidR="004A77F6" w:rsidRPr="001A2F93">
              <w:rPr>
                <w:b/>
                <w:i/>
                <w:lang w:eastAsia="en-AU"/>
              </w:rPr>
              <w:t xml:space="preserve">Do parties agree that, regardless of the termination and modernisation of other transitional instruments, there will be an on-going requirement for the Commission to review Division 2B State awards, award-based transitional instruments and related APCSs as part of the annual wage review? </w:t>
            </w:r>
          </w:p>
        </w:tc>
        <w:tc>
          <w:tcPr>
            <w:tcW w:w="2962" w:type="pct"/>
          </w:tcPr>
          <w:p w:rsidR="00951D64" w:rsidRDefault="003F2216" w:rsidP="00951D64">
            <w:hyperlink r:id="rId37" w:history="1">
              <w:r w:rsidR="00951D64" w:rsidRPr="007F41DF">
                <w:rPr>
                  <w:rStyle w:val="Hyperlink"/>
                </w:rPr>
                <w:t>Australian Government</w:t>
              </w:r>
            </w:hyperlink>
            <w:r w:rsidR="00951D64">
              <w:t xml:space="preserve"> (p. 6) agreed with the proposition in question 5, subject to the decision of the Full Bench in the pending All Trades appeal. </w:t>
            </w:r>
          </w:p>
          <w:p w:rsidR="00951D64" w:rsidRDefault="00951D64" w:rsidP="00951D64"/>
          <w:p w:rsidR="00951D64" w:rsidRDefault="003F2216" w:rsidP="00951D64">
            <w:hyperlink r:id="rId38" w:history="1">
              <w:r w:rsidR="00951D64" w:rsidRPr="00EE0F41">
                <w:rPr>
                  <w:rStyle w:val="Hyperlink"/>
                </w:rPr>
                <w:t>ACTU</w:t>
              </w:r>
            </w:hyperlink>
            <w:r w:rsidR="00951D64" w:rsidRPr="00EE0F41">
              <w:rPr>
                <w:rStyle w:val="Hyperlink"/>
              </w:rPr>
              <w:t xml:space="preserve"> </w:t>
            </w:r>
            <w:r w:rsidR="00951D64">
              <w:t>(p. 36</w:t>
            </w:r>
            <w:r w:rsidR="00951D64" w:rsidRPr="008D5B94">
              <w:t xml:space="preserve">) </w:t>
            </w:r>
            <w:r w:rsidR="00951D64">
              <w:t>agreed with the proposition in question 5, adding that the Commission should make published rates available.</w:t>
            </w:r>
          </w:p>
          <w:p w:rsidR="00951D64" w:rsidRDefault="00951D64" w:rsidP="00951D64"/>
          <w:p w:rsidR="00951D64" w:rsidRDefault="003F2216" w:rsidP="00951D64">
            <w:hyperlink r:id="rId39" w:history="1">
              <w:r w:rsidR="007F7BF2">
                <w:rPr>
                  <w:rStyle w:val="Hyperlink"/>
                </w:rPr>
                <w:t xml:space="preserve">ABI and </w:t>
              </w:r>
              <w:r w:rsidR="00951D64" w:rsidRPr="007F41DF">
                <w:rPr>
                  <w:rStyle w:val="Hyperlink"/>
                </w:rPr>
                <w:t>NSWBC</w:t>
              </w:r>
            </w:hyperlink>
            <w:r w:rsidR="00951D64">
              <w:t xml:space="preserve"> (pp. 8–9, para. 4.16) agreed with the proposition in question 5.</w:t>
            </w:r>
          </w:p>
          <w:p w:rsidR="00E63342" w:rsidRPr="002F346F" w:rsidRDefault="00E63342" w:rsidP="00951D64"/>
        </w:tc>
      </w:tr>
      <w:tr w:rsidR="00E63342" w:rsidRPr="00A350D1" w:rsidTr="00937F0C">
        <w:trPr>
          <w:trHeight w:val="562"/>
        </w:trPr>
        <w:tc>
          <w:tcPr>
            <w:tcW w:w="288" w:type="pct"/>
          </w:tcPr>
          <w:p w:rsidR="00E63342" w:rsidRPr="00A350D1" w:rsidRDefault="00E63342" w:rsidP="00381DD2">
            <w:r>
              <w:t>6.</w:t>
            </w:r>
          </w:p>
        </w:tc>
        <w:tc>
          <w:tcPr>
            <w:tcW w:w="1750" w:type="pct"/>
          </w:tcPr>
          <w:p w:rsidR="005850CF" w:rsidRPr="001A2F93" w:rsidRDefault="005850CF" w:rsidP="005850CF">
            <w:pPr>
              <w:rPr>
                <w:b/>
                <w:lang w:eastAsia="en-AU"/>
              </w:rPr>
            </w:pPr>
            <w:r w:rsidRPr="001A2F93">
              <w:rPr>
                <w:b/>
                <w:lang w:eastAsia="en-AU"/>
              </w:rPr>
              <w:t xml:space="preserve">Apprentices and trainees for whom competency-based wage arrangements apply </w:t>
            </w:r>
          </w:p>
          <w:p w:rsidR="005850CF" w:rsidRDefault="005850CF" w:rsidP="00381DD2">
            <w:pPr>
              <w:rPr>
                <w:b/>
                <w:i/>
                <w:lang w:eastAsia="en-AU"/>
              </w:rPr>
            </w:pPr>
          </w:p>
          <w:p w:rsidR="00E63342" w:rsidRPr="0061544D" w:rsidRDefault="005850CF" w:rsidP="00381DD2">
            <w:r w:rsidRPr="001A2F93">
              <w:rPr>
                <w:b/>
                <w:i/>
                <w:lang w:eastAsia="en-AU"/>
              </w:rPr>
              <w:lastRenderedPageBreak/>
              <w:t>Given the limitations under s.154, can instruments be made under the Fair Work Act to replace these instruments?</w:t>
            </w:r>
          </w:p>
        </w:tc>
        <w:tc>
          <w:tcPr>
            <w:tcW w:w="2962" w:type="pct"/>
          </w:tcPr>
          <w:p w:rsidR="00C91671" w:rsidRDefault="003F2216" w:rsidP="00C91671">
            <w:hyperlink r:id="rId40" w:history="1">
              <w:r w:rsidR="00C91671" w:rsidRPr="007F41DF">
                <w:rPr>
                  <w:rStyle w:val="Hyperlink"/>
                </w:rPr>
                <w:t>Australian Government</w:t>
              </w:r>
            </w:hyperlink>
            <w:r w:rsidR="00C91671">
              <w:t xml:space="preserve"> (p. 6) </w:t>
            </w:r>
            <w:r w:rsidR="00C91671">
              <w:rPr>
                <w:lang w:eastAsia="en-AU"/>
              </w:rPr>
              <w:t xml:space="preserve">submitted the Commission is restricted by s154 (2) of the Act in replacing these instruments, and that “any amendment </w:t>
            </w:r>
            <w:r w:rsidR="00C91671" w:rsidRPr="004C2C30">
              <w:t>will only be possible if subsection 154(3) of the Fair Work Act is capable of being met.”</w:t>
            </w:r>
          </w:p>
          <w:p w:rsidR="00C91671" w:rsidRDefault="00C91671" w:rsidP="00C91671">
            <w:r>
              <w:lastRenderedPageBreak/>
              <w:t xml:space="preserve"> </w:t>
            </w:r>
          </w:p>
          <w:p w:rsidR="00C91671" w:rsidRDefault="003F2216" w:rsidP="00C91671">
            <w:hyperlink r:id="rId41" w:history="1">
              <w:r w:rsidR="00C91671" w:rsidRPr="00EE0F41">
                <w:rPr>
                  <w:rStyle w:val="Hyperlink"/>
                </w:rPr>
                <w:t>ACTU</w:t>
              </w:r>
            </w:hyperlink>
            <w:r w:rsidR="00C91671" w:rsidRPr="00EE0F41">
              <w:rPr>
                <w:rStyle w:val="Hyperlink"/>
              </w:rPr>
              <w:t xml:space="preserve"> </w:t>
            </w:r>
            <w:r w:rsidR="00C91671">
              <w:t>(p. 37</w:t>
            </w:r>
            <w:r w:rsidR="00C91671" w:rsidRPr="008D5B94">
              <w:t xml:space="preserve">) </w:t>
            </w:r>
            <w:r w:rsidR="00C91671">
              <w:rPr>
                <w:lang w:eastAsia="en-AU"/>
              </w:rPr>
              <w:t>submitted that as the relevant instruments are applicable only in Queensland, their replication by a modern award would breach s. 154(1) of the Act.</w:t>
            </w:r>
          </w:p>
          <w:p w:rsidR="00C91671" w:rsidRDefault="00C91671" w:rsidP="00C91671"/>
          <w:p w:rsidR="00C91671" w:rsidRDefault="003F2216" w:rsidP="00C91671">
            <w:hyperlink r:id="rId42" w:history="1">
              <w:r w:rsidR="00C91671" w:rsidRPr="00AE37AB">
                <w:rPr>
                  <w:rStyle w:val="Hyperlink"/>
                </w:rPr>
                <w:t>CFMEU C&amp;G</w:t>
              </w:r>
            </w:hyperlink>
            <w:r w:rsidR="00C91671">
              <w:t xml:space="preserve"> (p. 5) submitted that </w:t>
            </w:r>
            <w:r w:rsidR="00C91671" w:rsidRPr="002055F8">
              <w:rPr>
                <w:lang w:eastAsia="en-AU"/>
              </w:rPr>
              <w:t xml:space="preserve">if the Commission’s decision in </w:t>
            </w:r>
            <w:r w:rsidR="00C91671" w:rsidRPr="002055F8">
              <w:t>All Trades stands on appeal, then the majority of NAPSAs and Award Based Transitional Instruments have already been terminated.</w:t>
            </w:r>
          </w:p>
          <w:p w:rsidR="00C91671" w:rsidRDefault="00C91671" w:rsidP="00C91671"/>
          <w:p w:rsidR="00C91671" w:rsidRDefault="003F2216" w:rsidP="00C91671">
            <w:hyperlink r:id="rId43" w:history="1">
              <w:r w:rsidR="00C91671" w:rsidRPr="00AE37AB">
                <w:rPr>
                  <w:rStyle w:val="Hyperlink"/>
                </w:rPr>
                <w:t>CFMEU FFPD</w:t>
              </w:r>
            </w:hyperlink>
            <w:r w:rsidR="00C91671">
              <w:t xml:space="preserve"> (p. 4) </w:t>
            </w:r>
            <w:r w:rsidR="00C91671" w:rsidRPr="00EB3543">
              <w:t>supported</w:t>
            </w:r>
            <w:r w:rsidR="00C91671">
              <w:t xml:space="preserve"> the CFMEU C&amp;G</w:t>
            </w:r>
            <w:r w:rsidR="00C91671" w:rsidRPr="00EB3543">
              <w:t xml:space="preserve">’s </w:t>
            </w:r>
            <w:r w:rsidR="00C91671">
              <w:t>r</w:t>
            </w:r>
            <w:r w:rsidR="00C91671" w:rsidRPr="00EB3543">
              <w:t>esponse</w:t>
            </w:r>
            <w:r w:rsidR="00C91671">
              <w:t>.</w:t>
            </w:r>
          </w:p>
          <w:p w:rsidR="00C91671" w:rsidRDefault="00C91671" w:rsidP="00C91671"/>
          <w:p w:rsidR="00C91671" w:rsidRDefault="003F2216" w:rsidP="00C91671">
            <w:hyperlink r:id="rId44" w:history="1">
              <w:r w:rsidR="00C91671" w:rsidRPr="007F41DF">
                <w:rPr>
                  <w:rStyle w:val="Hyperlink"/>
                </w:rPr>
                <w:t>Ai Group</w:t>
              </w:r>
            </w:hyperlink>
            <w:r w:rsidR="00C91671">
              <w:t xml:space="preserve"> (p. 10) </w:t>
            </w:r>
            <w:r w:rsidR="00C91671">
              <w:rPr>
                <w:lang w:eastAsia="en-AU"/>
              </w:rPr>
              <w:t xml:space="preserve">submitted that they would consider the submissions of other parties and address this question in reply, but did not. </w:t>
            </w:r>
          </w:p>
          <w:p w:rsidR="00C91671" w:rsidRDefault="00C91671" w:rsidP="00C91671"/>
          <w:p w:rsidR="00C91671" w:rsidRDefault="003F2216" w:rsidP="00C91671">
            <w:hyperlink r:id="rId45" w:history="1">
              <w:r w:rsidR="007F7BF2">
                <w:rPr>
                  <w:rStyle w:val="Hyperlink"/>
                </w:rPr>
                <w:t xml:space="preserve">ABI and </w:t>
              </w:r>
              <w:r w:rsidR="00C91671" w:rsidRPr="007F41DF">
                <w:rPr>
                  <w:rStyle w:val="Hyperlink"/>
                </w:rPr>
                <w:t>NSWBC</w:t>
              </w:r>
            </w:hyperlink>
            <w:r w:rsidR="00C91671">
              <w:t xml:space="preserve"> (p. 9, para. 4.18) submitted that </w:t>
            </w:r>
            <w:r w:rsidR="00C91671">
              <w:rPr>
                <w:lang w:eastAsia="en-AU"/>
              </w:rPr>
              <w:t xml:space="preserve">as the relevant instruments are applicable only in Queensland; their effect if replicated by a modern award would breach s. 154(1) of the Act. </w:t>
            </w:r>
          </w:p>
          <w:p w:rsidR="004E3EC3" w:rsidRPr="00930584" w:rsidRDefault="004E3EC3" w:rsidP="000668B6"/>
        </w:tc>
      </w:tr>
      <w:tr w:rsidR="000668B6" w:rsidRPr="00A350D1" w:rsidTr="00937F0C">
        <w:trPr>
          <w:trHeight w:val="562"/>
        </w:trPr>
        <w:tc>
          <w:tcPr>
            <w:tcW w:w="288" w:type="pct"/>
          </w:tcPr>
          <w:p w:rsidR="000668B6" w:rsidRDefault="000668B6" w:rsidP="00381DD2">
            <w:r>
              <w:lastRenderedPageBreak/>
              <w:t>7.</w:t>
            </w:r>
          </w:p>
        </w:tc>
        <w:tc>
          <w:tcPr>
            <w:tcW w:w="1750" w:type="pct"/>
          </w:tcPr>
          <w:p w:rsidR="005850CF" w:rsidRDefault="005850CF" w:rsidP="005850CF">
            <w:pPr>
              <w:rPr>
                <w:b/>
                <w:lang w:eastAsia="en-AU"/>
              </w:rPr>
            </w:pPr>
            <w:r w:rsidRPr="001A2F93">
              <w:rPr>
                <w:b/>
                <w:lang w:eastAsia="en-AU"/>
              </w:rPr>
              <w:t xml:space="preserve">The Social and Community Sector Pay Equity Order </w:t>
            </w:r>
          </w:p>
          <w:p w:rsidR="005850CF" w:rsidRDefault="005850CF" w:rsidP="005850CF">
            <w:pPr>
              <w:rPr>
                <w:b/>
                <w:i/>
                <w:lang w:eastAsia="en-AU"/>
              </w:rPr>
            </w:pPr>
          </w:p>
          <w:p w:rsidR="005850CF" w:rsidRDefault="005850CF" w:rsidP="005850CF">
            <w:pPr>
              <w:rPr>
                <w:b/>
                <w:i/>
                <w:lang w:eastAsia="en-AU"/>
              </w:rPr>
            </w:pPr>
            <w:r w:rsidRPr="001A2F93">
              <w:rPr>
                <w:b/>
                <w:i/>
                <w:lang w:eastAsia="en-AU"/>
              </w:rPr>
              <w:t xml:space="preserve">Given the 2012 ERO preserves the operation of transitional provisions and the Fair Work Act obliges </w:t>
            </w:r>
            <w:r w:rsidR="00A26770">
              <w:rPr>
                <w:b/>
                <w:i/>
                <w:lang w:eastAsia="en-AU"/>
              </w:rPr>
              <w:t xml:space="preserve">the </w:t>
            </w:r>
            <w:r w:rsidRPr="001A2F93">
              <w:rPr>
                <w:b/>
                <w:i/>
                <w:lang w:eastAsia="en-AU"/>
              </w:rPr>
              <w:t>Commission to terminate transitional instruments,</w:t>
            </w:r>
            <w:r w:rsidRPr="001A2F93">
              <w:rPr>
                <w:b/>
                <w:i/>
                <w:sz w:val="16"/>
                <w:szCs w:val="16"/>
                <w:lang w:eastAsia="en-AU"/>
              </w:rPr>
              <w:t xml:space="preserve"> </w:t>
            </w:r>
            <w:r w:rsidRPr="001A2F93">
              <w:rPr>
                <w:b/>
                <w:i/>
                <w:lang w:eastAsia="en-AU"/>
              </w:rPr>
              <w:t xml:space="preserve">is there any reason why the Commission should not terminate the remaining transitional instruments related to the SACS modern award? </w:t>
            </w:r>
          </w:p>
          <w:p w:rsidR="000668B6" w:rsidRPr="0061544D" w:rsidRDefault="000668B6" w:rsidP="005850CF">
            <w:pPr>
              <w:jc w:val="center"/>
            </w:pPr>
          </w:p>
        </w:tc>
        <w:tc>
          <w:tcPr>
            <w:tcW w:w="2962" w:type="pct"/>
          </w:tcPr>
          <w:p w:rsidR="00A26770" w:rsidRPr="00A26770" w:rsidRDefault="003F2216" w:rsidP="00A26770">
            <w:pPr>
              <w:pStyle w:val="Default"/>
              <w:rPr>
                <w:rFonts w:ascii="Arial" w:hAnsi="Arial" w:cs="Arial"/>
              </w:rPr>
            </w:pPr>
            <w:hyperlink r:id="rId46" w:history="1">
              <w:r w:rsidR="008D325D" w:rsidRPr="007F41DF">
                <w:rPr>
                  <w:rStyle w:val="Hyperlink"/>
                </w:rPr>
                <w:t>Australian Government</w:t>
              </w:r>
            </w:hyperlink>
            <w:r w:rsidR="008D325D">
              <w:t xml:space="preserve"> (p. </w:t>
            </w:r>
            <w:r w:rsidR="009B6D48">
              <w:t>6</w:t>
            </w:r>
            <w:r w:rsidR="008D325D">
              <w:t xml:space="preserve">) </w:t>
            </w:r>
          </w:p>
          <w:p w:rsidR="00A26770" w:rsidRPr="00A26770" w:rsidRDefault="00A26770" w:rsidP="00A26770">
            <w:pPr>
              <w:autoSpaceDE w:val="0"/>
              <w:autoSpaceDN w:val="0"/>
              <w:adjustRightInd w:val="0"/>
              <w:rPr>
                <w:rFonts w:eastAsia="Times New Roman"/>
                <w:szCs w:val="20"/>
                <w:lang w:val="en-GB" w:eastAsia="en-AU"/>
              </w:rPr>
            </w:pPr>
            <w:r w:rsidRPr="00A26770">
              <w:rPr>
                <w:rFonts w:eastAsia="Times New Roman"/>
                <w:szCs w:val="20"/>
                <w:lang w:val="en-GB" w:eastAsia="en-AU"/>
              </w:rPr>
              <w:t xml:space="preserve">Transitional arrangements in Schedule A of the SACS Award and the model transitional arrangements in other modern awards were intended to continue to preserve higher rates from transitional instruments after the instruments were terminated. </w:t>
            </w:r>
          </w:p>
          <w:p w:rsidR="008D325D" w:rsidRDefault="008D325D" w:rsidP="008D325D"/>
          <w:p w:rsidR="009B6D48" w:rsidRPr="009B6D48" w:rsidRDefault="003F2216" w:rsidP="009B6D48">
            <w:pPr>
              <w:autoSpaceDE w:val="0"/>
              <w:autoSpaceDN w:val="0"/>
              <w:adjustRightInd w:val="0"/>
              <w:rPr>
                <w:rFonts w:eastAsia="Times New Roman"/>
                <w:szCs w:val="20"/>
                <w:lang w:val="en-GB" w:eastAsia="en-AU"/>
              </w:rPr>
            </w:pPr>
            <w:hyperlink r:id="rId47" w:history="1">
              <w:r w:rsidR="008D325D" w:rsidRPr="00EE0F41">
                <w:rPr>
                  <w:rStyle w:val="Hyperlink"/>
                </w:rPr>
                <w:t>ACTU</w:t>
              </w:r>
            </w:hyperlink>
            <w:r w:rsidR="008D325D" w:rsidRPr="00EE0F41">
              <w:rPr>
                <w:rStyle w:val="Hyperlink"/>
              </w:rPr>
              <w:t xml:space="preserve"> </w:t>
            </w:r>
            <w:r w:rsidR="008D325D">
              <w:t>(p.</w:t>
            </w:r>
            <w:r w:rsidR="009B6D48">
              <w:t>38</w:t>
            </w:r>
            <w:r w:rsidR="008D325D">
              <w:t xml:space="preserve"> </w:t>
            </w:r>
            <w:r w:rsidR="008D325D" w:rsidRPr="008D5B94">
              <w:t xml:space="preserve">) </w:t>
            </w:r>
            <w:r w:rsidR="009B6D48" w:rsidRPr="009B6D48">
              <w:rPr>
                <w:rFonts w:eastAsia="Times New Roman"/>
                <w:szCs w:val="20"/>
                <w:lang w:val="en-GB" w:eastAsia="en-AU"/>
              </w:rPr>
              <w:t>The</w:t>
            </w:r>
            <w:r w:rsidR="00644A3B">
              <w:rPr>
                <w:rFonts w:eastAsia="Times New Roman"/>
                <w:szCs w:val="20"/>
                <w:lang w:val="en-GB" w:eastAsia="en-AU"/>
              </w:rPr>
              <w:t>se</w:t>
            </w:r>
            <w:r w:rsidR="009B6D48" w:rsidRPr="009B6D48">
              <w:rPr>
                <w:rFonts w:eastAsia="Times New Roman"/>
                <w:szCs w:val="20"/>
                <w:lang w:val="en-GB" w:eastAsia="en-AU"/>
              </w:rPr>
              <w:t xml:space="preserve"> instruments should not be terminated because the ERO confers a benefit on employees, which is contingent upon the existence</w:t>
            </w:r>
          </w:p>
          <w:p w:rsidR="008D325D" w:rsidRPr="009B6D48" w:rsidRDefault="009B6D48" w:rsidP="009B6D48">
            <w:pPr>
              <w:autoSpaceDE w:val="0"/>
              <w:autoSpaceDN w:val="0"/>
              <w:adjustRightInd w:val="0"/>
              <w:rPr>
                <w:rFonts w:eastAsia="Times New Roman"/>
                <w:szCs w:val="20"/>
                <w:lang w:val="en-GB" w:eastAsia="en-AU"/>
              </w:rPr>
            </w:pPr>
            <w:r w:rsidRPr="009B6D48">
              <w:rPr>
                <w:rFonts w:eastAsia="Times New Roman"/>
                <w:szCs w:val="20"/>
                <w:lang w:val="en-GB" w:eastAsia="en-AU"/>
              </w:rPr>
              <w:t>of a transitional minimum w</w:t>
            </w:r>
            <w:r w:rsidR="00644A3B">
              <w:rPr>
                <w:rFonts w:eastAsia="Times New Roman"/>
                <w:szCs w:val="20"/>
                <w:lang w:val="en-GB" w:eastAsia="en-AU"/>
              </w:rPr>
              <w:t>age instrument or award-</w:t>
            </w:r>
            <w:r w:rsidRPr="009B6D48">
              <w:rPr>
                <w:rFonts w:eastAsia="Times New Roman"/>
                <w:szCs w:val="20"/>
                <w:lang w:val="en-GB" w:eastAsia="en-AU"/>
              </w:rPr>
              <w:t>based transitional instrument containing a higher rate of pay than that otherwise provided for in the Social, Community, Home Care and Disability Services Industry Award.</w:t>
            </w:r>
          </w:p>
          <w:p w:rsidR="008D325D" w:rsidRDefault="008D325D" w:rsidP="008D325D"/>
          <w:p w:rsidR="00940CF7" w:rsidRPr="00940CF7" w:rsidRDefault="003F2216" w:rsidP="00940CF7">
            <w:pPr>
              <w:pStyle w:val="Default"/>
              <w:rPr>
                <w:rFonts w:ascii="Arial" w:hAnsi="Arial" w:cs="Arial"/>
              </w:rPr>
            </w:pPr>
            <w:hyperlink r:id="rId48" w:history="1">
              <w:r w:rsidR="008D325D" w:rsidRPr="00AE37AB">
                <w:rPr>
                  <w:rStyle w:val="Hyperlink"/>
                </w:rPr>
                <w:t>ASU</w:t>
              </w:r>
            </w:hyperlink>
            <w:r w:rsidR="008D325D">
              <w:t xml:space="preserve"> (p. </w:t>
            </w:r>
            <w:r w:rsidR="00940CF7">
              <w:t>1</w:t>
            </w:r>
            <w:r w:rsidR="008D325D">
              <w:t>)</w:t>
            </w:r>
            <w:r w:rsidR="00940CF7">
              <w:t xml:space="preserve"> These transitional instruments should not be terminated because </w:t>
            </w:r>
          </w:p>
          <w:p w:rsidR="008D325D" w:rsidRPr="00940CF7" w:rsidRDefault="00940CF7" w:rsidP="00940CF7">
            <w:pPr>
              <w:rPr>
                <w:rFonts w:eastAsia="Times New Roman"/>
                <w:szCs w:val="20"/>
                <w:lang w:val="en-GB" w:eastAsia="en-AU"/>
              </w:rPr>
            </w:pPr>
            <w:r w:rsidRPr="00940CF7">
              <w:rPr>
                <w:rFonts w:eastAsia="Times New Roman"/>
                <w:szCs w:val="20"/>
                <w:lang w:val="en-GB" w:eastAsia="en-AU"/>
              </w:rPr>
              <w:t xml:space="preserve">in making this Order the Full Bench was relying on the continued operation of state </w:t>
            </w:r>
            <w:r w:rsidRPr="00940CF7">
              <w:rPr>
                <w:rFonts w:eastAsia="Times New Roman"/>
                <w:szCs w:val="20"/>
                <w:lang w:val="en-GB" w:eastAsia="en-AU"/>
              </w:rPr>
              <w:lastRenderedPageBreak/>
              <w:t>based awards through to 1 December 2020 at the risk of otherwise disadvantaging employees under state based awards that provide a higher rate than the Modern Award.</w:t>
            </w:r>
          </w:p>
          <w:p w:rsidR="008D325D" w:rsidRDefault="008D325D" w:rsidP="008D325D"/>
          <w:p w:rsidR="008D325D" w:rsidRPr="003C2654" w:rsidRDefault="003F2216" w:rsidP="003C2654">
            <w:pPr>
              <w:pStyle w:val="Default"/>
            </w:pPr>
            <w:hyperlink r:id="rId49" w:history="1">
              <w:r w:rsidR="007F7BF2">
                <w:rPr>
                  <w:rStyle w:val="Hyperlink"/>
                </w:rPr>
                <w:t xml:space="preserve">ABI and </w:t>
              </w:r>
              <w:r w:rsidR="008D325D" w:rsidRPr="007F41DF">
                <w:rPr>
                  <w:rStyle w:val="Hyperlink"/>
                </w:rPr>
                <w:t>NSWBC</w:t>
              </w:r>
            </w:hyperlink>
            <w:r w:rsidR="009B6D48">
              <w:t xml:space="preserve"> (</w:t>
            </w:r>
            <w:r w:rsidR="008D325D">
              <w:t xml:space="preserve"> para</w:t>
            </w:r>
            <w:r w:rsidR="003C2654">
              <w:t>s</w:t>
            </w:r>
            <w:r w:rsidR="008D325D">
              <w:t>.</w:t>
            </w:r>
            <w:r w:rsidR="003C2654">
              <w:t>4.19–</w:t>
            </w:r>
            <w:r w:rsidR="00940CF7">
              <w:t xml:space="preserve"> 4.22 at p.9</w:t>
            </w:r>
            <w:r w:rsidR="008D325D">
              <w:t xml:space="preserve"> ) </w:t>
            </w:r>
            <w:r w:rsidR="003C2654">
              <w:t>T</w:t>
            </w:r>
            <w:r w:rsidR="00940CF7">
              <w:t xml:space="preserve">erminating the </w:t>
            </w:r>
            <w:r w:rsidR="003C2654">
              <w:t>instru</w:t>
            </w:r>
            <w:r w:rsidR="00940CF7">
              <w:t>m</w:t>
            </w:r>
            <w:r w:rsidR="003C2654">
              <w:t>e</w:t>
            </w:r>
            <w:r w:rsidR="00940CF7">
              <w:t>nts</w:t>
            </w:r>
            <w:r w:rsidR="003C2654">
              <w:t xml:space="preserve"> will have no effect on the ERO. </w:t>
            </w:r>
            <w:r w:rsidR="006F7D29">
              <w:t xml:space="preserve">The </w:t>
            </w:r>
            <w:r w:rsidR="003C2654" w:rsidRPr="003C2654">
              <w:t>Commission has an obligation under Item 3 of Schedule 5 of the Transitional Act to terminate as soon as practicable any award-based transitional instruments and transitional APCSs that are completely replaced by a modern award. For this reason, the Commission is required to terminate the relevant awards that have been replaced by the Social, Community, Home Care and Disability Services Award 2010.</w:t>
            </w:r>
          </w:p>
          <w:p w:rsidR="000668B6" w:rsidRPr="00930584" w:rsidRDefault="000668B6" w:rsidP="003C2654"/>
        </w:tc>
      </w:tr>
      <w:tr w:rsidR="000668B6" w:rsidRPr="00A350D1" w:rsidTr="00937F0C">
        <w:trPr>
          <w:trHeight w:val="562"/>
        </w:trPr>
        <w:tc>
          <w:tcPr>
            <w:tcW w:w="288" w:type="pct"/>
          </w:tcPr>
          <w:p w:rsidR="000668B6" w:rsidRDefault="000668B6" w:rsidP="00381DD2">
            <w:r>
              <w:lastRenderedPageBreak/>
              <w:t>8.</w:t>
            </w:r>
          </w:p>
        </w:tc>
        <w:tc>
          <w:tcPr>
            <w:tcW w:w="1750" w:type="pct"/>
          </w:tcPr>
          <w:p w:rsidR="005850CF" w:rsidRPr="001A2F93" w:rsidRDefault="005850CF" w:rsidP="005850CF">
            <w:pPr>
              <w:rPr>
                <w:b/>
                <w:lang w:eastAsia="en-AU"/>
              </w:rPr>
            </w:pPr>
            <w:r w:rsidRPr="001A2F93">
              <w:rPr>
                <w:b/>
                <w:lang w:eastAsia="en-AU"/>
              </w:rPr>
              <w:t xml:space="preserve">Transitional Pay Equity Orders </w:t>
            </w:r>
          </w:p>
          <w:p w:rsidR="005850CF" w:rsidRDefault="005850CF" w:rsidP="005850CF">
            <w:pPr>
              <w:jc w:val="center"/>
              <w:rPr>
                <w:b/>
                <w:i/>
                <w:lang w:eastAsia="en-AU"/>
              </w:rPr>
            </w:pPr>
          </w:p>
          <w:p w:rsidR="000668B6" w:rsidRPr="0061544D" w:rsidRDefault="005850CF" w:rsidP="005850CF">
            <w:r w:rsidRPr="001A2F93">
              <w:rPr>
                <w:b/>
                <w:i/>
                <w:lang w:eastAsia="en-AU"/>
              </w:rPr>
              <w:t>Given these instruments continue to operate until 1 December 2020, should they remain as transitional instruments or can these entitlements be preserved for the affected employees in another Fair Work Act instrument?</w:t>
            </w:r>
          </w:p>
        </w:tc>
        <w:tc>
          <w:tcPr>
            <w:tcW w:w="2962" w:type="pct"/>
          </w:tcPr>
          <w:p w:rsidR="008D325D" w:rsidRDefault="003F2216" w:rsidP="008D325D">
            <w:hyperlink r:id="rId50" w:history="1">
              <w:r w:rsidR="008D325D" w:rsidRPr="007F41DF">
                <w:rPr>
                  <w:rStyle w:val="Hyperlink"/>
                </w:rPr>
                <w:t>Australian Government</w:t>
              </w:r>
            </w:hyperlink>
            <w:r w:rsidR="008D325D">
              <w:t xml:space="preserve"> (p.</w:t>
            </w:r>
            <w:r w:rsidR="003C2654">
              <w:t>7</w:t>
            </w:r>
            <w:r w:rsidR="008D325D">
              <w:t xml:space="preserve"> ) </w:t>
            </w:r>
            <w:r w:rsidR="003C2654">
              <w:t>TPEO’s should are not technically transitional instruments  and it is unlikely they could be terminated by the Commission.</w:t>
            </w:r>
          </w:p>
          <w:p w:rsidR="008D325D" w:rsidRDefault="008D325D" w:rsidP="008D325D"/>
          <w:p w:rsidR="008D325D" w:rsidRDefault="003F2216" w:rsidP="008D325D">
            <w:hyperlink r:id="rId51" w:history="1">
              <w:r w:rsidR="008D325D" w:rsidRPr="00EE0F41">
                <w:rPr>
                  <w:rStyle w:val="Hyperlink"/>
                </w:rPr>
                <w:t>ACTU</w:t>
              </w:r>
            </w:hyperlink>
            <w:r w:rsidR="008D325D" w:rsidRPr="00EE0F41">
              <w:rPr>
                <w:rStyle w:val="Hyperlink"/>
              </w:rPr>
              <w:t xml:space="preserve"> </w:t>
            </w:r>
            <w:r w:rsidR="008D325D">
              <w:t>(p.</w:t>
            </w:r>
            <w:r w:rsidR="003C2654">
              <w:t>1</w:t>
            </w:r>
            <w:r w:rsidR="008D325D">
              <w:t xml:space="preserve"> </w:t>
            </w:r>
            <w:r w:rsidR="008D325D" w:rsidRPr="008D5B94">
              <w:t xml:space="preserve">) </w:t>
            </w:r>
            <w:r w:rsidR="003C2654">
              <w:t>TPEOs should continue in operation for the next four years.</w:t>
            </w:r>
          </w:p>
          <w:p w:rsidR="008D325D" w:rsidRDefault="008D325D" w:rsidP="008D325D"/>
          <w:p w:rsidR="008D325D" w:rsidRDefault="003F2216" w:rsidP="008D325D">
            <w:hyperlink r:id="rId52" w:history="1">
              <w:r w:rsidR="008D325D" w:rsidRPr="00AE37AB">
                <w:rPr>
                  <w:rStyle w:val="Hyperlink"/>
                </w:rPr>
                <w:t>ASU</w:t>
              </w:r>
            </w:hyperlink>
            <w:r w:rsidR="008D325D">
              <w:t xml:space="preserve"> (p.</w:t>
            </w:r>
            <w:r w:rsidR="00A711D1">
              <w:t>1</w:t>
            </w:r>
            <w:r w:rsidR="008D325D">
              <w:t xml:space="preserve"> )</w:t>
            </w:r>
            <w:r w:rsidR="00A711D1">
              <w:t xml:space="preserve"> TPEOs should </w:t>
            </w:r>
            <w:r w:rsidR="00D13BBA">
              <w:t>continue to o</w:t>
            </w:r>
            <w:r w:rsidR="00A711D1">
              <w:t>p</w:t>
            </w:r>
            <w:r w:rsidR="00D13BBA">
              <w:t>e</w:t>
            </w:r>
            <w:r w:rsidR="00A711D1">
              <w:t>rate</w:t>
            </w:r>
            <w:r w:rsidR="00DA364E">
              <w:t xml:space="preserve">. </w:t>
            </w:r>
          </w:p>
          <w:p w:rsidR="008D325D" w:rsidRDefault="008D325D" w:rsidP="008D325D"/>
          <w:p w:rsidR="00DA364E" w:rsidRDefault="003F2216" w:rsidP="00DA364E">
            <w:hyperlink r:id="rId53" w:history="1">
              <w:r w:rsidR="007F7BF2">
                <w:rPr>
                  <w:rStyle w:val="Hyperlink"/>
                </w:rPr>
                <w:t xml:space="preserve">ABI and </w:t>
              </w:r>
              <w:r w:rsidR="00DA364E" w:rsidRPr="007F41DF">
                <w:rPr>
                  <w:rStyle w:val="Hyperlink"/>
                </w:rPr>
                <w:t>NSWBC</w:t>
              </w:r>
            </w:hyperlink>
            <w:r w:rsidR="00DA364E">
              <w:t xml:space="preserve"> (p. 10, para. </w:t>
            </w:r>
            <w:r w:rsidR="004C5910">
              <w:t>4.25</w:t>
            </w:r>
            <w:r w:rsidR="00DA364E">
              <w:t>) TPEOs should continue to operate.</w:t>
            </w:r>
          </w:p>
          <w:p w:rsidR="000668B6" w:rsidRPr="00930584" w:rsidRDefault="000668B6" w:rsidP="008C62CC"/>
        </w:tc>
      </w:tr>
      <w:tr w:rsidR="000668B6" w:rsidRPr="00A350D1" w:rsidTr="00937F0C">
        <w:trPr>
          <w:trHeight w:val="562"/>
        </w:trPr>
        <w:tc>
          <w:tcPr>
            <w:tcW w:w="288" w:type="pct"/>
          </w:tcPr>
          <w:p w:rsidR="000668B6" w:rsidRDefault="000668B6" w:rsidP="00381DD2">
            <w:r>
              <w:t>9.</w:t>
            </w:r>
          </w:p>
        </w:tc>
        <w:tc>
          <w:tcPr>
            <w:tcW w:w="1750" w:type="pct"/>
          </w:tcPr>
          <w:p w:rsidR="005850CF" w:rsidRPr="001A2F93" w:rsidRDefault="005850CF" w:rsidP="005850CF">
            <w:pPr>
              <w:rPr>
                <w:b/>
                <w:lang w:eastAsia="en-AU"/>
              </w:rPr>
            </w:pPr>
            <w:r w:rsidRPr="001A2F93">
              <w:rPr>
                <w:b/>
                <w:lang w:eastAsia="en-AU"/>
              </w:rPr>
              <w:t xml:space="preserve">The Annual Wage Review and Transitional Instruments </w:t>
            </w:r>
          </w:p>
          <w:p w:rsidR="005850CF" w:rsidRDefault="005850CF" w:rsidP="005850CF">
            <w:pPr>
              <w:rPr>
                <w:b/>
                <w:i/>
                <w:lang w:eastAsia="en-AU"/>
              </w:rPr>
            </w:pPr>
          </w:p>
          <w:p w:rsidR="005850CF" w:rsidRPr="001A2F93" w:rsidRDefault="005850CF" w:rsidP="005850CF">
            <w:pPr>
              <w:rPr>
                <w:b/>
                <w:i/>
                <w:lang w:eastAsia="en-AU"/>
              </w:rPr>
            </w:pPr>
            <w:r w:rsidRPr="001A2F93">
              <w:rPr>
                <w:b/>
                <w:i/>
                <w:lang w:eastAsia="en-AU"/>
              </w:rPr>
              <w:t xml:space="preserve">Do the parties have any views about the on-going process of review for transitional instruments as part of the annual wage reviews? </w:t>
            </w:r>
          </w:p>
          <w:p w:rsidR="000668B6" w:rsidRPr="0061544D" w:rsidRDefault="000668B6" w:rsidP="005850CF">
            <w:pPr>
              <w:jc w:val="center"/>
            </w:pPr>
          </w:p>
        </w:tc>
        <w:tc>
          <w:tcPr>
            <w:tcW w:w="2962" w:type="pct"/>
          </w:tcPr>
          <w:p w:rsidR="004C5910" w:rsidRDefault="003F2216" w:rsidP="004C5910">
            <w:hyperlink r:id="rId54" w:history="1">
              <w:r w:rsidR="008D325D" w:rsidRPr="00EE0F41">
                <w:rPr>
                  <w:rStyle w:val="Hyperlink"/>
                </w:rPr>
                <w:t>ACTU</w:t>
              </w:r>
            </w:hyperlink>
            <w:r w:rsidR="008D325D" w:rsidRPr="00EE0F41">
              <w:rPr>
                <w:rStyle w:val="Hyperlink"/>
              </w:rPr>
              <w:t xml:space="preserve"> </w:t>
            </w:r>
            <w:r w:rsidR="008D325D">
              <w:t xml:space="preserve">(p. </w:t>
            </w:r>
            <w:r w:rsidR="004C5910">
              <w:t>41</w:t>
            </w:r>
            <w:r w:rsidR="008D325D" w:rsidRPr="008D5B94">
              <w:t xml:space="preserve">) </w:t>
            </w:r>
            <w:r w:rsidR="004C5910">
              <w:t xml:space="preserve">submitted that the current ongoing process for reviewing transitional instruments was “sound” but would be complemented by publication of adjusted rates. </w:t>
            </w:r>
          </w:p>
          <w:p w:rsidR="008D325D" w:rsidRDefault="008D325D" w:rsidP="008D325D"/>
          <w:p w:rsidR="008D325D" w:rsidRDefault="003F2216" w:rsidP="004C5910">
            <w:pPr>
              <w:tabs>
                <w:tab w:val="left" w:pos="2296"/>
              </w:tabs>
            </w:pPr>
            <w:hyperlink r:id="rId55" w:history="1">
              <w:r w:rsidR="008D325D" w:rsidRPr="00AE37AB">
                <w:rPr>
                  <w:rStyle w:val="Hyperlink"/>
                </w:rPr>
                <w:t>CFMEU C&amp;G</w:t>
              </w:r>
            </w:hyperlink>
            <w:r w:rsidR="008D325D">
              <w:t xml:space="preserve"> (p.</w:t>
            </w:r>
            <w:r w:rsidR="004C5910">
              <w:t xml:space="preserve"> 5</w:t>
            </w:r>
            <w:r w:rsidR="008D325D">
              <w:t>)</w:t>
            </w:r>
            <w:r w:rsidR="004C5910">
              <w:t xml:space="preserve"> supported ACTU’s submission on this matter.</w:t>
            </w:r>
            <w:r w:rsidR="004C5910">
              <w:tab/>
            </w:r>
          </w:p>
          <w:p w:rsidR="008D325D" w:rsidRDefault="008D325D" w:rsidP="008D325D"/>
          <w:p w:rsidR="008D325D" w:rsidRDefault="003F2216" w:rsidP="008D325D">
            <w:hyperlink r:id="rId56" w:history="1">
              <w:r w:rsidR="008D325D" w:rsidRPr="00AE37AB">
                <w:rPr>
                  <w:rStyle w:val="Hyperlink"/>
                </w:rPr>
                <w:t>CFMEU FFPD</w:t>
              </w:r>
            </w:hyperlink>
            <w:r w:rsidR="008D325D">
              <w:t xml:space="preserve"> (p.</w:t>
            </w:r>
            <w:r w:rsidR="004C5910">
              <w:t xml:space="preserve"> 5</w:t>
            </w:r>
            <w:r w:rsidR="008D325D">
              <w:t xml:space="preserve">) </w:t>
            </w:r>
            <w:r w:rsidR="004C5910">
              <w:t>supported ACTU’s submission on this matter.</w:t>
            </w:r>
          </w:p>
          <w:p w:rsidR="008D325D" w:rsidRDefault="008D325D" w:rsidP="008D325D"/>
          <w:p w:rsidR="008D325D" w:rsidRDefault="003F2216" w:rsidP="008D325D">
            <w:hyperlink r:id="rId57" w:history="1">
              <w:r w:rsidR="008D325D" w:rsidRPr="007213D7">
                <w:rPr>
                  <w:rStyle w:val="Hyperlink"/>
                </w:rPr>
                <w:t>TCFU</w:t>
              </w:r>
            </w:hyperlink>
            <w:r w:rsidR="004C5910">
              <w:rPr>
                <w:rStyle w:val="Hyperlink"/>
              </w:rPr>
              <w:t>A</w:t>
            </w:r>
            <w:r w:rsidR="008D325D">
              <w:t xml:space="preserve"> (p. </w:t>
            </w:r>
            <w:r w:rsidR="004C5910">
              <w:t>2, para. 2.5</w:t>
            </w:r>
            <w:r w:rsidR="008D325D">
              <w:t>)</w:t>
            </w:r>
            <w:r w:rsidR="004C5910">
              <w:t xml:space="preserve"> supported ACTU’s submission on this matter.</w:t>
            </w:r>
          </w:p>
          <w:p w:rsidR="008D325D" w:rsidRDefault="008D325D" w:rsidP="008D325D"/>
          <w:p w:rsidR="008D325D" w:rsidRDefault="003F2216" w:rsidP="008D325D">
            <w:hyperlink r:id="rId58" w:history="1">
              <w:r w:rsidR="008D325D" w:rsidRPr="007F41DF">
                <w:rPr>
                  <w:rStyle w:val="Hyperlink"/>
                </w:rPr>
                <w:t>Ai Group</w:t>
              </w:r>
            </w:hyperlink>
            <w:r w:rsidR="008D325D">
              <w:t xml:space="preserve"> (p. </w:t>
            </w:r>
            <w:r w:rsidR="004C5910">
              <w:t>11</w:t>
            </w:r>
            <w:r w:rsidR="008D325D">
              <w:t xml:space="preserve">) </w:t>
            </w:r>
            <w:r w:rsidR="004C5910">
              <w:t>have not identified any problems with the Commission’s “careful approach” regarding the review and termination of transitional instruments.</w:t>
            </w:r>
          </w:p>
          <w:p w:rsidR="008D325D" w:rsidRDefault="008D325D" w:rsidP="008D325D"/>
          <w:p w:rsidR="008D325D" w:rsidRDefault="003F2216" w:rsidP="008D325D">
            <w:hyperlink r:id="rId59" w:history="1">
              <w:r w:rsidR="007F7BF2">
                <w:rPr>
                  <w:rStyle w:val="Hyperlink"/>
                </w:rPr>
                <w:t xml:space="preserve">ABI and </w:t>
              </w:r>
              <w:r w:rsidR="008D325D" w:rsidRPr="007F41DF">
                <w:rPr>
                  <w:rStyle w:val="Hyperlink"/>
                </w:rPr>
                <w:t>NSWBC</w:t>
              </w:r>
            </w:hyperlink>
            <w:r w:rsidR="008D325D">
              <w:t xml:space="preserve"> (p. </w:t>
            </w:r>
            <w:r w:rsidR="004C5910">
              <w:t>10</w:t>
            </w:r>
            <w:r w:rsidR="008D325D">
              <w:t xml:space="preserve">, para. </w:t>
            </w:r>
            <w:r w:rsidR="004C5910">
              <w:t>4.26</w:t>
            </w:r>
            <w:r w:rsidR="008D325D">
              <w:t>)</w:t>
            </w:r>
            <w:r w:rsidR="004C5910">
              <w:t xml:space="preserve"> agreed with the Commission’s ongoing review process.</w:t>
            </w:r>
            <w:r w:rsidR="008D325D">
              <w:t xml:space="preserve"> </w:t>
            </w:r>
          </w:p>
          <w:p w:rsidR="008D325D" w:rsidRDefault="008D325D" w:rsidP="008D325D"/>
          <w:p w:rsidR="004C5910" w:rsidRDefault="003F2216" w:rsidP="004C5910">
            <w:hyperlink r:id="rId60" w:history="1">
              <w:r w:rsidR="004C5910" w:rsidRPr="007213D7">
                <w:rPr>
                  <w:rStyle w:val="Hyperlink"/>
                </w:rPr>
                <w:t>MTA organisations</w:t>
              </w:r>
            </w:hyperlink>
            <w:r w:rsidR="004C5910">
              <w:t xml:space="preserve"> (p. 3) submitted that annual wage reviews should be used to deal with outstanding issues flowing from the review of transitional instruments.</w:t>
            </w:r>
          </w:p>
          <w:p w:rsidR="000668B6" w:rsidRPr="00930584" w:rsidRDefault="000668B6" w:rsidP="00DA364E"/>
        </w:tc>
      </w:tr>
    </w:tbl>
    <w:p w:rsidR="00124129" w:rsidRDefault="00124129" w:rsidP="004B6C63">
      <w:pPr>
        <w:tabs>
          <w:tab w:val="left" w:pos="2370"/>
        </w:tabs>
        <w:rPr>
          <w:b/>
        </w:rPr>
      </w:pPr>
    </w:p>
    <w:p w:rsidR="004B6C63" w:rsidRPr="00CC1BB4" w:rsidRDefault="004B6C63" w:rsidP="00653360">
      <w:pPr>
        <w:keepNext/>
        <w:tabs>
          <w:tab w:val="left" w:pos="2370"/>
        </w:tabs>
        <w:rPr>
          <w:b/>
        </w:rPr>
      </w:pPr>
      <w:r w:rsidRPr="00CC1BB4">
        <w:rPr>
          <w:b/>
        </w:rPr>
        <w:lastRenderedPageBreak/>
        <w:t>List of abbreviations (in alphabetical order)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9072"/>
      </w:tblGrid>
      <w:tr w:rsidR="00231B2C" w:rsidTr="00D81CAD">
        <w:tc>
          <w:tcPr>
            <w:tcW w:w="1809" w:type="dxa"/>
          </w:tcPr>
          <w:p w:rsidR="00231B2C" w:rsidRDefault="00231B2C" w:rsidP="00D81CAD">
            <w:pPr>
              <w:keepNext/>
              <w:tabs>
                <w:tab w:val="left" w:pos="2370"/>
              </w:tabs>
            </w:pPr>
            <w:r>
              <w:t>Ai Group</w:t>
            </w:r>
          </w:p>
        </w:tc>
        <w:tc>
          <w:tcPr>
            <w:tcW w:w="9072" w:type="dxa"/>
          </w:tcPr>
          <w:p w:rsidR="00231B2C" w:rsidRPr="00A350D1" w:rsidRDefault="00231B2C" w:rsidP="00D81CAD">
            <w:pPr>
              <w:keepNext/>
              <w:tabs>
                <w:tab w:val="left" w:pos="2370"/>
              </w:tabs>
            </w:pPr>
            <w:r>
              <w:t>Australian Industry Group</w:t>
            </w:r>
          </w:p>
        </w:tc>
      </w:tr>
      <w:tr w:rsidR="00046754" w:rsidTr="00D81CAD">
        <w:tc>
          <w:tcPr>
            <w:tcW w:w="1809" w:type="dxa"/>
          </w:tcPr>
          <w:p w:rsidR="00046754" w:rsidRDefault="007F7BF2" w:rsidP="00D81CAD">
            <w:pPr>
              <w:keepNext/>
              <w:tabs>
                <w:tab w:val="left" w:pos="2370"/>
              </w:tabs>
            </w:pPr>
            <w:r>
              <w:t xml:space="preserve">ABI and </w:t>
            </w:r>
            <w:r w:rsidR="00046754">
              <w:t>NSWBC</w:t>
            </w:r>
          </w:p>
        </w:tc>
        <w:tc>
          <w:tcPr>
            <w:tcW w:w="9072" w:type="dxa"/>
          </w:tcPr>
          <w:p w:rsidR="00046754" w:rsidRDefault="00046754" w:rsidP="00D81CAD">
            <w:pPr>
              <w:keepNext/>
              <w:tabs>
                <w:tab w:val="left" w:pos="2370"/>
              </w:tabs>
            </w:pPr>
            <w:r w:rsidRPr="00A350D1">
              <w:t>Australian Business Industrial, New South Wales Business Chamber</w:t>
            </w:r>
          </w:p>
        </w:tc>
      </w:tr>
      <w:tr w:rsidR="00D355D6" w:rsidTr="00F07FD1">
        <w:tc>
          <w:tcPr>
            <w:tcW w:w="1809" w:type="dxa"/>
          </w:tcPr>
          <w:p w:rsidR="00D355D6" w:rsidRDefault="00D355D6" w:rsidP="00653360">
            <w:pPr>
              <w:keepNext/>
              <w:tabs>
                <w:tab w:val="left" w:pos="2370"/>
              </w:tabs>
            </w:pPr>
            <w:r>
              <w:t>ACCI</w:t>
            </w:r>
          </w:p>
        </w:tc>
        <w:tc>
          <w:tcPr>
            <w:tcW w:w="9072" w:type="dxa"/>
          </w:tcPr>
          <w:p w:rsidR="00D355D6" w:rsidRDefault="00D355D6" w:rsidP="00653360">
            <w:pPr>
              <w:keepNext/>
              <w:tabs>
                <w:tab w:val="left" w:pos="2370"/>
              </w:tabs>
            </w:pPr>
            <w:r>
              <w:t>Australian Chamber of Commerce and Industry</w:t>
            </w:r>
          </w:p>
        </w:tc>
      </w:tr>
      <w:tr w:rsidR="00D355D6" w:rsidTr="00F07FD1">
        <w:tc>
          <w:tcPr>
            <w:tcW w:w="1809" w:type="dxa"/>
          </w:tcPr>
          <w:p w:rsidR="00D355D6" w:rsidRDefault="00D355D6" w:rsidP="00653360">
            <w:pPr>
              <w:keepNext/>
              <w:tabs>
                <w:tab w:val="left" w:pos="2370"/>
              </w:tabs>
            </w:pPr>
            <w:r>
              <w:t>ACOSS</w:t>
            </w:r>
          </w:p>
        </w:tc>
        <w:tc>
          <w:tcPr>
            <w:tcW w:w="9072" w:type="dxa"/>
          </w:tcPr>
          <w:p w:rsidR="00D355D6" w:rsidRDefault="00D355D6" w:rsidP="00653360">
            <w:pPr>
              <w:keepNext/>
              <w:tabs>
                <w:tab w:val="left" w:pos="2370"/>
              </w:tabs>
            </w:pPr>
            <w:r>
              <w:t>Australian Council of Social Service</w:t>
            </w:r>
          </w:p>
        </w:tc>
      </w:tr>
      <w:tr w:rsidR="00D355D6" w:rsidTr="00F07FD1">
        <w:tc>
          <w:tcPr>
            <w:tcW w:w="1809" w:type="dxa"/>
          </w:tcPr>
          <w:p w:rsidR="00D355D6" w:rsidRDefault="00D355D6" w:rsidP="00653360">
            <w:pPr>
              <w:keepNext/>
              <w:tabs>
                <w:tab w:val="left" w:pos="2370"/>
              </w:tabs>
            </w:pPr>
            <w:r>
              <w:t>ACTU</w:t>
            </w:r>
          </w:p>
        </w:tc>
        <w:tc>
          <w:tcPr>
            <w:tcW w:w="9072" w:type="dxa"/>
          </w:tcPr>
          <w:p w:rsidR="00D355D6" w:rsidRDefault="00D355D6" w:rsidP="00653360">
            <w:pPr>
              <w:keepNext/>
              <w:tabs>
                <w:tab w:val="left" w:pos="2370"/>
              </w:tabs>
            </w:pPr>
            <w:r>
              <w:t>Australian Council of Trade Unions</w:t>
            </w:r>
          </w:p>
        </w:tc>
      </w:tr>
      <w:tr w:rsidR="00F07FD1" w:rsidTr="00F07FD1">
        <w:tc>
          <w:tcPr>
            <w:tcW w:w="1809" w:type="dxa"/>
          </w:tcPr>
          <w:p w:rsidR="00F07FD1" w:rsidRDefault="00DE6A86" w:rsidP="00653360">
            <w:pPr>
              <w:keepNext/>
              <w:tabs>
                <w:tab w:val="left" w:pos="2370"/>
              </w:tabs>
            </w:pPr>
            <w:r>
              <w:t>All Trades</w:t>
            </w:r>
          </w:p>
        </w:tc>
        <w:tc>
          <w:tcPr>
            <w:tcW w:w="9072" w:type="dxa"/>
          </w:tcPr>
          <w:p w:rsidR="00F07FD1" w:rsidRPr="00A350D1" w:rsidRDefault="00DE6A86" w:rsidP="00653360">
            <w:pPr>
              <w:keepNext/>
              <w:tabs>
                <w:tab w:val="left" w:pos="2370"/>
              </w:tabs>
            </w:pPr>
            <w:r w:rsidRPr="002055F8">
              <w:rPr>
                <w:i/>
              </w:rPr>
              <w:t>All Trades Queensland Pty Limited</w:t>
            </w:r>
            <w:r>
              <w:t xml:space="preserve"> </w:t>
            </w:r>
            <w:r w:rsidRPr="00F6075B">
              <w:rPr>
                <w:rStyle w:val="FootnoteTextChar"/>
                <w:rFonts w:eastAsiaTheme="minorHAnsi"/>
                <w:sz w:val="24"/>
                <w:szCs w:val="24"/>
              </w:rPr>
              <w:t>[2016] FWC 2832</w:t>
            </w:r>
          </w:p>
        </w:tc>
      </w:tr>
      <w:tr w:rsidR="007329A9" w:rsidTr="00F07FD1">
        <w:tc>
          <w:tcPr>
            <w:tcW w:w="1809" w:type="dxa"/>
          </w:tcPr>
          <w:p w:rsidR="007329A9" w:rsidRDefault="007329A9" w:rsidP="00653360">
            <w:pPr>
              <w:keepNext/>
              <w:tabs>
                <w:tab w:val="left" w:pos="2370"/>
              </w:tabs>
            </w:pPr>
            <w:r>
              <w:t>APCS</w:t>
            </w:r>
          </w:p>
        </w:tc>
        <w:tc>
          <w:tcPr>
            <w:tcW w:w="9072" w:type="dxa"/>
          </w:tcPr>
          <w:p w:rsidR="007329A9" w:rsidRDefault="007329A9" w:rsidP="00653360">
            <w:pPr>
              <w:keepNext/>
              <w:tabs>
                <w:tab w:val="left" w:pos="2370"/>
              </w:tabs>
            </w:pPr>
            <w:r w:rsidRPr="007978D3">
              <w:t>Australian Pay and Classification Scale</w:t>
            </w:r>
            <w:r>
              <w:t>s</w:t>
            </w:r>
          </w:p>
        </w:tc>
      </w:tr>
      <w:tr w:rsidR="002E1B19" w:rsidTr="00F07FD1">
        <w:tc>
          <w:tcPr>
            <w:tcW w:w="1809" w:type="dxa"/>
          </w:tcPr>
          <w:p w:rsidR="002E1B19" w:rsidRDefault="002E1B19" w:rsidP="00653360">
            <w:pPr>
              <w:keepNext/>
              <w:tabs>
                <w:tab w:val="left" w:pos="2370"/>
              </w:tabs>
            </w:pPr>
            <w:r>
              <w:t>ASU</w:t>
            </w:r>
          </w:p>
        </w:tc>
        <w:tc>
          <w:tcPr>
            <w:tcW w:w="9072" w:type="dxa"/>
          </w:tcPr>
          <w:p w:rsidR="002E1B19" w:rsidRDefault="002E1B19" w:rsidP="00653360">
            <w:pPr>
              <w:keepNext/>
              <w:tabs>
                <w:tab w:val="left" w:pos="2370"/>
              </w:tabs>
            </w:pPr>
            <w:r>
              <w:t>Australian Services Union</w:t>
            </w:r>
          </w:p>
        </w:tc>
      </w:tr>
      <w:tr w:rsidR="007F7BF2" w:rsidTr="00F07FD1">
        <w:tc>
          <w:tcPr>
            <w:tcW w:w="1809" w:type="dxa"/>
          </w:tcPr>
          <w:p w:rsidR="007F7BF2" w:rsidRDefault="007F7BF2" w:rsidP="00653360">
            <w:pPr>
              <w:keepNext/>
              <w:tabs>
                <w:tab w:val="left" w:pos="2370"/>
              </w:tabs>
            </w:pPr>
            <w:r>
              <w:t>AWR</w:t>
            </w:r>
          </w:p>
        </w:tc>
        <w:tc>
          <w:tcPr>
            <w:tcW w:w="9072" w:type="dxa"/>
          </w:tcPr>
          <w:p w:rsidR="007F7BF2" w:rsidRPr="007F7BF2" w:rsidRDefault="007F7BF2" w:rsidP="00653360">
            <w:pPr>
              <w:keepNext/>
              <w:tabs>
                <w:tab w:val="left" w:pos="2370"/>
              </w:tabs>
            </w:pPr>
            <w:r>
              <w:t>Annual Wage Review</w:t>
            </w:r>
          </w:p>
        </w:tc>
      </w:tr>
      <w:tr w:rsidR="00FD0650" w:rsidTr="00F07FD1">
        <w:tc>
          <w:tcPr>
            <w:tcW w:w="1809" w:type="dxa"/>
          </w:tcPr>
          <w:p w:rsidR="00FD0650" w:rsidRDefault="00FD0650" w:rsidP="00653360">
            <w:pPr>
              <w:keepNext/>
              <w:tabs>
                <w:tab w:val="left" w:pos="2370"/>
              </w:tabs>
            </w:pPr>
            <w:r>
              <w:t>CFMEU C&amp;G</w:t>
            </w:r>
          </w:p>
        </w:tc>
        <w:tc>
          <w:tcPr>
            <w:tcW w:w="9072" w:type="dxa"/>
          </w:tcPr>
          <w:p w:rsidR="00FD0650" w:rsidRDefault="00F01ECE" w:rsidP="00653360">
            <w:pPr>
              <w:keepNext/>
              <w:tabs>
                <w:tab w:val="left" w:pos="2370"/>
              </w:tabs>
            </w:pPr>
            <w:r>
              <w:t>Construction, Forestry, Mining and Energy Union - Construction and General Division</w:t>
            </w:r>
          </w:p>
        </w:tc>
      </w:tr>
      <w:tr w:rsidR="00FD0650" w:rsidTr="00F07FD1">
        <w:tc>
          <w:tcPr>
            <w:tcW w:w="1809" w:type="dxa"/>
          </w:tcPr>
          <w:p w:rsidR="00FD0650" w:rsidRDefault="00FD0650" w:rsidP="00653360">
            <w:pPr>
              <w:keepNext/>
              <w:tabs>
                <w:tab w:val="left" w:pos="2370"/>
              </w:tabs>
            </w:pPr>
            <w:r>
              <w:t>CFMEU FFPD</w:t>
            </w:r>
          </w:p>
        </w:tc>
        <w:tc>
          <w:tcPr>
            <w:tcW w:w="9072" w:type="dxa"/>
          </w:tcPr>
          <w:p w:rsidR="00FD0650" w:rsidRDefault="00F01ECE" w:rsidP="00653360">
            <w:pPr>
              <w:keepNext/>
              <w:tabs>
                <w:tab w:val="left" w:pos="2370"/>
              </w:tabs>
            </w:pPr>
            <w:r w:rsidRPr="002A3155">
              <w:t>CFMEU Forestry, Mining and Energy Union – Forestry, Furnishing, Building Products and Manufacturing Division</w:t>
            </w:r>
          </w:p>
        </w:tc>
      </w:tr>
      <w:tr w:rsidR="00F01ECE" w:rsidTr="00F07FD1">
        <w:tc>
          <w:tcPr>
            <w:tcW w:w="1809" w:type="dxa"/>
          </w:tcPr>
          <w:p w:rsidR="00F01ECE" w:rsidRDefault="00F01ECE" w:rsidP="00653360">
            <w:pPr>
              <w:keepNext/>
              <w:tabs>
                <w:tab w:val="left" w:pos="2370"/>
              </w:tabs>
            </w:pPr>
            <w:r>
              <w:t>CPSU</w:t>
            </w:r>
          </w:p>
        </w:tc>
        <w:tc>
          <w:tcPr>
            <w:tcW w:w="9072" w:type="dxa"/>
          </w:tcPr>
          <w:p w:rsidR="00F01ECE" w:rsidRPr="002A3155" w:rsidRDefault="00F01ECE" w:rsidP="00653360">
            <w:pPr>
              <w:keepNext/>
              <w:tabs>
                <w:tab w:val="left" w:pos="2370"/>
              </w:tabs>
            </w:pPr>
            <w:r>
              <w:t>Community and Public Sector Union</w:t>
            </w:r>
          </w:p>
        </w:tc>
      </w:tr>
      <w:tr w:rsidR="00231B2C" w:rsidTr="00F07FD1">
        <w:tc>
          <w:tcPr>
            <w:tcW w:w="1809" w:type="dxa"/>
          </w:tcPr>
          <w:p w:rsidR="00231B2C" w:rsidRDefault="00231B2C" w:rsidP="00653360">
            <w:pPr>
              <w:keepNext/>
              <w:tabs>
                <w:tab w:val="left" w:pos="2370"/>
              </w:tabs>
            </w:pPr>
            <w:r>
              <w:t>Commission</w:t>
            </w:r>
          </w:p>
        </w:tc>
        <w:tc>
          <w:tcPr>
            <w:tcW w:w="9072" w:type="dxa"/>
          </w:tcPr>
          <w:p w:rsidR="00231B2C" w:rsidRDefault="00231B2C" w:rsidP="00653360">
            <w:pPr>
              <w:keepNext/>
              <w:tabs>
                <w:tab w:val="left" w:pos="2370"/>
              </w:tabs>
            </w:pPr>
            <w:r>
              <w:t>Fair Work Commission</w:t>
            </w:r>
          </w:p>
        </w:tc>
      </w:tr>
      <w:tr w:rsidR="00DE6A86" w:rsidTr="00F07FD1">
        <w:tc>
          <w:tcPr>
            <w:tcW w:w="1809" w:type="dxa"/>
          </w:tcPr>
          <w:p w:rsidR="00DE6A86" w:rsidRDefault="00DE6A86" w:rsidP="00653360">
            <w:pPr>
              <w:keepNext/>
              <w:tabs>
                <w:tab w:val="left" w:pos="2370"/>
              </w:tabs>
            </w:pPr>
            <w:r>
              <w:t>EA</w:t>
            </w:r>
          </w:p>
        </w:tc>
        <w:tc>
          <w:tcPr>
            <w:tcW w:w="9072" w:type="dxa"/>
          </w:tcPr>
          <w:p w:rsidR="00DE6A86" w:rsidRPr="00A350D1" w:rsidRDefault="00DE6A86" w:rsidP="00653360">
            <w:pPr>
              <w:keepNext/>
              <w:tabs>
                <w:tab w:val="left" w:pos="2370"/>
              </w:tabs>
            </w:pPr>
            <w:r>
              <w:t>Enterprise Agreement</w:t>
            </w:r>
          </w:p>
        </w:tc>
      </w:tr>
      <w:tr w:rsidR="007329A9" w:rsidTr="00F07FD1">
        <w:tc>
          <w:tcPr>
            <w:tcW w:w="1809" w:type="dxa"/>
          </w:tcPr>
          <w:p w:rsidR="007329A9" w:rsidRDefault="007329A9" w:rsidP="00653360">
            <w:pPr>
              <w:keepNext/>
              <w:tabs>
                <w:tab w:val="left" w:pos="2370"/>
              </w:tabs>
            </w:pPr>
            <w:r>
              <w:t>ERO</w:t>
            </w:r>
          </w:p>
        </w:tc>
        <w:tc>
          <w:tcPr>
            <w:tcW w:w="9072" w:type="dxa"/>
          </w:tcPr>
          <w:p w:rsidR="007329A9" w:rsidRDefault="007329A9" w:rsidP="00653360">
            <w:pPr>
              <w:keepNext/>
              <w:tabs>
                <w:tab w:val="left" w:pos="2370"/>
              </w:tabs>
            </w:pPr>
            <w:r>
              <w:t>Equal Remuneration Order</w:t>
            </w:r>
          </w:p>
        </w:tc>
      </w:tr>
      <w:tr w:rsidR="00CF3C93" w:rsidTr="00F07FD1">
        <w:tc>
          <w:tcPr>
            <w:tcW w:w="1809" w:type="dxa"/>
          </w:tcPr>
          <w:p w:rsidR="00CF3C93" w:rsidRDefault="00CF3C93" w:rsidP="00653360">
            <w:pPr>
              <w:keepNext/>
              <w:tabs>
                <w:tab w:val="left" w:pos="2370"/>
              </w:tabs>
            </w:pPr>
            <w:r>
              <w:t>HIA</w:t>
            </w:r>
          </w:p>
        </w:tc>
        <w:tc>
          <w:tcPr>
            <w:tcW w:w="9072" w:type="dxa"/>
          </w:tcPr>
          <w:p w:rsidR="00CF3C93" w:rsidRDefault="00CF3C93" w:rsidP="00653360">
            <w:pPr>
              <w:keepNext/>
              <w:tabs>
                <w:tab w:val="left" w:pos="2370"/>
              </w:tabs>
            </w:pPr>
            <w:r>
              <w:t>Housing Industry Association Ltd</w:t>
            </w:r>
          </w:p>
        </w:tc>
      </w:tr>
      <w:tr w:rsidR="00DE6A86" w:rsidTr="00F07FD1">
        <w:tc>
          <w:tcPr>
            <w:tcW w:w="1809" w:type="dxa"/>
          </w:tcPr>
          <w:p w:rsidR="00DE6A86" w:rsidRDefault="007B04BA" w:rsidP="00653360">
            <w:pPr>
              <w:keepNext/>
              <w:tabs>
                <w:tab w:val="left" w:pos="2370"/>
              </w:tabs>
            </w:pPr>
            <w:r>
              <w:t>LSL</w:t>
            </w:r>
          </w:p>
        </w:tc>
        <w:tc>
          <w:tcPr>
            <w:tcW w:w="9072" w:type="dxa"/>
          </w:tcPr>
          <w:p w:rsidR="00DE6A86" w:rsidRPr="00A350D1" w:rsidRDefault="007B04BA" w:rsidP="00653360">
            <w:pPr>
              <w:keepNext/>
              <w:tabs>
                <w:tab w:val="left" w:pos="2370"/>
              </w:tabs>
            </w:pPr>
            <w:r>
              <w:t>Long Service Leave</w:t>
            </w:r>
          </w:p>
        </w:tc>
      </w:tr>
      <w:tr w:rsidR="00DE6A86" w:rsidTr="00F07FD1">
        <w:tc>
          <w:tcPr>
            <w:tcW w:w="1809" w:type="dxa"/>
          </w:tcPr>
          <w:p w:rsidR="00DE6A86" w:rsidRDefault="00F01ECE" w:rsidP="00653360">
            <w:pPr>
              <w:keepNext/>
              <w:tabs>
                <w:tab w:val="left" w:pos="2370"/>
              </w:tabs>
            </w:pPr>
            <w:r>
              <w:t xml:space="preserve">MTA organisations </w:t>
            </w:r>
          </w:p>
        </w:tc>
        <w:tc>
          <w:tcPr>
            <w:tcW w:w="9072" w:type="dxa"/>
          </w:tcPr>
          <w:p w:rsidR="00DE6A86" w:rsidRPr="00A350D1" w:rsidRDefault="00F01ECE" w:rsidP="00653360">
            <w:pPr>
              <w:keepNext/>
              <w:tabs>
                <w:tab w:val="left" w:pos="2370"/>
              </w:tabs>
            </w:pPr>
            <w:r>
              <w:t>Motor Trade Association South Australia, Motor Trade Association NSW and Victorian Automobile Chamber of Commerce</w:t>
            </w:r>
          </w:p>
        </w:tc>
      </w:tr>
      <w:tr w:rsidR="002E1B19" w:rsidTr="00F07FD1">
        <w:tc>
          <w:tcPr>
            <w:tcW w:w="1809" w:type="dxa"/>
          </w:tcPr>
          <w:p w:rsidR="002E1B19" w:rsidRDefault="002E1B19" w:rsidP="00653360">
            <w:pPr>
              <w:keepNext/>
              <w:tabs>
                <w:tab w:val="left" w:pos="2370"/>
              </w:tabs>
            </w:pPr>
            <w:r>
              <w:t>NAPSA</w:t>
            </w:r>
          </w:p>
        </w:tc>
        <w:tc>
          <w:tcPr>
            <w:tcW w:w="9072" w:type="dxa"/>
          </w:tcPr>
          <w:p w:rsidR="002E1B19" w:rsidRDefault="002E1B19" w:rsidP="002E1B19">
            <w:pPr>
              <w:keepNext/>
              <w:tabs>
                <w:tab w:val="left" w:pos="1820"/>
              </w:tabs>
              <w:rPr>
                <w:lang w:eastAsia="en-AU"/>
              </w:rPr>
            </w:pPr>
            <w:r w:rsidRPr="00A4622C">
              <w:rPr>
                <w:rStyle w:val="field-content"/>
                <w:rFonts w:ascii="Helvetica Neue Light" w:hAnsi="Helvetica Neue Light"/>
                <w:lang w:val="en"/>
              </w:rPr>
              <w:t>Notional Agreements Preserving State Award</w:t>
            </w:r>
          </w:p>
        </w:tc>
      </w:tr>
      <w:tr w:rsidR="002E1B19" w:rsidTr="00F07FD1">
        <w:tc>
          <w:tcPr>
            <w:tcW w:w="1809" w:type="dxa"/>
          </w:tcPr>
          <w:p w:rsidR="002E1B19" w:rsidRDefault="002E1B19" w:rsidP="00653360">
            <w:pPr>
              <w:keepNext/>
              <w:tabs>
                <w:tab w:val="left" w:pos="2370"/>
              </w:tabs>
            </w:pPr>
            <w:r>
              <w:t>SACS</w:t>
            </w:r>
          </w:p>
        </w:tc>
        <w:tc>
          <w:tcPr>
            <w:tcW w:w="9072" w:type="dxa"/>
          </w:tcPr>
          <w:p w:rsidR="002E1B19" w:rsidRDefault="002E1B19" w:rsidP="00653360">
            <w:pPr>
              <w:keepNext/>
              <w:tabs>
                <w:tab w:val="left" w:pos="2370"/>
              </w:tabs>
            </w:pPr>
            <w:r>
              <w:rPr>
                <w:lang w:eastAsia="en-AU"/>
              </w:rPr>
              <w:t xml:space="preserve">Social and Community Services </w:t>
            </w:r>
          </w:p>
        </w:tc>
      </w:tr>
      <w:tr w:rsidR="00DE6A86" w:rsidTr="00F07FD1">
        <w:tc>
          <w:tcPr>
            <w:tcW w:w="1809" w:type="dxa"/>
          </w:tcPr>
          <w:p w:rsidR="00DE6A86" w:rsidRDefault="007B04BA" w:rsidP="00653360">
            <w:pPr>
              <w:keepNext/>
              <w:tabs>
                <w:tab w:val="left" w:pos="2370"/>
              </w:tabs>
            </w:pPr>
            <w:r>
              <w:t>TCFUA</w:t>
            </w:r>
          </w:p>
        </w:tc>
        <w:tc>
          <w:tcPr>
            <w:tcW w:w="9072" w:type="dxa"/>
          </w:tcPr>
          <w:p w:rsidR="00DE6A86" w:rsidRPr="00A350D1" w:rsidRDefault="007B04BA" w:rsidP="00653360">
            <w:pPr>
              <w:keepNext/>
              <w:tabs>
                <w:tab w:val="left" w:pos="2370"/>
              </w:tabs>
            </w:pPr>
            <w:r>
              <w:t>Textile</w:t>
            </w:r>
            <w:r w:rsidRPr="00A603F6">
              <w:t xml:space="preserve"> Clothing &amp; Footwear Union of Australia</w:t>
            </w:r>
          </w:p>
        </w:tc>
      </w:tr>
      <w:tr w:rsidR="007329A9" w:rsidTr="00F07FD1">
        <w:tc>
          <w:tcPr>
            <w:tcW w:w="1809" w:type="dxa"/>
          </w:tcPr>
          <w:p w:rsidR="007329A9" w:rsidRDefault="007329A9" w:rsidP="00653360">
            <w:pPr>
              <w:keepNext/>
              <w:tabs>
                <w:tab w:val="left" w:pos="2370"/>
              </w:tabs>
            </w:pPr>
            <w:r>
              <w:t>TPEO</w:t>
            </w:r>
          </w:p>
        </w:tc>
        <w:tc>
          <w:tcPr>
            <w:tcW w:w="9072" w:type="dxa"/>
          </w:tcPr>
          <w:p w:rsidR="007329A9" w:rsidRPr="00A4622C" w:rsidRDefault="007329A9" w:rsidP="00653360">
            <w:pPr>
              <w:keepNext/>
              <w:tabs>
                <w:tab w:val="left" w:pos="2370"/>
              </w:tabs>
              <w:rPr>
                <w:i/>
              </w:rPr>
            </w:pPr>
            <w:r>
              <w:rPr>
                <w:lang w:eastAsia="en-AU"/>
              </w:rPr>
              <w:t>Transitional Pay Equity Order</w:t>
            </w:r>
          </w:p>
        </w:tc>
      </w:tr>
      <w:tr w:rsidR="00DE6A86" w:rsidTr="00F07FD1">
        <w:tc>
          <w:tcPr>
            <w:tcW w:w="1809" w:type="dxa"/>
          </w:tcPr>
          <w:p w:rsidR="00DE6A86" w:rsidRDefault="007329A9" w:rsidP="00653360">
            <w:pPr>
              <w:keepNext/>
              <w:tabs>
                <w:tab w:val="left" w:pos="2370"/>
              </w:tabs>
            </w:pPr>
            <w:r>
              <w:t>Transitional Act</w:t>
            </w:r>
          </w:p>
        </w:tc>
        <w:tc>
          <w:tcPr>
            <w:tcW w:w="9072" w:type="dxa"/>
          </w:tcPr>
          <w:p w:rsidR="00DE6A86" w:rsidRPr="00A350D1" w:rsidRDefault="007329A9" w:rsidP="00653360">
            <w:pPr>
              <w:keepNext/>
              <w:tabs>
                <w:tab w:val="left" w:pos="2370"/>
              </w:tabs>
            </w:pPr>
            <w:r w:rsidRPr="00A4622C">
              <w:rPr>
                <w:i/>
              </w:rPr>
              <w:t>Fair Work (Transitional Provisions and Consequential Amendments Act 2009</w:t>
            </w:r>
            <w:r w:rsidRPr="001A5BEC">
              <w:t xml:space="preserve"> (</w:t>
            </w:r>
            <w:r>
              <w:t>C</w:t>
            </w:r>
            <w:r w:rsidRPr="00972D7B">
              <w:t>th)</w:t>
            </w:r>
          </w:p>
        </w:tc>
      </w:tr>
      <w:tr w:rsidR="00DE6A86" w:rsidTr="00F07FD1">
        <w:tc>
          <w:tcPr>
            <w:tcW w:w="1809" w:type="dxa"/>
          </w:tcPr>
          <w:p w:rsidR="00DE6A86" w:rsidRDefault="00DE6A86" w:rsidP="007329A9">
            <w:pPr>
              <w:keepNext/>
              <w:tabs>
                <w:tab w:val="left" w:pos="2370"/>
              </w:tabs>
              <w:jc w:val="center"/>
            </w:pPr>
          </w:p>
        </w:tc>
        <w:tc>
          <w:tcPr>
            <w:tcW w:w="9072" w:type="dxa"/>
          </w:tcPr>
          <w:p w:rsidR="00DE6A86" w:rsidRPr="00A350D1" w:rsidRDefault="00DE6A86" w:rsidP="00653360">
            <w:pPr>
              <w:keepNext/>
              <w:tabs>
                <w:tab w:val="left" w:pos="2370"/>
              </w:tabs>
            </w:pPr>
          </w:p>
        </w:tc>
      </w:tr>
    </w:tbl>
    <w:p w:rsidR="004B6C63" w:rsidRDefault="004B6C63" w:rsidP="00DD2DD4">
      <w:pPr>
        <w:tabs>
          <w:tab w:val="left" w:pos="2370"/>
        </w:tabs>
      </w:pPr>
    </w:p>
    <w:sectPr w:rsidR="004B6C63" w:rsidSect="00227BA1">
      <w:footerReference w:type="default" r:id="rId6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73F" w:rsidRDefault="008F773F" w:rsidP="00E43447">
      <w:pPr>
        <w:spacing w:after="0" w:line="240" w:lineRule="auto"/>
      </w:pPr>
      <w:r>
        <w:separator/>
      </w:r>
    </w:p>
  </w:endnote>
  <w:endnote w:type="continuationSeparator" w:id="0">
    <w:p w:rsidR="008F773F" w:rsidRDefault="008F773F" w:rsidP="00E43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Helvetica Neue 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highlight w:val="yellow"/>
      </w:rPr>
      <w:id w:val="289940542"/>
      <w:docPartObj>
        <w:docPartGallery w:val="Page Numbers (Bottom of Page)"/>
        <w:docPartUnique/>
      </w:docPartObj>
    </w:sdtPr>
    <w:sdtEndPr>
      <w:rPr>
        <w:highlight w:val="none"/>
      </w:rPr>
    </w:sdtEndPr>
    <w:sdtContent>
      <w:p w:rsidR="008F773F" w:rsidRPr="00FA3D55" w:rsidRDefault="008F773F">
        <w:pPr>
          <w:pStyle w:val="Footer"/>
          <w:jc w:val="right"/>
        </w:pPr>
        <w:r w:rsidRPr="00FA3D55">
          <w:fldChar w:fldCharType="begin"/>
        </w:r>
        <w:r w:rsidRPr="00FA3D55">
          <w:instrText xml:space="preserve"> PAGE   \* MERGEFORMAT </w:instrText>
        </w:r>
        <w:r w:rsidRPr="00FA3D55">
          <w:fldChar w:fldCharType="separate"/>
        </w:r>
        <w:r w:rsidR="003F2216">
          <w:rPr>
            <w:noProof/>
          </w:rPr>
          <w:t>1</w:t>
        </w:r>
        <w:r w:rsidRPr="00FA3D55">
          <w:rPr>
            <w:noProof/>
          </w:rPr>
          <w:fldChar w:fldCharType="end"/>
        </w:r>
      </w:p>
    </w:sdtContent>
  </w:sdt>
  <w:p w:rsidR="008F773F" w:rsidRDefault="005B6862">
    <w:pPr>
      <w:pStyle w:val="Footer"/>
    </w:pPr>
    <w:r>
      <w:t>21 October</w:t>
    </w:r>
    <w:r w:rsidR="00677792">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73F" w:rsidRDefault="008F773F" w:rsidP="00E43447">
      <w:pPr>
        <w:spacing w:after="0" w:line="240" w:lineRule="auto"/>
      </w:pPr>
      <w:r>
        <w:separator/>
      </w:r>
    </w:p>
  </w:footnote>
  <w:footnote w:type="continuationSeparator" w:id="0">
    <w:p w:rsidR="008F773F" w:rsidRDefault="008F773F" w:rsidP="00E43447">
      <w:pPr>
        <w:spacing w:after="0" w:line="240" w:lineRule="auto"/>
      </w:pPr>
      <w:r>
        <w:continuationSeparator/>
      </w:r>
    </w:p>
  </w:footnote>
  <w:footnote w:id="1">
    <w:p w:rsidR="009A7A71" w:rsidRPr="00374B2C" w:rsidRDefault="009A7A71" w:rsidP="009A7A71">
      <w:pPr>
        <w:pStyle w:val="FootnoteText"/>
        <w:rPr>
          <w:lang w:val="en-AU"/>
        </w:rPr>
      </w:pPr>
      <w:r>
        <w:rPr>
          <w:rStyle w:val="FootnoteReference"/>
        </w:rPr>
        <w:footnoteRef/>
      </w:r>
      <w:r>
        <w:t xml:space="preserve"> </w:t>
      </w:r>
      <w:r>
        <w:rPr>
          <w:lang w:val="en-AU"/>
        </w:rPr>
        <w:t>AP826201.</w:t>
      </w:r>
    </w:p>
  </w:footnote>
  <w:footnote w:id="2">
    <w:p w:rsidR="00DB3A21" w:rsidRPr="00D85D28" w:rsidRDefault="00DB3A21" w:rsidP="00DB3A21">
      <w:pPr>
        <w:rPr>
          <w:lang w:eastAsia="en-AU"/>
        </w:rPr>
      </w:pPr>
      <w:r w:rsidRPr="00EB3543">
        <w:rPr>
          <w:rStyle w:val="FootnoteReference"/>
          <w:sz w:val="18"/>
          <w:szCs w:val="18"/>
        </w:rPr>
        <w:footnoteRef/>
      </w:r>
      <w:r w:rsidRPr="00DD07ED">
        <w:rPr>
          <w:rStyle w:val="FootnoteReference"/>
        </w:rPr>
        <w:t xml:space="preserve"> </w:t>
      </w:r>
      <w:r w:rsidRPr="00247F2E">
        <w:rPr>
          <w:rStyle w:val="FootnoteTextChar"/>
          <w:rFonts w:eastAsiaTheme="minorHAnsi"/>
        </w:rPr>
        <w:t>[2016] FWC 2832.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F2582"/>
    <w:multiLevelType w:val="singleLevel"/>
    <w:tmpl w:val="7A2EA904"/>
    <w:lvl w:ilvl="0">
      <w:start w:val="1"/>
      <w:numFmt w:val="bullet"/>
      <w:pStyle w:val="BulletLevel1"/>
      <w:lvlText w:val=""/>
      <w:lvlJc w:val="left"/>
      <w:pPr>
        <w:ind w:left="1211" w:hanging="360"/>
      </w:pPr>
      <w:rPr>
        <w:rFonts w:ascii="Symbol" w:hAnsi="Symbol" w:hint="default"/>
        <w:sz w:val="22"/>
      </w:rPr>
    </w:lvl>
  </w:abstractNum>
  <w:abstractNum w:abstractNumId="1">
    <w:nsid w:val="32BE5EAA"/>
    <w:multiLevelType w:val="hybridMultilevel"/>
    <w:tmpl w:val="F5D6A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BF744D3"/>
    <w:multiLevelType w:val="hybridMultilevel"/>
    <w:tmpl w:val="0A86F81E"/>
    <w:lvl w:ilvl="0" w:tplc="AB706C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BF82A37"/>
    <w:multiLevelType w:val="hybridMultilevel"/>
    <w:tmpl w:val="A1D864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7835551F"/>
    <w:multiLevelType w:val="hybridMultilevel"/>
    <w:tmpl w:val="0A86F81E"/>
    <w:lvl w:ilvl="0" w:tplc="AB706C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drawingGridHorizontalSpacing w:val="120"/>
  <w:displayHorizont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8A3"/>
    <w:rsid w:val="00000048"/>
    <w:rsid w:val="000001A1"/>
    <w:rsid w:val="0000168B"/>
    <w:rsid w:val="000078E5"/>
    <w:rsid w:val="000119B6"/>
    <w:rsid w:val="00012DBA"/>
    <w:rsid w:val="00015655"/>
    <w:rsid w:val="000225DE"/>
    <w:rsid w:val="0002629A"/>
    <w:rsid w:val="00027B5A"/>
    <w:rsid w:val="00030B14"/>
    <w:rsid w:val="00031DDF"/>
    <w:rsid w:val="000409D4"/>
    <w:rsid w:val="0004151B"/>
    <w:rsid w:val="00044BCD"/>
    <w:rsid w:val="000452F3"/>
    <w:rsid w:val="00045E2F"/>
    <w:rsid w:val="00046754"/>
    <w:rsid w:val="000473B5"/>
    <w:rsid w:val="00053676"/>
    <w:rsid w:val="00056A2E"/>
    <w:rsid w:val="0006144A"/>
    <w:rsid w:val="0006604E"/>
    <w:rsid w:val="000668B6"/>
    <w:rsid w:val="00066BB0"/>
    <w:rsid w:val="00071CC8"/>
    <w:rsid w:val="00074035"/>
    <w:rsid w:val="0007563D"/>
    <w:rsid w:val="00077894"/>
    <w:rsid w:val="00083900"/>
    <w:rsid w:val="00084D1C"/>
    <w:rsid w:val="0009002F"/>
    <w:rsid w:val="00092181"/>
    <w:rsid w:val="00092357"/>
    <w:rsid w:val="0009383E"/>
    <w:rsid w:val="000A1FFC"/>
    <w:rsid w:val="000A21AE"/>
    <w:rsid w:val="000A5244"/>
    <w:rsid w:val="000B217C"/>
    <w:rsid w:val="000B45BB"/>
    <w:rsid w:val="000C0187"/>
    <w:rsid w:val="000D018F"/>
    <w:rsid w:val="000D0637"/>
    <w:rsid w:val="000D232C"/>
    <w:rsid w:val="000D608E"/>
    <w:rsid w:val="000E2FE9"/>
    <w:rsid w:val="000E3EE1"/>
    <w:rsid w:val="000F0482"/>
    <w:rsid w:val="000F3324"/>
    <w:rsid w:val="000F71B2"/>
    <w:rsid w:val="000F722C"/>
    <w:rsid w:val="00106DD4"/>
    <w:rsid w:val="00111D47"/>
    <w:rsid w:val="00111EB0"/>
    <w:rsid w:val="00114F04"/>
    <w:rsid w:val="00117EF9"/>
    <w:rsid w:val="0012083C"/>
    <w:rsid w:val="00124129"/>
    <w:rsid w:val="001256E2"/>
    <w:rsid w:val="00126ABD"/>
    <w:rsid w:val="00133388"/>
    <w:rsid w:val="00133989"/>
    <w:rsid w:val="001528FB"/>
    <w:rsid w:val="00154259"/>
    <w:rsid w:val="0015460E"/>
    <w:rsid w:val="00156C38"/>
    <w:rsid w:val="0016239B"/>
    <w:rsid w:val="001673CF"/>
    <w:rsid w:val="001750D4"/>
    <w:rsid w:val="001753FE"/>
    <w:rsid w:val="00176090"/>
    <w:rsid w:val="00176CEA"/>
    <w:rsid w:val="0018205A"/>
    <w:rsid w:val="0018363B"/>
    <w:rsid w:val="00183A6F"/>
    <w:rsid w:val="001864D9"/>
    <w:rsid w:val="001950C7"/>
    <w:rsid w:val="00197653"/>
    <w:rsid w:val="00197CF3"/>
    <w:rsid w:val="001A6E91"/>
    <w:rsid w:val="001D32F2"/>
    <w:rsid w:val="001D463D"/>
    <w:rsid w:val="001D75F0"/>
    <w:rsid w:val="001E3768"/>
    <w:rsid w:val="001E419B"/>
    <w:rsid w:val="001E68CD"/>
    <w:rsid w:val="001F2C68"/>
    <w:rsid w:val="001F4C6F"/>
    <w:rsid w:val="001F7085"/>
    <w:rsid w:val="00207834"/>
    <w:rsid w:val="00212053"/>
    <w:rsid w:val="00224744"/>
    <w:rsid w:val="00227BA1"/>
    <w:rsid w:val="00231B2C"/>
    <w:rsid w:val="002343E8"/>
    <w:rsid w:val="002348A3"/>
    <w:rsid w:val="00240FAD"/>
    <w:rsid w:val="00242A4C"/>
    <w:rsid w:val="002525CC"/>
    <w:rsid w:val="00255D36"/>
    <w:rsid w:val="00256625"/>
    <w:rsid w:val="00264031"/>
    <w:rsid w:val="00270AA4"/>
    <w:rsid w:val="00280398"/>
    <w:rsid w:val="002844F1"/>
    <w:rsid w:val="0028555C"/>
    <w:rsid w:val="00286783"/>
    <w:rsid w:val="00296F0A"/>
    <w:rsid w:val="002A46FD"/>
    <w:rsid w:val="002B6869"/>
    <w:rsid w:val="002B7126"/>
    <w:rsid w:val="002C31FE"/>
    <w:rsid w:val="002C4688"/>
    <w:rsid w:val="002D37F3"/>
    <w:rsid w:val="002D3B6D"/>
    <w:rsid w:val="002E0279"/>
    <w:rsid w:val="002E0FC7"/>
    <w:rsid w:val="002E1B19"/>
    <w:rsid w:val="002E2EEF"/>
    <w:rsid w:val="002F124F"/>
    <w:rsid w:val="002F346F"/>
    <w:rsid w:val="00305F3D"/>
    <w:rsid w:val="00311D58"/>
    <w:rsid w:val="00315157"/>
    <w:rsid w:val="003177F5"/>
    <w:rsid w:val="003234D4"/>
    <w:rsid w:val="00325403"/>
    <w:rsid w:val="003302CC"/>
    <w:rsid w:val="0033554B"/>
    <w:rsid w:val="0034243A"/>
    <w:rsid w:val="003424E5"/>
    <w:rsid w:val="00352496"/>
    <w:rsid w:val="00353D35"/>
    <w:rsid w:val="00357D66"/>
    <w:rsid w:val="00360CA0"/>
    <w:rsid w:val="00360E6C"/>
    <w:rsid w:val="00363E0C"/>
    <w:rsid w:val="00364D46"/>
    <w:rsid w:val="003650B3"/>
    <w:rsid w:val="003723B7"/>
    <w:rsid w:val="00373451"/>
    <w:rsid w:val="00376B41"/>
    <w:rsid w:val="00381DD2"/>
    <w:rsid w:val="00391F72"/>
    <w:rsid w:val="003960F9"/>
    <w:rsid w:val="00397C25"/>
    <w:rsid w:val="003A1201"/>
    <w:rsid w:val="003A37A3"/>
    <w:rsid w:val="003A640A"/>
    <w:rsid w:val="003C03D0"/>
    <w:rsid w:val="003C2654"/>
    <w:rsid w:val="003C3F3D"/>
    <w:rsid w:val="003C4F3A"/>
    <w:rsid w:val="003C5CA3"/>
    <w:rsid w:val="003D0702"/>
    <w:rsid w:val="003D718E"/>
    <w:rsid w:val="003E009C"/>
    <w:rsid w:val="003E2060"/>
    <w:rsid w:val="003E40A0"/>
    <w:rsid w:val="003E51EF"/>
    <w:rsid w:val="003F2216"/>
    <w:rsid w:val="003F2550"/>
    <w:rsid w:val="003F29C1"/>
    <w:rsid w:val="0040184C"/>
    <w:rsid w:val="00412F81"/>
    <w:rsid w:val="00414B07"/>
    <w:rsid w:val="004157D6"/>
    <w:rsid w:val="004269DF"/>
    <w:rsid w:val="00440BCA"/>
    <w:rsid w:val="00447055"/>
    <w:rsid w:val="00451283"/>
    <w:rsid w:val="00451A69"/>
    <w:rsid w:val="004622C4"/>
    <w:rsid w:val="0046677F"/>
    <w:rsid w:val="00467C64"/>
    <w:rsid w:val="004740C7"/>
    <w:rsid w:val="004865F3"/>
    <w:rsid w:val="00493130"/>
    <w:rsid w:val="00493302"/>
    <w:rsid w:val="00493BCA"/>
    <w:rsid w:val="0049694F"/>
    <w:rsid w:val="004A0F6E"/>
    <w:rsid w:val="004A3202"/>
    <w:rsid w:val="004A4923"/>
    <w:rsid w:val="004A5BFD"/>
    <w:rsid w:val="004A7422"/>
    <w:rsid w:val="004A77F6"/>
    <w:rsid w:val="004B0061"/>
    <w:rsid w:val="004B6BF2"/>
    <w:rsid w:val="004B6C63"/>
    <w:rsid w:val="004C084B"/>
    <w:rsid w:val="004C407B"/>
    <w:rsid w:val="004C5857"/>
    <w:rsid w:val="004C5910"/>
    <w:rsid w:val="004D75BF"/>
    <w:rsid w:val="004E3EC3"/>
    <w:rsid w:val="004E4C1B"/>
    <w:rsid w:val="004F0547"/>
    <w:rsid w:val="004F0F59"/>
    <w:rsid w:val="004F10C0"/>
    <w:rsid w:val="004F5F55"/>
    <w:rsid w:val="004F7C14"/>
    <w:rsid w:val="00502910"/>
    <w:rsid w:val="0050593E"/>
    <w:rsid w:val="005101B0"/>
    <w:rsid w:val="0051159C"/>
    <w:rsid w:val="00512841"/>
    <w:rsid w:val="005216A1"/>
    <w:rsid w:val="00523372"/>
    <w:rsid w:val="00530571"/>
    <w:rsid w:val="0053629F"/>
    <w:rsid w:val="00540133"/>
    <w:rsid w:val="005406B1"/>
    <w:rsid w:val="0054343E"/>
    <w:rsid w:val="005448CD"/>
    <w:rsid w:val="005458FB"/>
    <w:rsid w:val="005509A5"/>
    <w:rsid w:val="00557E3E"/>
    <w:rsid w:val="005636B6"/>
    <w:rsid w:val="005760A4"/>
    <w:rsid w:val="00576638"/>
    <w:rsid w:val="00580AFA"/>
    <w:rsid w:val="0058155A"/>
    <w:rsid w:val="005850CF"/>
    <w:rsid w:val="00585105"/>
    <w:rsid w:val="00590194"/>
    <w:rsid w:val="00593314"/>
    <w:rsid w:val="00594103"/>
    <w:rsid w:val="00595BED"/>
    <w:rsid w:val="00595E99"/>
    <w:rsid w:val="005A6E5C"/>
    <w:rsid w:val="005B1BD4"/>
    <w:rsid w:val="005B223C"/>
    <w:rsid w:val="005B6862"/>
    <w:rsid w:val="005C4718"/>
    <w:rsid w:val="005C5550"/>
    <w:rsid w:val="005C590A"/>
    <w:rsid w:val="005D29EA"/>
    <w:rsid w:val="005D438E"/>
    <w:rsid w:val="005E0CCF"/>
    <w:rsid w:val="005E4427"/>
    <w:rsid w:val="005E5FDF"/>
    <w:rsid w:val="005E6FD7"/>
    <w:rsid w:val="005F2EB7"/>
    <w:rsid w:val="005F3340"/>
    <w:rsid w:val="005F375B"/>
    <w:rsid w:val="005F3BCA"/>
    <w:rsid w:val="005F6573"/>
    <w:rsid w:val="005F692E"/>
    <w:rsid w:val="005F74EB"/>
    <w:rsid w:val="0060439B"/>
    <w:rsid w:val="00610CC8"/>
    <w:rsid w:val="00612A47"/>
    <w:rsid w:val="0061544D"/>
    <w:rsid w:val="006215CB"/>
    <w:rsid w:val="00622A2A"/>
    <w:rsid w:val="00626A1C"/>
    <w:rsid w:val="00633882"/>
    <w:rsid w:val="00633F26"/>
    <w:rsid w:val="006356F2"/>
    <w:rsid w:val="00635B0F"/>
    <w:rsid w:val="00637633"/>
    <w:rsid w:val="00637B13"/>
    <w:rsid w:val="00637B6A"/>
    <w:rsid w:val="00642FCB"/>
    <w:rsid w:val="00644A3B"/>
    <w:rsid w:val="00644F8F"/>
    <w:rsid w:val="00653360"/>
    <w:rsid w:val="00655D34"/>
    <w:rsid w:val="0065694D"/>
    <w:rsid w:val="00657502"/>
    <w:rsid w:val="0066718A"/>
    <w:rsid w:val="0067335C"/>
    <w:rsid w:val="00677792"/>
    <w:rsid w:val="00677DD5"/>
    <w:rsid w:val="00682B8C"/>
    <w:rsid w:val="00684654"/>
    <w:rsid w:val="0068466B"/>
    <w:rsid w:val="006850D9"/>
    <w:rsid w:val="00686246"/>
    <w:rsid w:val="00686B7E"/>
    <w:rsid w:val="006909A3"/>
    <w:rsid w:val="00691BD3"/>
    <w:rsid w:val="00695D3F"/>
    <w:rsid w:val="006962AB"/>
    <w:rsid w:val="0069673A"/>
    <w:rsid w:val="00696FDE"/>
    <w:rsid w:val="006A0A2F"/>
    <w:rsid w:val="006A0A37"/>
    <w:rsid w:val="006A27AF"/>
    <w:rsid w:val="006B0FBF"/>
    <w:rsid w:val="006B172B"/>
    <w:rsid w:val="006B21E4"/>
    <w:rsid w:val="006C22B6"/>
    <w:rsid w:val="006C28FF"/>
    <w:rsid w:val="006C7468"/>
    <w:rsid w:val="006D5DCD"/>
    <w:rsid w:val="006E1AC1"/>
    <w:rsid w:val="006E280A"/>
    <w:rsid w:val="006E3CCD"/>
    <w:rsid w:val="006F0D85"/>
    <w:rsid w:val="006F294C"/>
    <w:rsid w:val="006F62DE"/>
    <w:rsid w:val="006F7700"/>
    <w:rsid w:val="006F7D29"/>
    <w:rsid w:val="00702915"/>
    <w:rsid w:val="0070294E"/>
    <w:rsid w:val="00706318"/>
    <w:rsid w:val="0070779A"/>
    <w:rsid w:val="00712800"/>
    <w:rsid w:val="00715D3D"/>
    <w:rsid w:val="007213D7"/>
    <w:rsid w:val="007278D5"/>
    <w:rsid w:val="00727FA0"/>
    <w:rsid w:val="007329A9"/>
    <w:rsid w:val="007369FD"/>
    <w:rsid w:val="007507AA"/>
    <w:rsid w:val="00751DCF"/>
    <w:rsid w:val="00752D53"/>
    <w:rsid w:val="00752EC0"/>
    <w:rsid w:val="0075739E"/>
    <w:rsid w:val="00760A83"/>
    <w:rsid w:val="00761F20"/>
    <w:rsid w:val="00770B60"/>
    <w:rsid w:val="007823C1"/>
    <w:rsid w:val="00784FDE"/>
    <w:rsid w:val="007867FE"/>
    <w:rsid w:val="0079233F"/>
    <w:rsid w:val="007A5B98"/>
    <w:rsid w:val="007B04BA"/>
    <w:rsid w:val="007B3500"/>
    <w:rsid w:val="007C33CB"/>
    <w:rsid w:val="007C64C9"/>
    <w:rsid w:val="007C6CBD"/>
    <w:rsid w:val="007D4813"/>
    <w:rsid w:val="007E0DCD"/>
    <w:rsid w:val="007E555B"/>
    <w:rsid w:val="007E5948"/>
    <w:rsid w:val="007F3CC8"/>
    <w:rsid w:val="007F41DF"/>
    <w:rsid w:val="007F7BF2"/>
    <w:rsid w:val="0080511F"/>
    <w:rsid w:val="0081332E"/>
    <w:rsid w:val="00813EA3"/>
    <w:rsid w:val="0082153F"/>
    <w:rsid w:val="008248CF"/>
    <w:rsid w:val="008252D5"/>
    <w:rsid w:val="00830534"/>
    <w:rsid w:val="0083554F"/>
    <w:rsid w:val="008404AD"/>
    <w:rsid w:val="008412C5"/>
    <w:rsid w:val="008429EA"/>
    <w:rsid w:val="008436C3"/>
    <w:rsid w:val="0084380E"/>
    <w:rsid w:val="00847491"/>
    <w:rsid w:val="008506F9"/>
    <w:rsid w:val="008556A6"/>
    <w:rsid w:val="00855CE1"/>
    <w:rsid w:val="00856425"/>
    <w:rsid w:val="0086143F"/>
    <w:rsid w:val="008639DD"/>
    <w:rsid w:val="00872397"/>
    <w:rsid w:val="008756DE"/>
    <w:rsid w:val="00875CDC"/>
    <w:rsid w:val="008835F9"/>
    <w:rsid w:val="00886D6C"/>
    <w:rsid w:val="00891487"/>
    <w:rsid w:val="00894C1F"/>
    <w:rsid w:val="008A1394"/>
    <w:rsid w:val="008A3CBF"/>
    <w:rsid w:val="008A3F7E"/>
    <w:rsid w:val="008A4EA0"/>
    <w:rsid w:val="008A5ECB"/>
    <w:rsid w:val="008A78F1"/>
    <w:rsid w:val="008A7D68"/>
    <w:rsid w:val="008B1B91"/>
    <w:rsid w:val="008C62CC"/>
    <w:rsid w:val="008D0208"/>
    <w:rsid w:val="008D050B"/>
    <w:rsid w:val="008D20FF"/>
    <w:rsid w:val="008D2CF8"/>
    <w:rsid w:val="008D325D"/>
    <w:rsid w:val="008D3FAE"/>
    <w:rsid w:val="008D5B94"/>
    <w:rsid w:val="008D73E0"/>
    <w:rsid w:val="008D7E4D"/>
    <w:rsid w:val="008D7F31"/>
    <w:rsid w:val="008E41EA"/>
    <w:rsid w:val="008E4A70"/>
    <w:rsid w:val="008F67A9"/>
    <w:rsid w:val="008F773F"/>
    <w:rsid w:val="008F7D1B"/>
    <w:rsid w:val="0090046B"/>
    <w:rsid w:val="009014A7"/>
    <w:rsid w:val="00901D65"/>
    <w:rsid w:val="00902025"/>
    <w:rsid w:val="0090299C"/>
    <w:rsid w:val="00903382"/>
    <w:rsid w:val="00905895"/>
    <w:rsid w:val="00916A9C"/>
    <w:rsid w:val="0091785D"/>
    <w:rsid w:val="009210CB"/>
    <w:rsid w:val="009213A5"/>
    <w:rsid w:val="00921BBB"/>
    <w:rsid w:val="00926B4F"/>
    <w:rsid w:val="00927BBE"/>
    <w:rsid w:val="00930584"/>
    <w:rsid w:val="00930C9E"/>
    <w:rsid w:val="00932928"/>
    <w:rsid w:val="00935B63"/>
    <w:rsid w:val="00937F0C"/>
    <w:rsid w:val="009402C7"/>
    <w:rsid w:val="00940CF7"/>
    <w:rsid w:val="0094787A"/>
    <w:rsid w:val="00951D64"/>
    <w:rsid w:val="00954825"/>
    <w:rsid w:val="00955E32"/>
    <w:rsid w:val="0095627C"/>
    <w:rsid w:val="0097607C"/>
    <w:rsid w:val="009838C0"/>
    <w:rsid w:val="009946AB"/>
    <w:rsid w:val="009A29C7"/>
    <w:rsid w:val="009A448F"/>
    <w:rsid w:val="009A5230"/>
    <w:rsid w:val="009A7A71"/>
    <w:rsid w:val="009B6D48"/>
    <w:rsid w:val="009B6DC5"/>
    <w:rsid w:val="009C158B"/>
    <w:rsid w:val="009C20B4"/>
    <w:rsid w:val="009C773C"/>
    <w:rsid w:val="009C7747"/>
    <w:rsid w:val="009D1472"/>
    <w:rsid w:val="009D1D7F"/>
    <w:rsid w:val="009D1F96"/>
    <w:rsid w:val="009D47A5"/>
    <w:rsid w:val="009E0384"/>
    <w:rsid w:val="009E4243"/>
    <w:rsid w:val="009E6039"/>
    <w:rsid w:val="009E6775"/>
    <w:rsid w:val="009E71F4"/>
    <w:rsid w:val="009E7338"/>
    <w:rsid w:val="00A114B2"/>
    <w:rsid w:val="00A13013"/>
    <w:rsid w:val="00A17EEC"/>
    <w:rsid w:val="00A2260C"/>
    <w:rsid w:val="00A22723"/>
    <w:rsid w:val="00A22844"/>
    <w:rsid w:val="00A26770"/>
    <w:rsid w:val="00A3548D"/>
    <w:rsid w:val="00A35BAB"/>
    <w:rsid w:val="00A3778E"/>
    <w:rsid w:val="00A4693B"/>
    <w:rsid w:val="00A50166"/>
    <w:rsid w:val="00A5179D"/>
    <w:rsid w:val="00A579EB"/>
    <w:rsid w:val="00A608BC"/>
    <w:rsid w:val="00A6682C"/>
    <w:rsid w:val="00A711D1"/>
    <w:rsid w:val="00A716C3"/>
    <w:rsid w:val="00A716DA"/>
    <w:rsid w:val="00A86BD1"/>
    <w:rsid w:val="00A872F9"/>
    <w:rsid w:val="00A87FE0"/>
    <w:rsid w:val="00A913BC"/>
    <w:rsid w:val="00A91736"/>
    <w:rsid w:val="00A91896"/>
    <w:rsid w:val="00A92075"/>
    <w:rsid w:val="00A925BD"/>
    <w:rsid w:val="00A928D3"/>
    <w:rsid w:val="00A95CFF"/>
    <w:rsid w:val="00A97C2C"/>
    <w:rsid w:val="00AA14EC"/>
    <w:rsid w:val="00AA7B9B"/>
    <w:rsid w:val="00AB2989"/>
    <w:rsid w:val="00AB3B91"/>
    <w:rsid w:val="00AB3D00"/>
    <w:rsid w:val="00AC05B2"/>
    <w:rsid w:val="00AC1362"/>
    <w:rsid w:val="00AC7D6D"/>
    <w:rsid w:val="00AD0330"/>
    <w:rsid w:val="00AE04EF"/>
    <w:rsid w:val="00AE270F"/>
    <w:rsid w:val="00AE37AB"/>
    <w:rsid w:val="00AE63E8"/>
    <w:rsid w:val="00AE7018"/>
    <w:rsid w:val="00AF0ED7"/>
    <w:rsid w:val="00AF1D4F"/>
    <w:rsid w:val="00AF2E08"/>
    <w:rsid w:val="00AF3921"/>
    <w:rsid w:val="00B017F0"/>
    <w:rsid w:val="00B037FE"/>
    <w:rsid w:val="00B05DAB"/>
    <w:rsid w:val="00B12EB9"/>
    <w:rsid w:val="00B13B5E"/>
    <w:rsid w:val="00B160F1"/>
    <w:rsid w:val="00B20A5E"/>
    <w:rsid w:val="00B226C8"/>
    <w:rsid w:val="00B22B3D"/>
    <w:rsid w:val="00B2640D"/>
    <w:rsid w:val="00B26708"/>
    <w:rsid w:val="00B30285"/>
    <w:rsid w:val="00B417CD"/>
    <w:rsid w:val="00B41FA5"/>
    <w:rsid w:val="00B436B5"/>
    <w:rsid w:val="00B46ACA"/>
    <w:rsid w:val="00B519B0"/>
    <w:rsid w:val="00B609E4"/>
    <w:rsid w:val="00B61EBB"/>
    <w:rsid w:val="00B6225B"/>
    <w:rsid w:val="00B670C9"/>
    <w:rsid w:val="00B672B8"/>
    <w:rsid w:val="00B67518"/>
    <w:rsid w:val="00B67F84"/>
    <w:rsid w:val="00B700FC"/>
    <w:rsid w:val="00B75FAD"/>
    <w:rsid w:val="00B77B75"/>
    <w:rsid w:val="00B77EF3"/>
    <w:rsid w:val="00B83DB7"/>
    <w:rsid w:val="00BA219C"/>
    <w:rsid w:val="00BA22C8"/>
    <w:rsid w:val="00BA3CFF"/>
    <w:rsid w:val="00BA6F87"/>
    <w:rsid w:val="00BB3BB7"/>
    <w:rsid w:val="00BB5639"/>
    <w:rsid w:val="00BC0584"/>
    <w:rsid w:val="00BC2FA8"/>
    <w:rsid w:val="00BC42BD"/>
    <w:rsid w:val="00BD2A5F"/>
    <w:rsid w:val="00BD3A49"/>
    <w:rsid w:val="00BD3BD0"/>
    <w:rsid w:val="00BD5307"/>
    <w:rsid w:val="00BE116E"/>
    <w:rsid w:val="00BE7744"/>
    <w:rsid w:val="00BF1600"/>
    <w:rsid w:val="00BF3034"/>
    <w:rsid w:val="00BF592C"/>
    <w:rsid w:val="00BF72E6"/>
    <w:rsid w:val="00C02685"/>
    <w:rsid w:val="00C0396A"/>
    <w:rsid w:val="00C040E0"/>
    <w:rsid w:val="00C119DB"/>
    <w:rsid w:val="00C1504A"/>
    <w:rsid w:val="00C17CFD"/>
    <w:rsid w:val="00C22AF7"/>
    <w:rsid w:val="00C23C63"/>
    <w:rsid w:val="00C30B10"/>
    <w:rsid w:val="00C312F4"/>
    <w:rsid w:val="00C342E9"/>
    <w:rsid w:val="00C4262F"/>
    <w:rsid w:val="00C52D5D"/>
    <w:rsid w:val="00C52D76"/>
    <w:rsid w:val="00C53DB0"/>
    <w:rsid w:val="00C561C6"/>
    <w:rsid w:val="00C5771E"/>
    <w:rsid w:val="00C57832"/>
    <w:rsid w:val="00C67740"/>
    <w:rsid w:val="00C72E7B"/>
    <w:rsid w:val="00C7449D"/>
    <w:rsid w:val="00C754C9"/>
    <w:rsid w:val="00C82503"/>
    <w:rsid w:val="00C82FA3"/>
    <w:rsid w:val="00C91671"/>
    <w:rsid w:val="00C929A1"/>
    <w:rsid w:val="00C97E65"/>
    <w:rsid w:val="00CA0E00"/>
    <w:rsid w:val="00CA1648"/>
    <w:rsid w:val="00CA23C3"/>
    <w:rsid w:val="00CB1610"/>
    <w:rsid w:val="00CB7BE9"/>
    <w:rsid w:val="00CC47CF"/>
    <w:rsid w:val="00CD43D1"/>
    <w:rsid w:val="00CE1F61"/>
    <w:rsid w:val="00CE67CC"/>
    <w:rsid w:val="00CE7076"/>
    <w:rsid w:val="00CF168E"/>
    <w:rsid w:val="00CF2D15"/>
    <w:rsid w:val="00CF3C93"/>
    <w:rsid w:val="00CF3F17"/>
    <w:rsid w:val="00CF6B3A"/>
    <w:rsid w:val="00D00B10"/>
    <w:rsid w:val="00D03437"/>
    <w:rsid w:val="00D10087"/>
    <w:rsid w:val="00D10F8C"/>
    <w:rsid w:val="00D112DA"/>
    <w:rsid w:val="00D12A4E"/>
    <w:rsid w:val="00D12D29"/>
    <w:rsid w:val="00D13BBA"/>
    <w:rsid w:val="00D203D2"/>
    <w:rsid w:val="00D20B2F"/>
    <w:rsid w:val="00D24E9D"/>
    <w:rsid w:val="00D3138D"/>
    <w:rsid w:val="00D355D6"/>
    <w:rsid w:val="00D574D3"/>
    <w:rsid w:val="00D57F25"/>
    <w:rsid w:val="00D66722"/>
    <w:rsid w:val="00D66DFD"/>
    <w:rsid w:val="00D67BBF"/>
    <w:rsid w:val="00D828E2"/>
    <w:rsid w:val="00D86523"/>
    <w:rsid w:val="00D8693A"/>
    <w:rsid w:val="00D86B4C"/>
    <w:rsid w:val="00D87ED3"/>
    <w:rsid w:val="00D920A8"/>
    <w:rsid w:val="00D93410"/>
    <w:rsid w:val="00D93C4C"/>
    <w:rsid w:val="00D93F7F"/>
    <w:rsid w:val="00D978A0"/>
    <w:rsid w:val="00DA364E"/>
    <w:rsid w:val="00DA365E"/>
    <w:rsid w:val="00DA62CA"/>
    <w:rsid w:val="00DA7398"/>
    <w:rsid w:val="00DB094B"/>
    <w:rsid w:val="00DB3A21"/>
    <w:rsid w:val="00DB5FEB"/>
    <w:rsid w:val="00DB71D0"/>
    <w:rsid w:val="00DC172F"/>
    <w:rsid w:val="00DC5460"/>
    <w:rsid w:val="00DD135D"/>
    <w:rsid w:val="00DD2DD4"/>
    <w:rsid w:val="00DD33E7"/>
    <w:rsid w:val="00DD3AD3"/>
    <w:rsid w:val="00DE1CA1"/>
    <w:rsid w:val="00DE2179"/>
    <w:rsid w:val="00DE5A43"/>
    <w:rsid w:val="00DE6A86"/>
    <w:rsid w:val="00DF2BCB"/>
    <w:rsid w:val="00DF7151"/>
    <w:rsid w:val="00E0391F"/>
    <w:rsid w:val="00E07FA1"/>
    <w:rsid w:val="00E200D9"/>
    <w:rsid w:val="00E20CE6"/>
    <w:rsid w:val="00E237B1"/>
    <w:rsid w:val="00E2415F"/>
    <w:rsid w:val="00E2799B"/>
    <w:rsid w:val="00E300DE"/>
    <w:rsid w:val="00E31D05"/>
    <w:rsid w:val="00E3606D"/>
    <w:rsid w:val="00E40B69"/>
    <w:rsid w:val="00E425BC"/>
    <w:rsid w:val="00E43136"/>
    <w:rsid w:val="00E43447"/>
    <w:rsid w:val="00E43AC9"/>
    <w:rsid w:val="00E43B50"/>
    <w:rsid w:val="00E45494"/>
    <w:rsid w:val="00E458DB"/>
    <w:rsid w:val="00E50EF1"/>
    <w:rsid w:val="00E57EDE"/>
    <w:rsid w:val="00E63342"/>
    <w:rsid w:val="00E67602"/>
    <w:rsid w:val="00E73E22"/>
    <w:rsid w:val="00E77577"/>
    <w:rsid w:val="00E8160B"/>
    <w:rsid w:val="00E83EC9"/>
    <w:rsid w:val="00E851EE"/>
    <w:rsid w:val="00E92963"/>
    <w:rsid w:val="00E93E84"/>
    <w:rsid w:val="00E95C80"/>
    <w:rsid w:val="00EA3B72"/>
    <w:rsid w:val="00EB1F7D"/>
    <w:rsid w:val="00EB3158"/>
    <w:rsid w:val="00EB3DA5"/>
    <w:rsid w:val="00EC46A2"/>
    <w:rsid w:val="00ED05CA"/>
    <w:rsid w:val="00ED0A67"/>
    <w:rsid w:val="00ED333B"/>
    <w:rsid w:val="00EE0F41"/>
    <w:rsid w:val="00EE24B7"/>
    <w:rsid w:val="00EF001B"/>
    <w:rsid w:val="00EF3313"/>
    <w:rsid w:val="00EF7154"/>
    <w:rsid w:val="00F01ECE"/>
    <w:rsid w:val="00F03B52"/>
    <w:rsid w:val="00F069E5"/>
    <w:rsid w:val="00F07FD1"/>
    <w:rsid w:val="00F10AE7"/>
    <w:rsid w:val="00F13275"/>
    <w:rsid w:val="00F14682"/>
    <w:rsid w:val="00F14AEB"/>
    <w:rsid w:val="00F1590A"/>
    <w:rsid w:val="00F2254D"/>
    <w:rsid w:val="00F23C00"/>
    <w:rsid w:val="00F25238"/>
    <w:rsid w:val="00F252C8"/>
    <w:rsid w:val="00F33AED"/>
    <w:rsid w:val="00F369E1"/>
    <w:rsid w:val="00F36A82"/>
    <w:rsid w:val="00F42C15"/>
    <w:rsid w:val="00F449F7"/>
    <w:rsid w:val="00F45763"/>
    <w:rsid w:val="00F45866"/>
    <w:rsid w:val="00F50037"/>
    <w:rsid w:val="00F502F9"/>
    <w:rsid w:val="00F5166A"/>
    <w:rsid w:val="00F537D5"/>
    <w:rsid w:val="00F553EB"/>
    <w:rsid w:val="00F558E7"/>
    <w:rsid w:val="00F56B24"/>
    <w:rsid w:val="00F57902"/>
    <w:rsid w:val="00F60CBF"/>
    <w:rsid w:val="00F6207A"/>
    <w:rsid w:val="00F721E9"/>
    <w:rsid w:val="00F74DC8"/>
    <w:rsid w:val="00F77EEB"/>
    <w:rsid w:val="00F8053A"/>
    <w:rsid w:val="00F80663"/>
    <w:rsid w:val="00F80707"/>
    <w:rsid w:val="00F83594"/>
    <w:rsid w:val="00F846AE"/>
    <w:rsid w:val="00F84B0A"/>
    <w:rsid w:val="00F8587F"/>
    <w:rsid w:val="00F868AA"/>
    <w:rsid w:val="00F86D86"/>
    <w:rsid w:val="00F922F7"/>
    <w:rsid w:val="00F942F2"/>
    <w:rsid w:val="00F94D38"/>
    <w:rsid w:val="00FA0534"/>
    <w:rsid w:val="00FA066F"/>
    <w:rsid w:val="00FA2726"/>
    <w:rsid w:val="00FA3468"/>
    <w:rsid w:val="00FA3D55"/>
    <w:rsid w:val="00FA50D9"/>
    <w:rsid w:val="00FA5153"/>
    <w:rsid w:val="00FB4A21"/>
    <w:rsid w:val="00FB4B55"/>
    <w:rsid w:val="00FB5A07"/>
    <w:rsid w:val="00FC7EA9"/>
    <w:rsid w:val="00FD0650"/>
    <w:rsid w:val="00FD1C0E"/>
    <w:rsid w:val="00FD5F91"/>
    <w:rsid w:val="00FD7010"/>
    <w:rsid w:val="00FD7677"/>
    <w:rsid w:val="00FD7BF5"/>
    <w:rsid w:val="00FE02BE"/>
    <w:rsid w:val="00FE102D"/>
    <w:rsid w:val="00FE1831"/>
    <w:rsid w:val="00FE20C6"/>
    <w:rsid w:val="00FE72AB"/>
    <w:rsid w:val="00FE74A9"/>
    <w:rsid w:val="00FE7A6E"/>
    <w:rsid w:val="00FF07FD"/>
    <w:rsid w:val="00FF371F"/>
    <w:rsid w:val="00FF3BB3"/>
    <w:rsid w:val="00FF4E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9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48A3"/>
    <w:rPr>
      <w:color w:val="0000FF" w:themeColor="hyperlink"/>
      <w:u w:val="single"/>
    </w:rPr>
  </w:style>
  <w:style w:type="table" w:styleId="TableGrid">
    <w:name w:val="Table Grid"/>
    <w:basedOn w:val="TableNormal"/>
    <w:uiPriority w:val="59"/>
    <w:rsid w:val="00234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3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447"/>
  </w:style>
  <w:style w:type="paragraph" w:styleId="Footer">
    <w:name w:val="footer"/>
    <w:basedOn w:val="Normal"/>
    <w:link w:val="FooterChar"/>
    <w:uiPriority w:val="99"/>
    <w:unhideWhenUsed/>
    <w:rsid w:val="00E434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447"/>
  </w:style>
  <w:style w:type="paragraph" w:styleId="BalloonText">
    <w:name w:val="Balloon Text"/>
    <w:basedOn w:val="Normal"/>
    <w:link w:val="BalloonTextChar"/>
    <w:uiPriority w:val="99"/>
    <w:semiHidden/>
    <w:unhideWhenUsed/>
    <w:rsid w:val="00E43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447"/>
    <w:rPr>
      <w:rFonts w:ascii="Tahoma" w:hAnsi="Tahoma" w:cs="Tahoma"/>
      <w:sz w:val="16"/>
      <w:szCs w:val="16"/>
    </w:rPr>
  </w:style>
  <w:style w:type="paragraph" w:styleId="ListParagraph">
    <w:name w:val="List Paragraph"/>
    <w:basedOn w:val="Normal"/>
    <w:uiPriority w:val="34"/>
    <w:qFormat/>
    <w:rsid w:val="00240FAD"/>
    <w:pPr>
      <w:ind w:left="720"/>
      <w:contextualSpacing/>
    </w:pPr>
  </w:style>
  <w:style w:type="character" w:styleId="FollowedHyperlink">
    <w:name w:val="FollowedHyperlink"/>
    <w:basedOn w:val="DefaultParagraphFont"/>
    <w:uiPriority w:val="99"/>
    <w:semiHidden/>
    <w:unhideWhenUsed/>
    <w:rsid w:val="008A3CBF"/>
    <w:rPr>
      <w:color w:val="800080" w:themeColor="followedHyperlink"/>
      <w:u w:val="single"/>
    </w:rPr>
  </w:style>
  <w:style w:type="paragraph" w:customStyle="1" w:styleId="BulletLevel1">
    <w:name w:val="Bullet Level 1"/>
    <w:basedOn w:val="Normal"/>
    <w:next w:val="Normal"/>
    <w:rsid w:val="009402C7"/>
    <w:pPr>
      <w:numPr>
        <w:numId w:val="4"/>
      </w:numPr>
      <w:spacing w:after="0" w:line="240" w:lineRule="auto"/>
      <w:jc w:val="both"/>
    </w:pPr>
    <w:rPr>
      <w:rFonts w:eastAsia="Times New Roman"/>
      <w:szCs w:val="20"/>
      <w:lang w:val="en-GB"/>
    </w:rPr>
  </w:style>
  <w:style w:type="paragraph" w:customStyle="1" w:styleId="Default">
    <w:name w:val="Default"/>
    <w:rsid w:val="00B67F84"/>
    <w:pPr>
      <w:autoSpaceDE w:val="0"/>
      <w:autoSpaceDN w:val="0"/>
      <w:adjustRightInd w:val="0"/>
      <w:spacing w:after="0" w:line="240" w:lineRule="auto"/>
    </w:pPr>
    <w:rPr>
      <w:color w:val="000000"/>
    </w:rPr>
  </w:style>
  <w:style w:type="character" w:styleId="CommentReference">
    <w:name w:val="annotation reference"/>
    <w:basedOn w:val="DefaultParagraphFont"/>
    <w:uiPriority w:val="99"/>
    <w:semiHidden/>
    <w:unhideWhenUsed/>
    <w:rsid w:val="008D3FAE"/>
    <w:rPr>
      <w:sz w:val="16"/>
      <w:szCs w:val="16"/>
    </w:rPr>
  </w:style>
  <w:style w:type="paragraph" w:styleId="CommentText">
    <w:name w:val="annotation text"/>
    <w:basedOn w:val="Normal"/>
    <w:link w:val="CommentTextChar"/>
    <w:uiPriority w:val="99"/>
    <w:semiHidden/>
    <w:unhideWhenUsed/>
    <w:rsid w:val="008D3FAE"/>
    <w:pPr>
      <w:spacing w:line="240" w:lineRule="auto"/>
    </w:pPr>
    <w:rPr>
      <w:sz w:val="20"/>
      <w:szCs w:val="20"/>
    </w:rPr>
  </w:style>
  <w:style w:type="character" w:customStyle="1" w:styleId="CommentTextChar">
    <w:name w:val="Comment Text Char"/>
    <w:basedOn w:val="DefaultParagraphFont"/>
    <w:link w:val="CommentText"/>
    <w:uiPriority w:val="99"/>
    <w:semiHidden/>
    <w:rsid w:val="008D3FAE"/>
    <w:rPr>
      <w:sz w:val="20"/>
      <w:szCs w:val="20"/>
    </w:rPr>
  </w:style>
  <w:style w:type="paragraph" w:styleId="CommentSubject">
    <w:name w:val="annotation subject"/>
    <w:basedOn w:val="CommentText"/>
    <w:next w:val="CommentText"/>
    <w:link w:val="CommentSubjectChar"/>
    <w:uiPriority w:val="99"/>
    <w:semiHidden/>
    <w:unhideWhenUsed/>
    <w:rsid w:val="008D3FAE"/>
    <w:rPr>
      <w:b/>
      <w:bCs/>
    </w:rPr>
  </w:style>
  <w:style w:type="character" w:customStyle="1" w:styleId="CommentSubjectChar">
    <w:name w:val="Comment Subject Char"/>
    <w:basedOn w:val="CommentTextChar"/>
    <w:link w:val="CommentSubject"/>
    <w:uiPriority w:val="99"/>
    <w:semiHidden/>
    <w:rsid w:val="008D3FAE"/>
    <w:rPr>
      <w:b/>
      <w:bCs/>
      <w:sz w:val="20"/>
      <w:szCs w:val="20"/>
    </w:rPr>
  </w:style>
  <w:style w:type="paragraph" w:styleId="FootnoteText">
    <w:name w:val="footnote text"/>
    <w:aliases w:val="Footnote Text Char1,Footnote Text Char2 Char,Footnote Text Char1 Char Char1,Footnote Text Char Char Char Char1,Footnote Text Char Char1 Char1,Footnote Text Char1 Char1"/>
    <w:basedOn w:val="Normal"/>
    <w:link w:val="FootnoteTextChar"/>
    <w:rsid w:val="00CF3F17"/>
    <w:pPr>
      <w:tabs>
        <w:tab w:val="left" w:pos="284"/>
      </w:tabs>
      <w:spacing w:before="60" w:after="0" w:line="230" w:lineRule="exact"/>
      <w:ind w:left="284" w:hanging="284"/>
    </w:pPr>
    <w:rPr>
      <w:rFonts w:eastAsia="Times New Roman"/>
      <w:sz w:val="18"/>
      <w:szCs w:val="20"/>
      <w:lang w:val="en-GB"/>
    </w:rPr>
  </w:style>
  <w:style w:type="character" w:customStyle="1" w:styleId="FootnoteTextChar">
    <w:name w:val="Footnote Text Char"/>
    <w:aliases w:val="Footnote Text Char1 Char,Footnote Text Char2 Char Char,Footnote Text Char1 Char Char1 Char,Footnote Text Char Char Char Char1 Char,Footnote Text Char Char1 Char1 Char,Footnote Text Char1 Char1 Char"/>
    <w:basedOn w:val="DefaultParagraphFont"/>
    <w:link w:val="FootnoteText"/>
    <w:rsid w:val="00CF3F17"/>
    <w:rPr>
      <w:rFonts w:eastAsia="Times New Roman"/>
      <w:sz w:val="18"/>
      <w:szCs w:val="20"/>
      <w:lang w:val="en-GB"/>
    </w:rPr>
  </w:style>
  <w:style w:type="character" w:styleId="FootnoteReference">
    <w:name w:val="footnote reference"/>
    <w:basedOn w:val="DefaultParagraphFont"/>
    <w:rsid w:val="00CF3F17"/>
    <w:rPr>
      <w:vertAlign w:val="superscript"/>
    </w:rPr>
  </w:style>
  <w:style w:type="character" w:customStyle="1" w:styleId="field-content">
    <w:name w:val="field-content"/>
    <w:basedOn w:val="DefaultParagraphFont"/>
    <w:rsid w:val="002E1B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9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48A3"/>
    <w:rPr>
      <w:color w:val="0000FF" w:themeColor="hyperlink"/>
      <w:u w:val="single"/>
    </w:rPr>
  </w:style>
  <w:style w:type="table" w:styleId="TableGrid">
    <w:name w:val="Table Grid"/>
    <w:basedOn w:val="TableNormal"/>
    <w:uiPriority w:val="59"/>
    <w:rsid w:val="00234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3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447"/>
  </w:style>
  <w:style w:type="paragraph" w:styleId="Footer">
    <w:name w:val="footer"/>
    <w:basedOn w:val="Normal"/>
    <w:link w:val="FooterChar"/>
    <w:uiPriority w:val="99"/>
    <w:unhideWhenUsed/>
    <w:rsid w:val="00E434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447"/>
  </w:style>
  <w:style w:type="paragraph" w:styleId="BalloonText">
    <w:name w:val="Balloon Text"/>
    <w:basedOn w:val="Normal"/>
    <w:link w:val="BalloonTextChar"/>
    <w:uiPriority w:val="99"/>
    <w:semiHidden/>
    <w:unhideWhenUsed/>
    <w:rsid w:val="00E43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447"/>
    <w:rPr>
      <w:rFonts w:ascii="Tahoma" w:hAnsi="Tahoma" w:cs="Tahoma"/>
      <w:sz w:val="16"/>
      <w:szCs w:val="16"/>
    </w:rPr>
  </w:style>
  <w:style w:type="paragraph" w:styleId="ListParagraph">
    <w:name w:val="List Paragraph"/>
    <w:basedOn w:val="Normal"/>
    <w:uiPriority w:val="34"/>
    <w:qFormat/>
    <w:rsid w:val="00240FAD"/>
    <w:pPr>
      <w:ind w:left="720"/>
      <w:contextualSpacing/>
    </w:pPr>
  </w:style>
  <w:style w:type="character" w:styleId="FollowedHyperlink">
    <w:name w:val="FollowedHyperlink"/>
    <w:basedOn w:val="DefaultParagraphFont"/>
    <w:uiPriority w:val="99"/>
    <w:semiHidden/>
    <w:unhideWhenUsed/>
    <w:rsid w:val="008A3CBF"/>
    <w:rPr>
      <w:color w:val="800080" w:themeColor="followedHyperlink"/>
      <w:u w:val="single"/>
    </w:rPr>
  </w:style>
  <w:style w:type="paragraph" w:customStyle="1" w:styleId="BulletLevel1">
    <w:name w:val="Bullet Level 1"/>
    <w:basedOn w:val="Normal"/>
    <w:next w:val="Normal"/>
    <w:rsid w:val="009402C7"/>
    <w:pPr>
      <w:numPr>
        <w:numId w:val="4"/>
      </w:numPr>
      <w:spacing w:after="0" w:line="240" w:lineRule="auto"/>
      <w:jc w:val="both"/>
    </w:pPr>
    <w:rPr>
      <w:rFonts w:eastAsia="Times New Roman"/>
      <w:szCs w:val="20"/>
      <w:lang w:val="en-GB"/>
    </w:rPr>
  </w:style>
  <w:style w:type="paragraph" w:customStyle="1" w:styleId="Default">
    <w:name w:val="Default"/>
    <w:rsid w:val="00B67F84"/>
    <w:pPr>
      <w:autoSpaceDE w:val="0"/>
      <w:autoSpaceDN w:val="0"/>
      <w:adjustRightInd w:val="0"/>
      <w:spacing w:after="0" w:line="240" w:lineRule="auto"/>
    </w:pPr>
    <w:rPr>
      <w:color w:val="000000"/>
    </w:rPr>
  </w:style>
  <w:style w:type="character" w:styleId="CommentReference">
    <w:name w:val="annotation reference"/>
    <w:basedOn w:val="DefaultParagraphFont"/>
    <w:uiPriority w:val="99"/>
    <w:semiHidden/>
    <w:unhideWhenUsed/>
    <w:rsid w:val="008D3FAE"/>
    <w:rPr>
      <w:sz w:val="16"/>
      <w:szCs w:val="16"/>
    </w:rPr>
  </w:style>
  <w:style w:type="paragraph" w:styleId="CommentText">
    <w:name w:val="annotation text"/>
    <w:basedOn w:val="Normal"/>
    <w:link w:val="CommentTextChar"/>
    <w:uiPriority w:val="99"/>
    <w:semiHidden/>
    <w:unhideWhenUsed/>
    <w:rsid w:val="008D3FAE"/>
    <w:pPr>
      <w:spacing w:line="240" w:lineRule="auto"/>
    </w:pPr>
    <w:rPr>
      <w:sz w:val="20"/>
      <w:szCs w:val="20"/>
    </w:rPr>
  </w:style>
  <w:style w:type="character" w:customStyle="1" w:styleId="CommentTextChar">
    <w:name w:val="Comment Text Char"/>
    <w:basedOn w:val="DefaultParagraphFont"/>
    <w:link w:val="CommentText"/>
    <w:uiPriority w:val="99"/>
    <w:semiHidden/>
    <w:rsid w:val="008D3FAE"/>
    <w:rPr>
      <w:sz w:val="20"/>
      <w:szCs w:val="20"/>
    </w:rPr>
  </w:style>
  <w:style w:type="paragraph" w:styleId="CommentSubject">
    <w:name w:val="annotation subject"/>
    <w:basedOn w:val="CommentText"/>
    <w:next w:val="CommentText"/>
    <w:link w:val="CommentSubjectChar"/>
    <w:uiPriority w:val="99"/>
    <w:semiHidden/>
    <w:unhideWhenUsed/>
    <w:rsid w:val="008D3FAE"/>
    <w:rPr>
      <w:b/>
      <w:bCs/>
    </w:rPr>
  </w:style>
  <w:style w:type="character" w:customStyle="1" w:styleId="CommentSubjectChar">
    <w:name w:val="Comment Subject Char"/>
    <w:basedOn w:val="CommentTextChar"/>
    <w:link w:val="CommentSubject"/>
    <w:uiPriority w:val="99"/>
    <w:semiHidden/>
    <w:rsid w:val="008D3FAE"/>
    <w:rPr>
      <w:b/>
      <w:bCs/>
      <w:sz w:val="20"/>
      <w:szCs w:val="20"/>
    </w:rPr>
  </w:style>
  <w:style w:type="paragraph" w:styleId="FootnoteText">
    <w:name w:val="footnote text"/>
    <w:aliases w:val="Footnote Text Char1,Footnote Text Char2 Char,Footnote Text Char1 Char Char1,Footnote Text Char Char Char Char1,Footnote Text Char Char1 Char1,Footnote Text Char1 Char1"/>
    <w:basedOn w:val="Normal"/>
    <w:link w:val="FootnoteTextChar"/>
    <w:rsid w:val="00CF3F17"/>
    <w:pPr>
      <w:tabs>
        <w:tab w:val="left" w:pos="284"/>
      </w:tabs>
      <w:spacing w:before="60" w:after="0" w:line="230" w:lineRule="exact"/>
      <w:ind w:left="284" w:hanging="284"/>
    </w:pPr>
    <w:rPr>
      <w:rFonts w:eastAsia="Times New Roman"/>
      <w:sz w:val="18"/>
      <w:szCs w:val="20"/>
      <w:lang w:val="en-GB"/>
    </w:rPr>
  </w:style>
  <w:style w:type="character" w:customStyle="1" w:styleId="FootnoteTextChar">
    <w:name w:val="Footnote Text Char"/>
    <w:aliases w:val="Footnote Text Char1 Char,Footnote Text Char2 Char Char,Footnote Text Char1 Char Char1 Char,Footnote Text Char Char Char Char1 Char,Footnote Text Char Char1 Char1 Char,Footnote Text Char1 Char1 Char"/>
    <w:basedOn w:val="DefaultParagraphFont"/>
    <w:link w:val="FootnoteText"/>
    <w:rsid w:val="00CF3F17"/>
    <w:rPr>
      <w:rFonts w:eastAsia="Times New Roman"/>
      <w:sz w:val="18"/>
      <w:szCs w:val="20"/>
      <w:lang w:val="en-GB"/>
    </w:rPr>
  </w:style>
  <w:style w:type="character" w:styleId="FootnoteReference">
    <w:name w:val="footnote reference"/>
    <w:basedOn w:val="DefaultParagraphFont"/>
    <w:rsid w:val="00CF3F17"/>
    <w:rPr>
      <w:vertAlign w:val="superscript"/>
    </w:rPr>
  </w:style>
  <w:style w:type="character" w:customStyle="1" w:styleId="field-content">
    <w:name w:val="field-content"/>
    <w:basedOn w:val="DefaultParagraphFont"/>
    <w:rsid w:val="002E1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5715">
      <w:bodyDiv w:val="1"/>
      <w:marLeft w:val="0"/>
      <w:marRight w:val="0"/>
      <w:marTop w:val="0"/>
      <w:marBottom w:val="0"/>
      <w:divBdr>
        <w:top w:val="none" w:sz="0" w:space="0" w:color="auto"/>
        <w:left w:val="none" w:sz="0" w:space="0" w:color="auto"/>
        <w:bottom w:val="none" w:sz="0" w:space="0" w:color="auto"/>
        <w:right w:val="none" w:sz="0" w:space="0" w:color="auto"/>
      </w:divBdr>
    </w:div>
    <w:div w:id="620692082">
      <w:bodyDiv w:val="1"/>
      <w:marLeft w:val="0"/>
      <w:marRight w:val="0"/>
      <w:marTop w:val="0"/>
      <w:marBottom w:val="0"/>
      <w:divBdr>
        <w:top w:val="none" w:sz="0" w:space="0" w:color="auto"/>
        <w:left w:val="none" w:sz="0" w:space="0" w:color="auto"/>
        <w:bottom w:val="none" w:sz="0" w:space="0" w:color="auto"/>
        <w:right w:val="none" w:sz="0" w:space="0" w:color="auto"/>
      </w:divBdr>
    </w:div>
    <w:div w:id="1001087574">
      <w:bodyDiv w:val="1"/>
      <w:marLeft w:val="0"/>
      <w:marRight w:val="0"/>
      <w:marTop w:val="0"/>
      <w:marBottom w:val="0"/>
      <w:divBdr>
        <w:top w:val="none" w:sz="0" w:space="0" w:color="auto"/>
        <w:left w:val="none" w:sz="0" w:space="0" w:color="auto"/>
        <w:bottom w:val="none" w:sz="0" w:space="0" w:color="auto"/>
        <w:right w:val="none" w:sz="0" w:space="0" w:color="auto"/>
      </w:divBdr>
    </w:div>
    <w:div w:id="1647052404">
      <w:bodyDiv w:val="1"/>
      <w:marLeft w:val="0"/>
      <w:marRight w:val="0"/>
      <w:marTop w:val="0"/>
      <w:marBottom w:val="0"/>
      <w:divBdr>
        <w:top w:val="none" w:sz="0" w:space="0" w:color="auto"/>
        <w:left w:val="none" w:sz="0" w:space="0" w:color="auto"/>
        <w:bottom w:val="none" w:sz="0" w:space="0" w:color="auto"/>
        <w:right w:val="none" w:sz="0" w:space="0" w:color="auto"/>
      </w:divBdr>
    </w:div>
    <w:div w:id="1924532217">
      <w:bodyDiv w:val="1"/>
      <w:marLeft w:val="0"/>
      <w:marRight w:val="0"/>
      <w:marTop w:val="0"/>
      <w:marBottom w:val="0"/>
      <w:divBdr>
        <w:top w:val="none" w:sz="0" w:space="0" w:color="auto"/>
        <w:left w:val="none" w:sz="0" w:space="0" w:color="auto"/>
        <w:bottom w:val="none" w:sz="0" w:space="0" w:color="auto"/>
        <w:right w:val="none" w:sz="0" w:space="0" w:color="auto"/>
      </w:divBdr>
    </w:div>
    <w:div w:id="209381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fwc.gov.au/documents/sites/wagereview2017/consultations/tcfuasub.pdf" TargetMode="External"/><Relationship Id="rId18" Type="http://schemas.openxmlformats.org/officeDocument/2006/relationships/hyperlink" Target="https://www.fwc.gov.au/documents/sites/wagereview2017/consultations/actusub.pdf" TargetMode="External"/><Relationship Id="rId26" Type="http://schemas.openxmlformats.org/officeDocument/2006/relationships/hyperlink" Target="https://www.fwc.gov.au/documents/sites/wagereview2017/consultations/ausgovsub.pdf" TargetMode="External"/><Relationship Id="rId39" Type="http://schemas.openxmlformats.org/officeDocument/2006/relationships/hyperlink" Target="https://www.fwc.gov.au/documents/sites/wagereview2017/consultations/abisub.pdf" TargetMode="External"/><Relationship Id="rId21" Type="http://schemas.openxmlformats.org/officeDocument/2006/relationships/hyperlink" Target="https://www.fwc.gov.au/documents/sites/wagereview2017/consultations/cpsusub.pdf" TargetMode="External"/><Relationship Id="rId34" Type="http://schemas.openxmlformats.org/officeDocument/2006/relationships/hyperlink" Target="https://www.fwc.gov.au/documents/sites/wagereview2017/consultations/ausgovsub.pdf" TargetMode="External"/><Relationship Id="rId42" Type="http://schemas.openxmlformats.org/officeDocument/2006/relationships/hyperlink" Target="https://www.fwc.gov.au/documents/sites/wagereview2017/consultations/cfmeusub.docx" TargetMode="External"/><Relationship Id="rId47" Type="http://schemas.openxmlformats.org/officeDocument/2006/relationships/hyperlink" Target="https://www.fwc.gov.au/documents/sites/wagereview2017/consultations/actusub.pdf" TargetMode="External"/><Relationship Id="rId50" Type="http://schemas.openxmlformats.org/officeDocument/2006/relationships/hyperlink" Target="https://www.fwc.gov.au/documents/sites/wagereview2017/consultations/ausgovsub.pdf" TargetMode="External"/><Relationship Id="rId55" Type="http://schemas.openxmlformats.org/officeDocument/2006/relationships/hyperlink" Target="https://www.fwc.gov.au/documents/sites/wagereview2017/consultations/cfmeusub.docx"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fwc.gov.au/documents/sites/wagereview2017/consultations/abireplysub.pdf" TargetMode="External"/><Relationship Id="rId20" Type="http://schemas.openxmlformats.org/officeDocument/2006/relationships/hyperlink" Target="https://www.fwc.gov.au/documents/sites/wagereview2017/consultations/cfmeusub.pdf" TargetMode="External"/><Relationship Id="rId29" Type="http://schemas.openxmlformats.org/officeDocument/2006/relationships/hyperlink" Target="https://www.fwc.gov.au/documents/sites/wagereview2017/consultations/cfmeusub.pdf" TargetMode="External"/><Relationship Id="rId41" Type="http://schemas.openxmlformats.org/officeDocument/2006/relationships/hyperlink" Target="https://www.fwc.gov.au/documents/sites/wagereview2017/consultations/actusub.pdf" TargetMode="External"/><Relationship Id="rId54" Type="http://schemas.openxmlformats.org/officeDocument/2006/relationships/hyperlink" Target="https://www.fwc.gov.au/documents/sites/wagereview2017/consultations/actusub.pd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wc.gov.au/documents/sites/wagereview2017/consultations/cfmeusub.docx" TargetMode="External"/><Relationship Id="rId24" Type="http://schemas.openxmlformats.org/officeDocument/2006/relationships/hyperlink" Target="https://www.fwc.gov.au/documents/sites/wagereview2017/consultations/abisub.pdf" TargetMode="External"/><Relationship Id="rId32" Type="http://schemas.openxmlformats.org/officeDocument/2006/relationships/hyperlink" Target="https://www.fwc.gov.au/documents/sites/wagereview2017/consultations/aigroupsub.pdf" TargetMode="External"/><Relationship Id="rId37" Type="http://schemas.openxmlformats.org/officeDocument/2006/relationships/hyperlink" Target="https://www.fwc.gov.au/documents/sites/wagereview2017/consultations/ausgovsub.pdf" TargetMode="External"/><Relationship Id="rId40" Type="http://schemas.openxmlformats.org/officeDocument/2006/relationships/hyperlink" Target="https://www.fwc.gov.au/documents/sites/wagereview2017/consultations/ausgovsub.pdf" TargetMode="External"/><Relationship Id="rId45" Type="http://schemas.openxmlformats.org/officeDocument/2006/relationships/hyperlink" Target="https://www.fwc.gov.au/documents/sites/wagereview2017/consultations/abisub.pdf" TargetMode="External"/><Relationship Id="rId53" Type="http://schemas.openxmlformats.org/officeDocument/2006/relationships/hyperlink" Target="https://www.fwc.gov.au/documents/sites/wagereview2017/consultations/abisub.pdf" TargetMode="External"/><Relationship Id="rId58" Type="http://schemas.openxmlformats.org/officeDocument/2006/relationships/hyperlink" Target="https://www.fwc.gov.au/documents/sites/wagereview2017/consultations/aigroupsub.pdf" TargetMode="External"/><Relationship Id="rId5" Type="http://schemas.openxmlformats.org/officeDocument/2006/relationships/settings" Target="settings.xml"/><Relationship Id="rId15" Type="http://schemas.openxmlformats.org/officeDocument/2006/relationships/hyperlink" Target="https://www.fwc.gov.au/documents/sites/wagereview2017/consultations/abisub.pdf" TargetMode="External"/><Relationship Id="rId23" Type="http://schemas.openxmlformats.org/officeDocument/2006/relationships/hyperlink" Target="https://www.fwc.gov.au/documents/sites/wagereview2017/consultations/aigroupsub.pdf" TargetMode="External"/><Relationship Id="rId28" Type="http://schemas.openxmlformats.org/officeDocument/2006/relationships/hyperlink" Target="https://www.fwc.gov.au/documents/sites/wagereview2017/consultations/cfmeusub.docx" TargetMode="External"/><Relationship Id="rId36" Type="http://schemas.openxmlformats.org/officeDocument/2006/relationships/hyperlink" Target="https://www.fwc.gov.au/documents/sites/wagereview2017/consultations/hiasub.pdf" TargetMode="External"/><Relationship Id="rId49" Type="http://schemas.openxmlformats.org/officeDocument/2006/relationships/hyperlink" Target="https://www.fwc.gov.au/documents/sites/wagereview2017/consultations/abisub.pdf" TargetMode="External"/><Relationship Id="rId57" Type="http://schemas.openxmlformats.org/officeDocument/2006/relationships/hyperlink" Target="https://www.fwc.gov.au/documents/sites/wagereview2017/consultations/tcfuasub.pdf" TargetMode="External"/><Relationship Id="rId61" Type="http://schemas.openxmlformats.org/officeDocument/2006/relationships/footer" Target="footer1.xml"/><Relationship Id="rId10" Type="http://schemas.openxmlformats.org/officeDocument/2006/relationships/hyperlink" Target="https://www.fwc.gov.au/documents/sites/wagereview2017/consultations/actusub.pdf" TargetMode="External"/><Relationship Id="rId19" Type="http://schemas.openxmlformats.org/officeDocument/2006/relationships/hyperlink" Target="https://www.fwc.gov.au/documents/sites/wagereview2017/consultations/cfmeusub.docx" TargetMode="External"/><Relationship Id="rId31" Type="http://schemas.openxmlformats.org/officeDocument/2006/relationships/hyperlink" Target="https://www.fwc.gov.au/documents/sites/wagereview2017/consultations/tcfuasub.pdf" TargetMode="External"/><Relationship Id="rId44" Type="http://schemas.openxmlformats.org/officeDocument/2006/relationships/hyperlink" Target="https://www.fwc.gov.au/documents/sites/wagereview2017/consultations/aigroupsub.pdf" TargetMode="External"/><Relationship Id="rId52" Type="http://schemas.openxmlformats.org/officeDocument/2006/relationships/hyperlink" Target="https://www.fwc.gov.au/documents/sites/wagereview2017/consultations/asusub.pdf" TargetMode="External"/><Relationship Id="rId60" Type="http://schemas.openxmlformats.org/officeDocument/2006/relationships/hyperlink" Target="https://www.fwc.gov.au/documents/sites/wagereview2017/consultations/mtasub.pdf" TargetMode="External"/><Relationship Id="rId4" Type="http://schemas.microsoft.com/office/2007/relationships/stylesWithEffects" Target="stylesWithEffects.xml"/><Relationship Id="rId9" Type="http://schemas.openxmlformats.org/officeDocument/2006/relationships/hyperlink" Target="https://www.fwc.gov.au/documents/sites/wagereview2017/consultations/ausgovsub.pdf" TargetMode="External"/><Relationship Id="rId14" Type="http://schemas.openxmlformats.org/officeDocument/2006/relationships/hyperlink" Target="https://www.fwc.gov.au/documents/sites/wagereview2017/consultations/aigroupsub.pdf" TargetMode="External"/><Relationship Id="rId22" Type="http://schemas.openxmlformats.org/officeDocument/2006/relationships/hyperlink" Target="https://www.fwc.gov.au/documents/sites/wagereview2017/consultations/tcfuasub.pdf" TargetMode="External"/><Relationship Id="rId27" Type="http://schemas.openxmlformats.org/officeDocument/2006/relationships/hyperlink" Target="https://www.fwc.gov.au/documents/sites/wagereview2017/consultations/actusub.pdf" TargetMode="External"/><Relationship Id="rId30" Type="http://schemas.openxmlformats.org/officeDocument/2006/relationships/hyperlink" Target="https://www.fwc.gov.au/documents/sites/wagereview2017/consultations/cpsusub.pdf" TargetMode="External"/><Relationship Id="rId35" Type="http://schemas.openxmlformats.org/officeDocument/2006/relationships/hyperlink" Target="https://www.fwc.gov.au/documents/sites/wagereview2017/consultations/actusub.pdf" TargetMode="External"/><Relationship Id="rId43" Type="http://schemas.openxmlformats.org/officeDocument/2006/relationships/hyperlink" Target="https://www.fwc.gov.au/documents/sites/wagereview2017/consultations/cfmeusub.pdf" TargetMode="External"/><Relationship Id="rId48" Type="http://schemas.openxmlformats.org/officeDocument/2006/relationships/hyperlink" Target="https://www.fwc.gov.au/documents/sites/wagereview2017/consultations/asusub.pdf" TargetMode="External"/><Relationship Id="rId56" Type="http://schemas.openxmlformats.org/officeDocument/2006/relationships/hyperlink" Target="https://www.fwc.gov.au/documents/sites/wagereview2017/consultations/cfmeusub.pdf" TargetMode="External"/><Relationship Id="rId8" Type="http://schemas.openxmlformats.org/officeDocument/2006/relationships/endnotes" Target="endnotes.xml"/><Relationship Id="rId51" Type="http://schemas.openxmlformats.org/officeDocument/2006/relationships/hyperlink" Target="https://www.fwc.gov.au/documents/sites/wagereview2017/consultations/actusub.pdf" TargetMode="External"/><Relationship Id="rId3" Type="http://schemas.openxmlformats.org/officeDocument/2006/relationships/styles" Target="styles.xml"/><Relationship Id="rId12" Type="http://schemas.openxmlformats.org/officeDocument/2006/relationships/hyperlink" Target="https://www.fwc.gov.au/documents/sites/wagereview2017/consultations/cfmeusub.pdf" TargetMode="External"/><Relationship Id="rId17" Type="http://schemas.openxmlformats.org/officeDocument/2006/relationships/hyperlink" Target="https://www.fwc.gov.au/documents/sites/wagereview2017/consultations/mtasub.pdf" TargetMode="External"/><Relationship Id="rId25" Type="http://schemas.openxmlformats.org/officeDocument/2006/relationships/hyperlink" Target="https://www.fwc.gov.au/documents/sites/wagereview2017/consultations/mtasub.pdf" TargetMode="External"/><Relationship Id="rId33" Type="http://schemas.openxmlformats.org/officeDocument/2006/relationships/hyperlink" Target="https://www.fwc.gov.au/documents/sites/wagereview2017/consultations/abisub.pdf" TargetMode="External"/><Relationship Id="rId38" Type="http://schemas.openxmlformats.org/officeDocument/2006/relationships/hyperlink" Target="https://www.fwc.gov.au/documents/sites/wagereview2017/consultations/actusub.pdf" TargetMode="External"/><Relationship Id="rId46" Type="http://schemas.openxmlformats.org/officeDocument/2006/relationships/hyperlink" Target="https://www.fwc.gov.au/documents/sites/wagereview2017/consultations/ausgovsub.pdf" TargetMode="External"/><Relationship Id="rId59" Type="http://schemas.openxmlformats.org/officeDocument/2006/relationships/hyperlink" Target="https://www.fwc.gov.au/documents/sites/wagereview2017/consultations/abisu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9273D9-1F38-449D-97C2-1944D6ED1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3064</Words>
  <Characters>17465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Fair Work Australia</Company>
  <LinksUpToDate>false</LinksUpToDate>
  <CharactersWithSpaces>20489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yuen</cp:lastModifiedBy>
  <cp:revision>5</cp:revision>
  <cp:lastPrinted>2016-10-21T04:55:00Z</cp:lastPrinted>
  <dcterms:created xsi:type="dcterms:W3CDTF">2016-10-21T04:57:00Z</dcterms:created>
  <dcterms:modified xsi:type="dcterms:W3CDTF">2016-10-21T05:17:00Z</dcterms:modified>
</cp:coreProperties>
</file>