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9E" w:rsidRPr="0023449E" w:rsidRDefault="0023449E" w:rsidP="0023449E">
      <w:pPr>
        <w:pStyle w:val="Level1"/>
        <w:rPr>
          <w:rFonts w:ascii="Arial" w:hAnsi="Arial" w:cs="Arial"/>
        </w:rPr>
      </w:pPr>
      <w:r w:rsidRPr="0023449E">
        <w:rPr>
          <w:rFonts w:ascii="Arial" w:hAnsi="Arial" w:cs="Arial"/>
        </w:rPr>
        <w:t>Annual Wage Review 2017–18: Questions on notice</w:t>
      </w:r>
    </w:p>
    <w:p w:rsidR="0023449E" w:rsidRPr="0023449E" w:rsidRDefault="0023449E" w:rsidP="0023449E">
      <w:pPr>
        <w:rPr>
          <w:rFonts w:cs="Arial"/>
        </w:rPr>
      </w:pPr>
      <w:r w:rsidRPr="0023449E">
        <w:rPr>
          <w:rFonts w:cs="Arial"/>
        </w:rPr>
        <w:t>All interested parties are invited to comment on any question published for reply submissions, including those that have been addressed to specific parties.</w:t>
      </w:r>
    </w:p>
    <w:p w:rsidR="00CD1C8B" w:rsidRDefault="0023449E">
      <w:pPr>
        <w:pStyle w:val="TOC1"/>
        <w:rPr>
          <w:rFonts w:asciiTheme="minorHAnsi" w:eastAsiaTheme="minorEastAsia" w:hAnsiTheme="minorHAnsi" w:cstheme="minorBidi"/>
          <w:b w:val="0"/>
          <w:noProof/>
          <w:szCs w:val="22"/>
        </w:rPr>
      </w:pPr>
      <w:r w:rsidRPr="0023449E">
        <w:rPr>
          <w:rFonts w:cs="Arial"/>
        </w:rPr>
        <w:fldChar w:fldCharType="begin"/>
      </w:r>
      <w:r w:rsidRPr="0023449E">
        <w:rPr>
          <w:rFonts w:cs="Arial"/>
        </w:rPr>
        <w:instrText xml:space="preserve"> TOC \t "MWR_Heading_1,1,MWR_Heading_2,2,MWR_Heading_3,3" </w:instrText>
      </w:r>
      <w:r w:rsidRPr="0023449E">
        <w:rPr>
          <w:rFonts w:cs="Arial"/>
        </w:rPr>
        <w:fldChar w:fldCharType="separate"/>
      </w:r>
      <w:r w:rsidR="00CD1C8B" w:rsidRPr="002227E4">
        <w:rPr>
          <w:rFonts w:cs="Arial"/>
          <w:noProof/>
        </w:rPr>
        <w:t>1</w:t>
      </w:r>
      <w:r w:rsidR="00CD1C8B">
        <w:rPr>
          <w:rFonts w:asciiTheme="minorHAnsi" w:eastAsiaTheme="minorEastAsia" w:hAnsiTheme="minorHAnsi" w:cstheme="minorBidi"/>
          <w:b w:val="0"/>
          <w:noProof/>
          <w:szCs w:val="22"/>
        </w:rPr>
        <w:tab/>
      </w:r>
      <w:r w:rsidR="00CD1C8B" w:rsidRPr="002227E4">
        <w:rPr>
          <w:rFonts w:cs="Arial"/>
          <w:noProof/>
        </w:rPr>
        <w:t>Decision-making process</w:t>
      </w:r>
      <w:r w:rsidR="00CD1C8B">
        <w:rPr>
          <w:noProof/>
        </w:rPr>
        <w:tab/>
      </w:r>
      <w:r w:rsidR="00CD1C8B">
        <w:rPr>
          <w:noProof/>
        </w:rPr>
        <w:fldChar w:fldCharType="begin"/>
      </w:r>
      <w:r w:rsidR="00CD1C8B">
        <w:rPr>
          <w:noProof/>
        </w:rPr>
        <w:instrText xml:space="preserve"> PAGEREF _Toc510021478 \h </w:instrText>
      </w:r>
      <w:r w:rsidR="00CD1C8B">
        <w:rPr>
          <w:noProof/>
        </w:rPr>
      </w:r>
      <w:r w:rsidR="00CD1C8B">
        <w:rPr>
          <w:noProof/>
        </w:rPr>
        <w:fldChar w:fldCharType="separate"/>
      </w:r>
      <w:r w:rsidR="00CD1C8B">
        <w:rPr>
          <w:noProof/>
        </w:rPr>
        <w:t>2</w:t>
      </w:r>
      <w:r w:rsidR="00CD1C8B">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1.1</w:t>
      </w:r>
      <w:r>
        <w:rPr>
          <w:rFonts w:asciiTheme="minorHAnsi" w:eastAsiaTheme="minorEastAsia" w:hAnsiTheme="minorHAnsi" w:cstheme="minorBidi"/>
          <w:noProof/>
          <w:sz w:val="22"/>
          <w:szCs w:val="22"/>
        </w:rPr>
        <w:tab/>
      </w:r>
      <w:r w:rsidRPr="002227E4">
        <w:rPr>
          <w:rFonts w:cs="Arial"/>
          <w:noProof/>
        </w:rPr>
        <w:t>Question to all parties</w:t>
      </w:r>
      <w:r>
        <w:rPr>
          <w:noProof/>
        </w:rPr>
        <w:tab/>
      </w:r>
      <w:r>
        <w:rPr>
          <w:noProof/>
        </w:rPr>
        <w:fldChar w:fldCharType="begin"/>
      </w:r>
      <w:r>
        <w:rPr>
          <w:noProof/>
        </w:rPr>
        <w:instrText xml:space="preserve"> PAGEREF _Toc510021479 \h </w:instrText>
      </w:r>
      <w:r>
        <w:rPr>
          <w:noProof/>
        </w:rPr>
      </w:r>
      <w:r>
        <w:rPr>
          <w:noProof/>
        </w:rPr>
        <w:fldChar w:fldCharType="separate"/>
      </w:r>
      <w:r>
        <w:rPr>
          <w:noProof/>
        </w:rPr>
        <w:t>2</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1.2</w:t>
      </w:r>
      <w:r>
        <w:rPr>
          <w:rFonts w:asciiTheme="minorHAnsi" w:eastAsiaTheme="minorEastAsia" w:hAnsiTheme="minorHAnsi" w:cstheme="minorBidi"/>
          <w:noProof/>
          <w:sz w:val="22"/>
          <w:szCs w:val="22"/>
        </w:rPr>
        <w:tab/>
      </w:r>
      <w:r w:rsidRPr="002227E4">
        <w:rPr>
          <w:rFonts w:cs="Arial"/>
          <w:noProof/>
        </w:rPr>
        <w:t>Question to all parties</w:t>
      </w:r>
      <w:r>
        <w:rPr>
          <w:noProof/>
        </w:rPr>
        <w:tab/>
      </w:r>
      <w:r>
        <w:rPr>
          <w:noProof/>
        </w:rPr>
        <w:fldChar w:fldCharType="begin"/>
      </w:r>
      <w:r>
        <w:rPr>
          <w:noProof/>
        </w:rPr>
        <w:instrText xml:space="preserve"> PAGEREF _Toc510021480 \h </w:instrText>
      </w:r>
      <w:r>
        <w:rPr>
          <w:noProof/>
        </w:rPr>
      </w:r>
      <w:r>
        <w:rPr>
          <w:noProof/>
        </w:rPr>
        <w:fldChar w:fldCharType="separate"/>
      </w:r>
      <w:r>
        <w:rPr>
          <w:noProof/>
        </w:rPr>
        <w:t>2</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1.3</w:t>
      </w:r>
      <w:r>
        <w:rPr>
          <w:rFonts w:asciiTheme="minorHAnsi" w:eastAsiaTheme="minorEastAsia" w:hAnsiTheme="minorHAnsi" w:cstheme="minorBidi"/>
          <w:noProof/>
          <w:sz w:val="22"/>
          <w:szCs w:val="22"/>
        </w:rPr>
        <w:tab/>
      </w:r>
      <w:r w:rsidRPr="002227E4">
        <w:rPr>
          <w:rFonts w:cs="Arial"/>
          <w:noProof/>
        </w:rPr>
        <w:t>Question to the ACTU and all parties</w:t>
      </w:r>
      <w:r>
        <w:rPr>
          <w:noProof/>
        </w:rPr>
        <w:tab/>
      </w:r>
      <w:r>
        <w:rPr>
          <w:noProof/>
        </w:rPr>
        <w:fldChar w:fldCharType="begin"/>
      </w:r>
      <w:r>
        <w:rPr>
          <w:noProof/>
        </w:rPr>
        <w:instrText xml:space="preserve"> PAGEREF _Toc510021481 \h </w:instrText>
      </w:r>
      <w:r>
        <w:rPr>
          <w:noProof/>
        </w:rPr>
      </w:r>
      <w:r>
        <w:rPr>
          <w:noProof/>
        </w:rPr>
        <w:fldChar w:fldCharType="separate"/>
      </w:r>
      <w:r>
        <w:rPr>
          <w:noProof/>
        </w:rPr>
        <w:t>2</w:t>
      </w:r>
      <w:r>
        <w:rPr>
          <w:noProof/>
        </w:rPr>
        <w:fldChar w:fldCharType="end"/>
      </w:r>
    </w:p>
    <w:p w:rsidR="00CD1C8B" w:rsidRDefault="00CD1C8B">
      <w:pPr>
        <w:pStyle w:val="TOC1"/>
        <w:rPr>
          <w:rFonts w:asciiTheme="minorHAnsi" w:eastAsiaTheme="minorEastAsia" w:hAnsiTheme="minorHAnsi" w:cstheme="minorBidi"/>
          <w:b w:val="0"/>
          <w:noProof/>
          <w:szCs w:val="22"/>
        </w:rPr>
      </w:pPr>
      <w:r w:rsidRPr="002227E4">
        <w:rPr>
          <w:rFonts w:cs="Arial"/>
          <w:noProof/>
        </w:rPr>
        <w:t>2</w:t>
      </w:r>
      <w:r>
        <w:rPr>
          <w:rFonts w:asciiTheme="minorHAnsi" w:eastAsiaTheme="minorEastAsia" w:hAnsiTheme="minorHAnsi" w:cstheme="minorBidi"/>
          <w:b w:val="0"/>
          <w:noProof/>
          <w:szCs w:val="22"/>
        </w:rPr>
        <w:tab/>
      </w:r>
      <w:r w:rsidRPr="002227E4">
        <w:rPr>
          <w:rFonts w:cs="Arial"/>
          <w:noProof/>
        </w:rPr>
        <w:t>The economy</w:t>
      </w:r>
      <w:r>
        <w:rPr>
          <w:noProof/>
        </w:rPr>
        <w:tab/>
      </w:r>
      <w:r>
        <w:rPr>
          <w:noProof/>
        </w:rPr>
        <w:fldChar w:fldCharType="begin"/>
      </w:r>
      <w:r>
        <w:rPr>
          <w:noProof/>
        </w:rPr>
        <w:instrText xml:space="preserve"> PAGEREF _Toc510021482 \h </w:instrText>
      </w:r>
      <w:r>
        <w:rPr>
          <w:noProof/>
        </w:rPr>
      </w:r>
      <w:r>
        <w:rPr>
          <w:noProof/>
        </w:rPr>
        <w:fldChar w:fldCharType="separate"/>
      </w:r>
      <w:r>
        <w:rPr>
          <w:noProof/>
        </w:rPr>
        <w:t>3</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2.1</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_Toc510021483 \h </w:instrText>
      </w:r>
      <w:r>
        <w:rPr>
          <w:noProof/>
        </w:rPr>
      </w:r>
      <w:r>
        <w:rPr>
          <w:noProof/>
        </w:rPr>
        <w:fldChar w:fldCharType="separate"/>
      </w:r>
      <w:r>
        <w:rPr>
          <w:noProof/>
        </w:rPr>
        <w:t>3</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2.2</w:t>
      </w:r>
      <w:r>
        <w:rPr>
          <w:rFonts w:asciiTheme="minorHAnsi" w:eastAsiaTheme="minorEastAsia" w:hAnsiTheme="minorHAnsi" w:cstheme="minorBidi"/>
          <w:noProof/>
          <w:sz w:val="22"/>
          <w:szCs w:val="22"/>
        </w:rPr>
        <w:tab/>
      </w:r>
      <w:r w:rsidRPr="002227E4">
        <w:rPr>
          <w:rFonts w:cs="Arial"/>
          <w:noProof/>
        </w:rPr>
        <w:t>Question to all parties</w:t>
      </w:r>
      <w:r>
        <w:rPr>
          <w:noProof/>
        </w:rPr>
        <w:tab/>
      </w:r>
      <w:r>
        <w:rPr>
          <w:noProof/>
        </w:rPr>
        <w:fldChar w:fldCharType="begin"/>
      </w:r>
      <w:r>
        <w:rPr>
          <w:noProof/>
        </w:rPr>
        <w:instrText xml:space="preserve"> PAGEREF _Toc510021484 \h </w:instrText>
      </w:r>
      <w:r>
        <w:rPr>
          <w:noProof/>
        </w:rPr>
      </w:r>
      <w:r>
        <w:rPr>
          <w:noProof/>
        </w:rPr>
        <w:fldChar w:fldCharType="separate"/>
      </w:r>
      <w:r>
        <w:rPr>
          <w:noProof/>
        </w:rPr>
        <w:t>3</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2.3</w:t>
      </w:r>
      <w:r>
        <w:rPr>
          <w:rFonts w:asciiTheme="minorHAnsi" w:eastAsiaTheme="minorEastAsia" w:hAnsiTheme="minorHAnsi" w:cstheme="minorBidi"/>
          <w:noProof/>
          <w:sz w:val="22"/>
          <w:szCs w:val="22"/>
        </w:rPr>
        <w:tab/>
      </w:r>
      <w:r w:rsidRPr="002227E4">
        <w:rPr>
          <w:rFonts w:cs="Arial"/>
          <w:noProof/>
        </w:rPr>
        <w:t>Question to ACCI</w:t>
      </w:r>
      <w:r>
        <w:rPr>
          <w:noProof/>
        </w:rPr>
        <w:tab/>
      </w:r>
      <w:r>
        <w:rPr>
          <w:noProof/>
        </w:rPr>
        <w:fldChar w:fldCharType="begin"/>
      </w:r>
      <w:r>
        <w:rPr>
          <w:noProof/>
        </w:rPr>
        <w:instrText xml:space="preserve"> PAGEREF _Toc510021485 \h </w:instrText>
      </w:r>
      <w:r>
        <w:rPr>
          <w:noProof/>
        </w:rPr>
      </w:r>
      <w:r>
        <w:rPr>
          <w:noProof/>
        </w:rPr>
        <w:fldChar w:fldCharType="separate"/>
      </w:r>
      <w:r>
        <w:rPr>
          <w:noProof/>
        </w:rPr>
        <w:t>4</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2.4</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_Toc510021486 \h </w:instrText>
      </w:r>
      <w:r>
        <w:rPr>
          <w:noProof/>
        </w:rPr>
      </w:r>
      <w:r>
        <w:rPr>
          <w:noProof/>
        </w:rPr>
        <w:fldChar w:fldCharType="separate"/>
      </w:r>
      <w:r>
        <w:rPr>
          <w:noProof/>
        </w:rPr>
        <w:t>4</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2.5</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_Toc510021487 \h </w:instrText>
      </w:r>
      <w:r>
        <w:rPr>
          <w:noProof/>
        </w:rPr>
      </w:r>
      <w:r>
        <w:rPr>
          <w:noProof/>
        </w:rPr>
        <w:fldChar w:fldCharType="separate"/>
      </w:r>
      <w:r>
        <w:rPr>
          <w:noProof/>
        </w:rPr>
        <w:t>4</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2.6</w:t>
      </w:r>
      <w:r>
        <w:rPr>
          <w:rFonts w:asciiTheme="minorHAnsi" w:eastAsiaTheme="minorEastAsia" w:hAnsiTheme="minorHAnsi" w:cstheme="minorBidi"/>
          <w:noProof/>
          <w:sz w:val="22"/>
          <w:szCs w:val="22"/>
        </w:rPr>
        <w:tab/>
      </w:r>
      <w:r w:rsidRPr="002227E4">
        <w:rPr>
          <w:rFonts w:cs="Arial"/>
          <w:noProof/>
        </w:rPr>
        <w:t>Question to the ACTU and all parties</w:t>
      </w:r>
      <w:r>
        <w:rPr>
          <w:noProof/>
        </w:rPr>
        <w:tab/>
      </w:r>
      <w:r>
        <w:rPr>
          <w:noProof/>
        </w:rPr>
        <w:fldChar w:fldCharType="begin"/>
      </w:r>
      <w:r>
        <w:rPr>
          <w:noProof/>
        </w:rPr>
        <w:instrText xml:space="preserve"> PAGEREF _Toc510021488 \h </w:instrText>
      </w:r>
      <w:r>
        <w:rPr>
          <w:noProof/>
        </w:rPr>
      </w:r>
      <w:r>
        <w:rPr>
          <w:noProof/>
        </w:rPr>
        <w:fldChar w:fldCharType="separate"/>
      </w:r>
      <w:r>
        <w:rPr>
          <w:noProof/>
        </w:rPr>
        <w:t>4</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2.7</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_Toc510021489 \h </w:instrText>
      </w:r>
      <w:r>
        <w:rPr>
          <w:noProof/>
        </w:rPr>
      </w:r>
      <w:r>
        <w:rPr>
          <w:noProof/>
        </w:rPr>
        <w:fldChar w:fldCharType="separate"/>
      </w:r>
      <w:r>
        <w:rPr>
          <w:noProof/>
        </w:rPr>
        <w:t>4</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2.8</w:t>
      </w:r>
      <w:r>
        <w:rPr>
          <w:rFonts w:asciiTheme="minorHAnsi" w:eastAsiaTheme="minorEastAsia" w:hAnsiTheme="minorHAnsi" w:cstheme="minorBidi"/>
          <w:noProof/>
          <w:sz w:val="22"/>
          <w:szCs w:val="22"/>
        </w:rPr>
        <w:tab/>
      </w:r>
      <w:r w:rsidRPr="002227E4">
        <w:rPr>
          <w:rFonts w:cs="Arial"/>
          <w:noProof/>
        </w:rPr>
        <w:t>Question to the ACTU and all parties</w:t>
      </w:r>
      <w:r>
        <w:rPr>
          <w:noProof/>
        </w:rPr>
        <w:tab/>
      </w:r>
      <w:r>
        <w:rPr>
          <w:noProof/>
        </w:rPr>
        <w:fldChar w:fldCharType="begin"/>
      </w:r>
      <w:r>
        <w:rPr>
          <w:noProof/>
        </w:rPr>
        <w:instrText xml:space="preserve"> PAGEREF _Toc510021490 \h </w:instrText>
      </w:r>
      <w:r>
        <w:rPr>
          <w:noProof/>
        </w:rPr>
      </w:r>
      <w:r>
        <w:rPr>
          <w:noProof/>
        </w:rPr>
        <w:fldChar w:fldCharType="separate"/>
      </w:r>
      <w:r>
        <w:rPr>
          <w:noProof/>
        </w:rPr>
        <w:t>4</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2.9</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_Toc510021491 \h </w:instrText>
      </w:r>
      <w:r>
        <w:rPr>
          <w:noProof/>
        </w:rPr>
      </w:r>
      <w:r>
        <w:rPr>
          <w:noProof/>
        </w:rPr>
        <w:fldChar w:fldCharType="separate"/>
      </w:r>
      <w:r>
        <w:rPr>
          <w:noProof/>
        </w:rPr>
        <w:t>5</w:t>
      </w:r>
      <w:r>
        <w:rPr>
          <w:noProof/>
        </w:rPr>
        <w:fldChar w:fldCharType="end"/>
      </w:r>
    </w:p>
    <w:p w:rsidR="00CD1C8B" w:rsidRDefault="00CD1C8B">
      <w:pPr>
        <w:pStyle w:val="TOC1"/>
        <w:rPr>
          <w:rFonts w:asciiTheme="minorHAnsi" w:eastAsiaTheme="minorEastAsia" w:hAnsiTheme="minorHAnsi" w:cstheme="minorBidi"/>
          <w:b w:val="0"/>
          <w:noProof/>
          <w:szCs w:val="22"/>
        </w:rPr>
      </w:pPr>
      <w:r w:rsidRPr="002227E4">
        <w:rPr>
          <w:rFonts w:cs="Arial"/>
          <w:noProof/>
        </w:rPr>
        <w:t>3</w:t>
      </w:r>
      <w:r>
        <w:rPr>
          <w:rFonts w:asciiTheme="minorHAnsi" w:eastAsiaTheme="minorEastAsia" w:hAnsiTheme="minorHAnsi" w:cstheme="minorBidi"/>
          <w:b w:val="0"/>
          <w:noProof/>
          <w:szCs w:val="22"/>
        </w:rPr>
        <w:tab/>
      </w:r>
      <w:r w:rsidRPr="002227E4">
        <w:rPr>
          <w:rFonts w:cs="Arial"/>
          <w:noProof/>
        </w:rPr>
        <w:t>Relative living standards and the needs of the low paid</w:t>
      </w:r>
      <w:r>
        <w:rPr>
          <w:noProof/>
        </w:rPr>
        <w:tab/>
      </w:r>
      <w:r>
        <w:rPr>
          <w:noProof/>
        </w:rPr>
        <w:fldChar w:fldCharType="begin"/>
      </w:r>
      <w:r>
        <w:rPr>
          <w:noProof/>
        </w:rPr>
        <w:instrText xml:space="preserve"> PAGEREF _Toc510021492 \h </w:instrText>
      </w:r>
      <w:r>
        <w:rPr>
          <w:noProof/>
        </w:rPr>
      </w:r>
      <w:r>
        <w:rPr>
          <w:noProof/>
        </w:rPr>
        <w:fldChar w:fldCharType="separate"/>
      </w:r>
      <w:r>
        <w:rPr>
          <w:noProof/>
        </w:rPr>
        <w:t>5</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3.1</w:t>
      </w:r>
      <w:r>
        <w:rPr>
          <w:rFonts w:asciiTheme="minorHAnsi" w:eastAsiaTheme="minorEastAsia" w:hAnsiTheme="minorHAnsi" w:cstheme="minorBidi"/>
          <w:noProof/>
          <w:sz w:val="22"/>
          <w:szCs w:val="22"/>
        </w:rPr>
        <w:tab/>
      </w:r>
      <w:r w:rsidRPr="002227E4">
        <w:rPr>
          <w:rFonts w:cs="Arial"/>
          <w:noProof/>
        </w:rPr>
        <w:t>Question to all parties</w:t>
      </w:r>
      <w:r>
        <w:rPr>
          <w:noProof/>
        </w:rPr>
        <w:tab/>
      </w:r>
      <w:r>
        <w:rPr>
          <w:noProof/>
        </w:rPr>
        <w:fldChar w:fldCharType="begin"/>
      </w:r>
      <w:r>
        <w:rPr>
          <w:noProof/>
        </w:rPr>
        <w:instrText xml:space="preserve"> PAGEREF _Toc510021493 \h </w:instrText>
      </w:r>
      <w:r>
        <w:rPr>
          <w:noProof/>
        </w:rPr>
      </w:r>
      <w:r>
        <w:rPr>
          <w:noProof/>
        </w:rPr>
        <w:fldChar w:fldCharType="separate"/>
      </w:r>
      <w:r>
        <w:rPr>
          <w:noProof/>
        </w:rPr>
        <w:t>5</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3.2</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_Toc510021494 \h </w:instrText>
      </w:r>
      <w:r>
        <w:rPr>
          <w:noProof/>
        </w:rPr>
      </w:r>
      <w:r>
        <w:rPr>
          <w:noProof/>
        </w:rPr>
        <w:fldChar w:fldCharType="separate"/>
      </w:r>
      <w:r>
        <w:rPr>
          <w:noProof/>
        </w:rPr>
        <w:t>5</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3.3</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_Toc510021495 \h </w:instrText>
      </w:r>
      <w:r>
        <w:rPr>
          <w:noProof/>
        </w:rPr>
      </w:r>
      <w:r>
        <w:rPr>
          <w:noProof/>
        </w:rPr>
        <w:fldChar w:fldCharType="separate"/>
      </w:r>
      <w:r>
        <w:rPr>
          <w:noProof/>
        </w:rPr>
        <w:t>6</w:t>
      </w:r>
      <w:r>
        <w:rPr>
          <w:noProof/>
        </w:rPr>
        <w:fldChar w:fldCharType="end"/>
      </w:r>
    </w:p>
    <w:p w:rsidR="00CD1C8B" w:rsidRDefault="00CD1C8B">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Promoting social inclusion through increased workforce participation</w:t>
      </w:r>
      <w:r>
        <w:rPr>
          <w:noProof/>
        </w:rPr>
        <w:tab/>
      </w:r>
      <w:r>
        <w:rPr>
          <w:noProof/>
        </w:rPr>
        <w:fldChar w:fldCharType="begin"/>
      </w:r>
      <w:r>
        <w:rPr>
          <w:noProof/>
        </w:rPr>
        <w:instrText xml:space="preserve"> PAGEREF _Toc510021496 \h </w:instrText>
      </w:r>
      <w:r>
        <w:rPr>
          <w:noProof/>
        </w:rPr>
      </w:r>
      <w:r>
        <w:rPr>
          <w:noProof/>
        </w:rPr>
        <w:fldChar w:fldCharType="separate"/>
      </w:r>
      <w:r>
        <w:rPr>
          <w:noProof/>
        </w:rPr>
        <w:t>6</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4.1</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_Toc510021497 \h </w:instrText>
      </w:r>
      <w:r>
        <w:rPr>
          <w:noProof/>
        </w:rPr>
      </w:r>
      <w:r>
        <w:rPr>
          <w:noProof/>
        </w:rPr>
        <w:fldChar w:fldCharType="separate"/>
      </w:r>
      <w:r>
        <w:rPr>
          <w:noProof/>
        </w:rPr>
        <w:t>6</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4.2</w:t>
      </w:r>
      <w:r>
        <w:rPr>
          <w:rFonts w:asciiTheme="minorHAnsi" w:eastAsiaTheme="minorEastAsia" w:hAnsiTheme="minorHAnsi" w:cstheme="minorBidi"/>
          <w:noProof/>
          <w:sz w:val="22"/>
          <w:szCs w:val="22"/>
        </w:rPr>
        <w:tab/>
      </w:r>
      <w:r w:rsidRPr="002227E4">
        <w:rPr>
          <w:rFonts w:cs="Arial"/>
          <w:noProof/>
        </w:rPr>
        <w:t>Question to the Australian Government</w:t>
      </w:r>
      <w:r>
        <w:rPr>
          <w:noProof/>
        </w:rPr>
        <w:tab/>
      </w:r>
      <w:r>
        <w:rPr>
          <w:noProof/>
        </w:rPr>
        <w:fldChar w:fldCharType="begin"/>
      </w:r>
      <w:r>
        <w:rPr>
          <w:noProof/>
        </w:rPr>
        <w:instrText xml:space="preserve"> PAGEREF _Toc510021498 \h </w:instrText>
      </w:r>
      <w:r>
        <w:rPr>
          <w:noProof/>
        </w:rPr>
      </w:r>
      <w:r>
        <w:rPr>
          <w:noProof/>
        </w:rPr>
        <w:fldChar w:fldCharType="separate"/>
      </w:r>
      <w:r>
        <w:rPr>
          <w:noProof/>
        </w:rPr>
        <w:t>6</w:t>
      </w:r>
      <w:r>
        <w:rPr>
          <w:noProof/>
        </w:rPr>
        <w:fldChar w:fldCharType="end"/>
      </w:r>
    </w:p>
    <w:p w:rsidR="00CD1C8B" w:rsidRDefault="00CD1C8B">
      <w:pPr>
        <w:pStyle w:val="TOC1"/>
        <w:rPr>
          <w:rFonts w:asciiTheme="minorHAnsi" w:eastAsiaTheme="minorEastAsia" w:hAnsiTheme="minorHAnsi" w:cstheme="minorBidi"/>
          <w:b w:val="0"/>
          <w:noProof/>
          <w:szCs w:val="22"/>
        </w:rPr>
      </w:pPr>
      <w:r w:rsidRPr="002227E4">
        <w:rPr>
          <w:rFonts w:cs="Arial"/>
          <w:noProof/>
        </w:rPr>
        <w:t>5</w:t>
      </w:r>
      <w:r>
        <w:rPr>
          <w:rFonts w:asciiTheme="minorHAnsi" w:eastAsiaTheme="minorEastAsia" w:hAnsiTheme="minorHAnsi" w:cstheme="minorBidi"/>
          <w:b w:val="0"/>
          <w:noProof/>
          <w:szCs w:val="22"/>
        </w:rPr>
        <w:tab/>
      </w:r>
      <w:r w:rsidRPr="002227E4">
        <w:rPr>
          <w:rFonts w:cs="Arial"/>
          <w:noProof/>
        </w:rPr>
        <w:t>Equal remuneration</w:t>
      </w:r>
      <w:r>
        <w:rPr>
          <w:noProof/>
        </w:rPr>
        <w:tab/>
      </w:r>
      <w:r>
        <w:rPr>
          <w:noProof/>
        </w:rPr>
        <w:fldChar w:fldCharType="begin"/>
      </w:r>
      <w:r>
        <w:rPr>
          <w:noProof/>
        </w:rPr>
        <w:instrText xml:space="preserve"> PAGEREF _Toc510021499 \h </w:instrText>
      </w:r>
      <w:r>
        <w:rPr>
          <w:noProof/>
        </w:rPr>
      </w:r>
      <w:r>
        <w:rPr>
          <w:noProof/>
        </w:rPr>
        <w:fldChar w:fldCharType="separate"/>
      </w:r>
      <w:r>
        <w:rPr>
          <w:noProof/>
        </w:rPr>
        <w:t>6</w:t>
      </w:r>
      <w:r>
        <w:rPr>
          <w:noProof/>
        </w:rPr>
        <w:fldChar w:fldCharType="end"/>
      </w:r>
    </w:p>
    <w:p w:rsidR="00CD1C8B" w:rsidRDefault="00CD1C8B">
      <w:pPr>
        <w:pStyle w:val="TOC2"/>
        <w:rPr>
          <w:rFonts w:asciiTheme="minorHAnsi" w:eastAsiaTheme="minorEastAsia" w:hAnsiTheme="minorHAnsi" w:cstheme="minorBidi"/>
          <w:noProof/>
          <w:sz w:val="22"/>
          <w:szCs w:val="22"/>
        </w:rPr>
      </w:pPr>
      <w:r w:rsidRPr="002227E4">
        <w:rPr>
          <w:rFonts w:cs="Arial"/>
          <w:noProof/>
        </w:rPr>
        <w:t>5.1</w:t>
      </w:r>
      <w:r>
        <w:rPr>
          <w:rFonts w:asciiTheme="minorHAnsi" w:eastAsiaTheme="minorEastAsia" w:hAnsiTheme="minorHAnsi" w:cstheme="minorBidi"/>
          <w:noProof/>
          <w:sz w:val="22"/>
          <w:szCs w:val="22"/>
        </w:rPr>
        <w:tab/>
      </w:r>
      <w:r w:rsidRPr="002227E4">
        <w:rPr>
          <w:rFonts w:cs="Arial"/>
          <w:noProof/>
        </w:rPr>
        <w:t>Question to all parties</w:t>
      </w:r>
      <w:r>
        <w:rPr>
          <w:noProof/>
        </w:rPr>
        <w:tab/>
      </w:r>
      <w:r>
        <w:rPr>
          <w:noProof/>
        </w:rPr>
        <w:fldChar w:fldCharType="begin"/>
      </w:r>
      <w:r>
        <w:rPr>
          <w:noProof/>
        </w:rPr>
        <w:instrText xml:space="preserve"> PAGEREF _Toc510021500 \h </w:instrText>
      </w:r>
      <w:r>
        <w:rPr>
          <w:noProof/>
        </w:rPr>
      </w:r>
      <w:r>
        <w:rPr>
          <w:noProof/>
        </w:rPr>
        <w:fldChar w:fldCharType="separate"/>
      </w:r>
      <w:r>
        <w:rPr>
          <w:noProof/>
        </w:rPr>
        <w:t>6</w:t>
      </w:r>
      <w:r>
        <w:rPr>
          <w:noProof/>
        </w:rPr>
        <w:fldChar w:fldCharType="end"/>
      </w:r>
    </w:p>
    <w:p w:rsidR="0023449E" w:rsidRPr="0023449E" w:rsidRDefault="0023449E" w:rsidP="0023449E">
      <w:pPr>
        <w:pStyle w:val="TOC2"/>
        <w:rPr>
          <w:rFonts w:cs="Arial"/>
        </w:rPr>
      </w:pPr>
      <w:r w:rsidRPr="0023449E">
        <w:rPr>
          <w:rFonts w:cs="Arial"/>
        </w:rPr>
        <w:fldChar w:fldCharType="end"/>
      </w:r>
      <w:r w:rsidRPr="0023449E">
        <w:rPr>
          <w:rFonts w:cs="Arial"/>
        </w:rPr>
        <w:br w:type="page"/>
      </w:r>
    </w:p>
    <w:p w:rsidR="0023449E" w:rsidRPr="0023449E" w:rsidRDefault="0023449E" w:rsidP="0023449E">
      <w:pPr>
        <w:pStyle w:val="MWRHeading1"/>
        <w:spacing w:line="276" w:lineRule="auto"/>
        <w:ind w:right="-286"/>
        <w:rPr>
          <w:rFonts w:cs="Arial"/>
        </w:rPr>
      </w:pPr>
      <w:bookmarkStart w:id="0" w:name="_Toc480557863"/>
      <w:bookmarkStart w:id="1" w:name="_Toc480991712"/>
      <w:bookmarkStart w:id="2" w:name="_Toc480991735"/>
      <w:bookmarkStart w:id="3" w:name="_Toc481049685"/>
      <w:bookmarkStart w:id="4" w:name="_Toc481049710"/>
      <w:bookmarkStart w:id="5" w:name="_Toc481049758"/>
      <w:bookmarkStart w:id="6" w:name="_Toc481074145"/>
      <w:bookmarkStart w:id="7" w:name="_Toc509397020"/>
      <w:bookmarkStart w:id="8" w:name="_Toc509400391"/>
      <w:bookmarkStart w:id="9" w:name="_Toc509400623"/>
      <w:bookmarkStart w:id="10" w:name="_Toc509401766"/>
      <w:bookmarkStart w:id="11" w:name="_Toc509401809"/>
      <w:bookmarkStart w:id="12" w:name="_Toc509397021"/>
      <w:bookmarkStart w:id="13" w:name="_Toc509400392"/>
      <w:bookmarkStart w:id="14" w:name="_Toc509400624"/>
      <w:bookmarkStart w:id="15" w:name="_Toc509401767"/>
      <w:bookmarkStart w:id="16" w:name="_Toc509401810"/>
      <w:bookmarkStart w:id="17" w:name="_Toc509397022"/>
      <w:bookmarkStart w:id="18" w:name="_Toc509400393"/>
      <w:bookmarkStart w:id="19" w:name="_Toc509400625"/>
      <w:bookmarkStart w:id="20" w:name="_Toc509401768"/>
      <w:bookmarkStart w:id="21" w:name="_Toc509401811"/>
      <w:bookmarkStart w:id="22" w:name="_Toc480473448"/>
      <w:bookmarkStart w:id="23" w:name="_Toc356393977"/>
      <w:bookmarkStart w:id="24" w:name="_Toc5100214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3449E">
        <w:rPr>
          <w:rFonts w:cs="Arial"/>
        </w:rPr>
        <w:lastRenderedPageBreak/>
        <w:t>Decision-making process</w:t>
      </w:r>
      <w:bookmarkEnd w:id="22"/>
      <w:bookmarkEnd w:id="24"/>
    </w:p>
    <w:p w:rsidR="0023449E" w:rsidRPr="0023449E" w:rsidRDefault="0023449E" w:rsidP="0023449E">
      <w:pPr>
        <w:pStyle w:val="MWRHeading2"/>
        <w:tabs>
          <w:tab w:val="num" w:pos="851"/>
        </w:tabs>
        <w:spacing w:line="276" w:lineRule="auto"/>
        <w:ind w:right="-286"/>
        <w:rPr>
          <w:rFonts w:cs="Arial"/>
        </w:rPr>
      </w:pPr>
      <w:bookmarkStart w:id="25" w:name="_Toc510021479"/>
      <w:r w:rsidRPr="0023449E">
        <w:rPr>
          <w:rFonts w:cs="Arial"/>
        </w:rPr>
        <w:t>Question to all parties</w:t>
      </w:r>
      <w:bookmarkEnd w:id="25"/>
    </w:p>
    <w:p w:rsidR="0023449E" w:rsidRPr="0023449E" w:rsidRDefault="0023449E" w:rsidP="0023449E">
      <w:pPr>
        <w:ind w:right="-286"/>
        <w:rPr>
          <w:rFonts w:cs="Arial"/>
          <w:lang w:val="en-GB"/>
        </w:rPr>
      </w:pPr>
      <w:r w:rsidRPr="0023449E">
        <w:rPr>
          <w:rFonts w:cs="Arial"/>
        </w:rPr>
        <w:t xml:space="preserve">In Chapter 7 of its submission, ACCER deals with wage setting under the </w:t>
      </w:r>
      <w:r w:rsidRPr="0023449E">
        <w:rPr>
          <w:rFonts w:cs="Arial"/>
          <w:i/>
        </w:rPr>
        <w:t>Fair Work Act 2009</w:t>
      </w:r>
      <w:r w:rsidRPr="0023449E">
        <w:rPr>
          <w:rFonts w:cs="Arial"/>
        </w:rPr>
        <w:t xml:space="preserve"> and addresses some aspects of the Panel’s 2016–2017 de</w:t>
      </w:r>
      <w:bookmarkStart w:id="26" w:name="_GoBack"/>
      <w:bookmarkEnd w:id="26"/>
      <w:r w:rsidRPr="0023449E">
        <w:rPr>
          <w:rFonts w:cs="Arial"/>
        </w:rPr>
        <w:t>cision, in particular:</w:t>
      </w:r>
    </w:p>
    <w:p w:rsidR="0023449E" w:rsidRPr="0023449E" w:rsidRDefault="0023449E" w:rsidP="0023449E">
      <w:pPr>
        <w:pStyle w:val="ListParagraph"/>
        <w:numPr>
          <w:ilvl w:val="0"/>
          <w:numId w:val="17"/>
        </w:numPr>
        <w:ind w:right="-286"/>
        <w:rPr>
          <w:rFonts w:ascii="Arial" w:hAnsi="Arial" w:cs="Arial"/>
          <w:sz w:val="20"/>
        </w:rPr>
      </w:pPr>
      <w:r w:rsidRPr="0023449E">
        <w:rPr>
          <w:rFonts w:ascii="Arial" w:hAnsi="Arial" w:cs="Arial"/>
          <w:sz w:val="20"/>
        </w:rPr>
        <w:t xml:space="preserve">ACCER submits that the Panel’s construction of </w:t>
      </w:r>
      <w:proofErr w:type="gramStart"/>
      <w:r w:rsidRPr="0023449E">
        <w:rPr>
          <w:rFonts w:ascii="Arial" w:hAnsi="Arial" w:cs="Arial"/>
          <w:sz w:val="20"/>
        </w:rPr>
        <w:t>s.284(</w:t>
      </w:r>
      <w:proofErr w:type="gramEnd"/>
      <w:r w:rsidRPr="0023449E">
        <w:rPr>
          <w:rFonts w:ascii="Arial" w:hAnsi="Arial" w:cs="Arial"/>
          <w:sz w:val="20"/>
        </w:rPr>
        <w:t>1) was erroneous and should be reconsidered (see especially [214], [234]–[237], [240], [249] and [253] of ACCER’s submission).</w:t>
      </w:r>
    </w:p>
    <w:p w:rsidR="0023449E" w:rsidRPr="0023449E" w:rsidRDefault="0023449E" w:rsidP="0023449E">
      <w:pPr>
        <w:pStyle w:val="ListParagraph"/>
        <w:numPr>
          <w:ilvl w:val="0"/>
          <w:numId w:val="17"/>
        </w:numPr>
        <w:ind w:right="-286"/>
        <w:rPr>
          <w:rFonts w:ascii="Arial" w:hAnsi="Arial" w:cs="Arial"/>
          <w:sz w:val="20"/>
        </w:rPr>
      </w:pPr>
      <w:r w:rsidRPr="0023449E">
        <w:rPr>
          <w:rFonts w:ascii="Arial" w:hAnsi="Arial" w:cs="Arial"/>
          <w:sz w:val="20"/>
        </w:rPr>
        <w:t>ACCER maintains its contention that the Panel has adopted a ‘wages relativities policy’ which it submits is contrary to law and also asks that the Panel reconsider its decision in respect of this issue (see especially [255]–[272] and [287] of ACCER’s submission)</w:t>
      </w:r>
    </w:p>
    <w:p w:rsidR="0023449E" w:rsidRPr="0023449E" w:rsidRDefault="0023449E" w:rsidP="0023449E">
      <w:pPr>
        <w:pStyle w:val="ListParagraph"/>
        <w:numPr>
          <w:ilvl w:val="0"/>
          <w:numId w:val="17"/>
        </w:numPr>
        <w:ind w:right="-286"/>
        <w:rPr>
          <w:rFonts w:ascii="Arial" w:hAnsi="Arial" w:cs="Arial"/>
          <w:sz w:val="20"/>
        </w:rPr>
      </w:pPr>
      <w:r w:rsidRPr="0023449E">
        <w:rPr>
          <w:rFonts w:ascii="Arial" w:hAnsi="Arial" w:cs="Arial"/>
          <w:sz w:val="20"/>
        </w:rPr>
        <w:t>ACCER makes a number of observations about ‘equal remuneration’ and the consideration in s.284(1)(d), noting that the gender pay gap is caused by factors outside the modern award system and is not relevant to the matter in s.284(1)(d) (see especially [275]–[281] of ACCER’s submission).</w:t>
      </w:r>
    </w:p>
    <w:p w:rsidR="0023449E" w:rsidRPr="0023449E" w:rsidRDefault="0023449E" w:rsidP="0023449E">
      <w:pPr>
        <w:ind w:right="-286"/>
        <w:rPr>
          <w:rFonts w:cs="Arial"/>
          <w:szCs w:val="20"/>
        </w:rPr>
      </w:pPr>
      <w:r w:rsidRPr="0023449E">
        <w:rPr>
          <w:rFonts w:cs="Arial"/>
          <w:szCs w:val="20"/>
        </w:rPr>
        <w:t>All parties (especially the Australian Government, ACTU, ACCI and Ai Group) are asked to comment on these aspects of ACCER’s submission.</w:t>
      </w:r>
    </w:p>
    <w:p w:rsidR="0023449E" w:rsidRPr="0023449E" w:rsidRDefault="0023449E" w:rsidP="0023449E">
      <w:pPr>
        <w:pStyle w:val="MWRHeading2"/>
        <w:tabs>
          <w:tab w:val="num" w:pos="851"/>
        </w:tabs>
        <w:spacing w:line="276" w:lineRule="auto"/>
        <w:ind w:right="-286"/>
        <w:rPr>
          <w:rFonts w:cs="Arial"/>
        </w:rPr>
      </w:pPr>
      <w:bookmarkStart w:id="27" w:name="_Toc509400406"/>
      <w:bookmarkStart w:id="28" w:name="_Toc509400638"/>
      <w:bookmarkStart w:id="29" w:name="_Toc509401781"/>
      <w:bookmarkStart w:id="30" w:name="_Toc509401824"/>
      <w:bookmarkStart w:id="31" w:name="_Toc509400407"/>
      <w:bookmarkStart w:id="32" w:name="_Toc509400639"/>
      <w:bookmarkStart w:id="33" w:name="_Toc509401782"/>
      <w:bookmarkStart w:id="34" w:name="_Toc509401825"/>
      <w:bookmarkStart w:id="35" w:name="_Toc510021480"/>
      <w:bookmarkEnd w:id="23"/>
      <w:bookmarkEnd w:id="27"/>
      <w:bookmarkEnd w:id="28"/>
      <w:bookmarkEnd w:id="29"/>
      <w:bookmarkEnd w:id="30"/>
      <w:bookmarkEnd w:id="31"/>
      <w:bookmarkEnd w:id="32"/>
      <w:bookmarkEnd w:id="33"/>
      <w:bookmarkEnd w:id="34"/>
      <w:r w:rsidRPr="0023449E">
        <w:rPr>
          <w:rFonts w:cs="Arial"/>
        </w:rPr>
        <w:t>Question to all parties</w:t>
      </w:r>
      <w:bookmarkEnd w:id="35"/>
    </w:p>
    <w:p w:rsidR="0023449E" w:rsidRPr="0023449E" w:rsidRDefault="0023449E" w:rsidP="0023449E">
      <w:pPr>
        <w:ind w:right="-286"/>
        <w:rPr>
          <w:rFonts w:cs="Arial"/>
          <w:szCs w:val="20"/>
        </w:rPr>
      </w:pPr>
      <w:r w:rsidRPr="0023449E">
        <w:rPr>
          <w:rFonts w:cs="Arial"/>
          <w:szCs w:val="20"/>
        </w:rPr>
        <w:t>The method for adjusting wages in copied State awards was the subject of a decision by the Panel issued on 4 January 2018.</w:t>
      </w:r>
      <w:r w:rsidRPr="0023449E">
        <w:rPr>
          <w:rStyle w:val="FootnoteReference"/>
          <w:rFonts w:cs="Arial"/>
          <w:szCs w:val="20"/>
        </w:rPr>
        <w:footnoteReference w:id="1"/>
      </w:r>
      <w:r w:rsidRPr="0023449E">
        <w:rPr>
          <w:rFonts w:cs="Arial"/>
          <w:szCs w:val="20"/>
        </w:rPr>
        <w:t xml:space="preserve"> In that decision the Panel expressed the following provisional view:</w:t>
      </w:r>
    </w:p>
    <w:p w:rsidR="0023449E" w:rsidRPr="0023449E" w:rsidRDefault="0023449E" w:rsidP="0023449E">
      <w:pPr>
        <w:pStyle w:val="CitationQuote"/>
        <w:ind w:right="-286"/>
        <w:rPr>
          <w:rFonts w:cs="Arial"/>
        </w:rPr>
      </w:pPr>
      <w:r w:rsidRPr="0023449E">
        <w:rPr>
          <w:rFonts w:cs="Arial"/>
        </w:rPr>
        <w:t>‘[43] … It is our provisional view that AWR adjustments should generally apply to copied State awards, subject to a different outcome being determined in respect of particular copied State awards. In other words, rather than seeking to apply a tiered approach as a decision rule to mitigate ‘double dipping’ we propose to address any ‘double dipping’ on a case by case basis. We invite submissions on our provisional view in the context of the 2017–18 Review proceedings.’</w:t>
      </w:r>
      <w:r w:rsidRPr="0023449E">
        <w:rPr>
          <w:rStyle w:val="FootnoteReference"/>
          <w:rFonts w:cs="Arial"/>
        </w:rPr>
        <w:footnoteReference w:id="2"/>
      </w:r>
    </w:p>
    <w:p w:rsidR="0023449E" w:rsidRPr="0023449E" w:rsidRDefault="0023449E" w:rsidP="0023449E">
      <w:pPr>
        <w:ind w:right="-286"/>
        <w:rPr>
          <w:rFonts w:cs="Arial"/>
          <w:szCs w:val="20"/>
        </w:rPr>
      </w:pPr>
      <w:r w:rsidRPr="0023449E">
        <w:rPr>
          <w:rFonts w:cs="Arial"/>
          <w:szCs w:val="20"/>
        </w:rPr>
        <w:t>The ACTU invites the Panel to confirm its provisional view.</w:t>
      </w:r>
      <w:r w:rsidRPr="0023449E">
        <w:rPr>
          <w:rStyle w:val="FootnoteReference"/>
          <w:rFonts w:cs="Arial"/>
          <w:szCs w:val="20"/>
        </w:rPr>
        <w:footnoteReference w:id="3"/>
      </w:r>
      <w:r w:rsidRPr="0023449E">
        <w:rPr>
          <w:rFonts w:cs="Arial"/>
          <w:szCs w:val="20"/>
        </w:rPr>
        <w:t xml:space="preserve"> Does any other party take a different view?</w:t>
      </w:r>
    </w:p>
    <w:p w:rsidR="0023449E" w:rsidRPr="0023449E" w:rsidRDefault="0023449E" w:rsidP="0023449E">
      <w:pPr>
        <w:pStyle w:val="MWRHeading2"/>
        <w:tabs>
          <w:tab w:val="num" w:pos="851"/>
        </w:tabs>
        <w:spacing w:line="276" w:lineRule="auto"/>
        <w:ind w:right="-286"/>
        <w:rPr>
          <w:rFonts w:cs="Arial"/>
        </w:rPr>
      </w:pPr>
      <w:bookmarkStart w:id="36" w:name="_Toc510021481"/>
      <w:r w:rsidRPr="0023449E">
        <w:rPr>
          <w:rFonts w:cs="Arial"/>
        </w:rPr>
        <w:t>Question to the ACTU and all parties</w:t>
      </w:r>
      <w:bookmarkEnd w:id="36"/>
    </w:p>
    <w:p w:rsidR="0023449E" w:rsidRPr="0023449E" w:rsidRDefault="0023449E" w:rsidP="0023449E">
      <w:pPr>
        <w:ind w:right="-286"/>
        <w:rPr>
          <w:rFonts w:cs="Arial"/>
          <w:szCs w:val="20"/>
        </w:rPr>
      </w:pPr>
      <w:r w:rsidRPr="0023449E">
        <w:rPr>
          <w:rFonts w:cs="Arial"/>
          <w:szCs w:val="20"/>
        </w:rPr>
        <w:t>The ACTU submission comments on the Panel’s observation in last year’s Review decision that the considerations we are required to take into account in reaching a judgment as to what constitutes ‘fair and relevant’ minimum wages require us to balance ‘competing interests’.</w:t>
      </w:r>
      <w:r w:rsidRPr="0023449E">
        <w:rPr>
          <w:rStyle w:val="FootnoteReference"/>
          <w:rFonts w:cs="Arial"/>
          <w:szCs w:val="20"/>
        </w:rPr>
        <w:footnoteReference w:id="4"/>
      </w:r>
      <w:r w:rsidRPr="0023449E">
        <w:rPr>
          <w:rFonts w:cs="Arial"/>
          <w:szCs w:val="20"/>
        </w:rPr>
        <w:t xml:space="preserve"> The ACTU juxtaposes the notion of competing interests with a unitary interest. The ACTU submits:</w:t>
      </w:r>
    </w:p>
    <w:p w:rsidR="0023449E" w:rsidRPr="0023449E" w:rsidRDefault="0023449E" w:rsidP="0023449E">
      <w:pPr>
        <w:pStyle w:val="CitationQuote"/>
        <w:ind w:right="-286"/>
        <w:rPr>
          <w:rFonts w:cs="Arial"/>
        </w:rPr>
      </w:pPr>
      <w:r w:rsidRPr="0023449E">
        <w:rPr>
          <w:rFonts w:cs="Arial"/>
        </w:rPr>
        <w:t xml:space="preserve">‘The growing body of empirical research studying the employment effects of minimum wages (discussed in Chapter 5), the new economic orthodoxy regarding the economic risks of inequality (discussed in Chapter 4) and other prominent schools of economic thought (such as dynamic monopsony and post-Keynesian economics) provide sound support for moving away from a position whereby deciding “fair and relevant” </w:t>
      </w:r>
      <w:r w:rsidRPr="0023449E">
        <w:rPr>
          <w:rFonts w:cs="Arial"/>
        </w:rPr>
        <w:lastRenderedPageBreak/>
        <w:t>minimum wages necessarily involves a contest between “social” versus “economic” considerations, towards a position where the assessment is fundamentally about the common good.’</w:t>
      </w:r>
      <w:r w:rsidRPr="0023449E">
        <w:rPr>
          <w:rStyle w:val="FootnoteReference"/>
          <w:rFonts w:cs="Arial"/>
        </w:rPr>
        <w:footnoteReference w:id="5"/>
      </w:r>
    </w:p>
    <w:p w:rsidR="0023449E" w:rsidRPr="0023449E" w:rsidRDefault="0023449E" w:rsidP="0023449E">
      <w:pPr>
        <w:ind w:right="-286"/>
        <w:rPr>
          <w:rFonts w:cs="Arial"/>
          <w:szCs w:val="20"/>
        </w:rPr>
      </w:pPr>
      <w:r w:rsidRPr="0023449E">
        <w:rPr>
          <w:rFonts w:cs="Arial"/>
          <w:szCs w:val="20"/>
        </w:rPr>
        <w:t>The ACTU also submits:</w:t>
      </w:r>
    </w:p>
    <w:p w:rsidR="0023449E" w:rsidRPr="0023449E" w:rsidRDefault="0023449E" w:rsidP="0023449E">
      <w:pPr>
        <w:pStyle w:val="CitationQuote"/>
        <w:ind w:right="-286"/>
        <w:rPr>
          <w:rFonts w:cs="Arial"/>
        </w:rPr>
      </w:pPr>
      <w:r w:rsidRPr="0023449E">
        <w:rPr>
          <w:rFonts w:cs="Arial"/>
        </w:rPr>
        <w:t xml:space="preserve">‘We do not raise the above to suggest that the Panel can or should adopt some criteria other than that which it is directed to. But we do submit that the Panel should recognise that the criteria it is asked to apply embed certain assumptions which the Panel is free to question, challenge and reject. Indeed, it has taken some steps towards this approach already. For example, the Panel has recognised that its obligation to set “fair and relevant” minimum wages does not limit it to an exclusive consideration of the particular matters referred to in the paragraphs below subsections 134(1) and 284(1) of the Act, as its consideration of social inclusion and the gender pay gap demonstrates. In addition, it has been willing to accept some limits about the rigidity of the assumptions embedded in the criteria it is compelled to consider – most notably last year’s statement that: </w:t>
      </w:r>
    </w:p>
    <w:p w:rsidR="0023449E" w:rsidRPr="0023449E" w:rsidRDefault="0023449E" w:rsidP="0023449E">
      <w:pPr>
        <w:pStyle w:val="CitationQuote"/>
        <w:ind w:left="851" w:right="-286" w:firstLine="1"/>
        <w:rPr>
          <w:rFonts w:cs="Arial"/>
        </w:rPr>
      </w:pPr>
      <w:r w:rsidRPr="0023449E">
        <w:rPr>
          <w:rFonts w:cs="Arial"/>
        </w:rPr>
        <w:t>“</w:t>
      </w:r>
      <w:proofErr w:type="gramStart"/>
      <w:r w:rsidRPr="0023449E">
        <w:rPr>
          <w:rFonts w:cs="Arial"/>
        </w:rPr>
        <w:t>we</w:t>
      </w:r>
      <w:proofErr w:type="gramEnd"/>
      <w:r w:rsidRPr="0023449E">
        <w:rPr>
          <w:rFonts w:cs="Arial"/>
        </w:rPr>
        <w:t xml:space="preserve"> have greater confidence in our view that modest and regular wage increases do not result in </w:t>
      </w:r>
      <w:proofErr w:type="spellStart"/>
      <w:r w:rsidRPr="0023449E">
        <w:rPr>
          <w:rFonts w:cs="Arial"/>
        </w:rPr>
        <w:t>disemployment</w:t>
      </w:r>
      <w:proofErr w:type="spellEnd"/>
      <w:r w:rsidRPr="0023449E">
        <w:rPr>
          <w:rFonts w:cs="Arial"/>
        </w:rPr>
        <w:t xml:space="preserve"> effects. Further, this research suggests that the Panel’s past assessment of what constitutes a ‘modest’ increase may have been overly cautious, in terms of its assessed </w:t>
      </w:r>
      <w:proofErr w:type="spellStart"/>
      <w:r w:rsidRPr="0023449E">
        <w:rPr>
          <w:rFonts w:cs="Arial"/>
        </w:rPr>
        <w:t>disemployment</w:t>
      </w:r>
      <w:proofErr w:type="spellEnd"/>
      <w:r w:rsidRPr="0023449E">
        <w:rPr>
          <w:rFonts w:cs="Arial"/>
        </w:rPr>
        <w:t xml:space="preserve"> effects.”’</w:t>
      </w:r>
      <w:r w:rsidRPr="0023449E">
        <w:rPr>
          <w:rStyle w:val="FootnoteReference"/>
          <w:rFonts w:cs="Arial"/>
        </w:rPr>
        <w:footnoteReference w:id="6"/>
      </w:r>
    </w:p>
    <w:p w:rsidR="0023449E" w:rsidRPr="0023449E" w:rsidRDefault="0023449E" w:rsidP="0023449E">
      <w:pPr>
        <w:ind w:right="-286"/>
        <w:rPr>
          <w:rFonts w:cs="Arial"/>
          <w:szCs w:val="20"/>
        </w:rPr>
      </w:pPr>
      <w:r w:rsidRPr="0023449E">
        <w:rPr>
          <w:rFonts w:cs="Arial"/>
          <w:szCs w:val="20"/>
        </w:rPr>
        <w:t>The above seems to suggest that the various statutory considerations in ss.134 and 284 are not in conflict, but rather are all pointing in the directions of an increase in minimum wages. Is that what is being put?</w:t>
      </w:r>
    </w:p>
    <w:p w:rsidR="0023449E" w:rsidRPr="0023449E" w:rsidRDefault="0023449E" w:rsidP="0023449E">
      <w:pPr>
        <w:ind w:right="-286"/>
        <w:rPr>
          <w:rFonts w:cs="Arial"/>
          <w:szCs w:val="20"/>
        </w:rPr>
      </w:pPr>
      <w:r w:rsidRPr="0023449E">
        <w:rPr>
          <w:rFonts w:cs="Arial"/>
          <w:szCs w:val="20"/>
        </w:rPr>
        <w:t>Is the proposition simply that increasing minimum wages will be good for the economy, therefore the social and economic considerations are not in conflict?</w:t>
      </w:r>
    </w:p>
    <w:p w:rsidR="0023449E" w:rsidRPr="0023449E" w:rsidRDefault="0023449E" w:rsidP="0023449E">
      <w:pPr>
        <w:ind w:right="-286"/>
        <w:rPr>
          <w:rFonts w:cs="Arial"/>
          <w:szCs w:val="20"/>
        </w:rPr>
      </w:pPr>
      <w:r w:rsidRPr="0023449E">
        <w:rPr>
          <w:rFonts w:cs="Arial"/>
          <w:szCs w:val="20"/>
        </w:rPr>
        <w:t xml:space="preserve">What of the consideration in </w:t>
      </w:r>
      <w:proofErr w:type="gramStart"/>
      <w:r w:rsidRPr="0023449E">
        <w:rPr>
          <w:rFonts w:cs="Arial"/>
          <w:szCs w:val="20"/>
        </w:rPr>
        <w:t>s.134(</w:t>
      </w:r>
      <w:proofErr w:type="gramEnd"/>
      <w:r w:rsidRPr="0023449E">
        <w:rPr>
          <w:rFonts w:cs="Arial"/>
          <w:szCs w:val="20"/>
        </w:rPr>
        <w:t>1)(f), in particular the impact of an increase in minimum wages on ‘employment costs’?</w:t>
      </w:r>
    </w:p>
    <w:p w:rsidR="0023449E" w:rsidRPr="0023449E" w:rsidRDefault="0023449E" w:rsidP="0023449E">
      <w:pPr>
        <w:ind w:right="-286"/>
        <w:rPr>
          <w:rFonts w:cs="Arial"/>
          <w:szCs w:val="20"/>
        </w:rPr>
      </w:pPr>
      <w:r w:rsidRPr="0023449E">
        <w:rPr>
          <w:rFonts w:cs="Arial"/>
          <w:szCs w:val="20"/>
        </w:rPr>
        <w:t>The ACTU and all parties are invited to respond to the above questions.</w:t>
      </w:r>
    </w:p>
    <w:p w:rsidR="0023449E" w:rsidRPr="0023449E" w:rsidRDefault="0023449E" w:rsidP="0023449E">
      <w:pPr>
        <w:pStyle w:val="MWRHeading1"/>
        <w:spacing w:line="276" w:lineRule="auto"/>
        <w:ind w:right="-286"/>
        <w:rPr>
          <w:rFonts w:cs="Arial"/>
        </w:rPr>
      </w:pPr>
      <w:bookmarkStart w:id="37" w:name="_Toc480533974"/>
      <w:bookmarkStart w:id="38" w:name="_Toc480557865"/>
      <w:bookmarkStart w:id="39" w:name="_Toc480991714"/>
      <w:bookmarkStart w:id="40" w:name="_Toc480991737"/>
      <w:bookmarkStart w:id="41" w:name="_Toc481049687"/>
      <w:bookmarkStart w:id="42" w:name="_Toc481049712"/>
      <w:bookmarkStart w:id="43" w:name="_Toc481049760"/>
      <w:bookmarkStart w:id="44" w:name="_Toc481074147"/>
      <w:bookmarkStart w:id="45" w:name="_Toc481150290"/>
      <w:bookmarkStart w:id="46" w:name="_Toc510021482"/>
      <w:bookmarkEnd w:id="37"/>
      <w:bookmarkEnd w:id="38"/>
      <w:bookmarkEnd w:id="39"/>
      <w:bookmarkEnd w:id="40"/>
      <w:bookmarkEnd w:id="41"/>
      <w:bookmarkEnd w:id="42"/>
      <w:bookmarkEnd w:id="43"/>
      <w:bookmarkEnd w:id="44"/>
      <w:bookmarkEnd w:id="45"/>
      <w:r w:rsidRPr="0023449E">
        <w:rPr>
          <w:rFonts w:cs="Arial"/>
        </w:rPr>
        <w:t>The economy</w:t>
      </w:r>
      <w:bookmarkEnd w:id="46"/>
    </w:p>
    <w:p w:rsidR="0023449E" w:rsidRPr="0023449E" w:rsidRDefault="0023449E" w:rsidP="0023449E">
      <w:pPr>
        <w:pStyle w:val="MWRHeading2"/>
        <w:tabs>
          <w:tab w:val="num" w:pos="851"/>
        </w:tabs>
        <w:spacing w:line="276" w:lineRule="auto"/>
        <w:ind w:right="-286"/>
        <w:rPr>
          <w:rFonts w:cs="Arial"/>
        </w:rPr>
      </w:pPr>
      <w:bookmarkStart w:id="47" w:name="_Toc510021483"/>
      <w:r w:rsidRPr="0023449E">
        <w:rPr>
          <w:rFonts w:cs="Arial"/>
        </w:rPr>
        <w:t>Question to the Australian Government</w:t>
      </w:r>
      <w:bookmarkEnd w:id="47"/>
    </w:p>
    <w:p w:rsidR="0023449E" w:rsidRPr="0023449E" w:rsidRDefault="0023449E" w:rsidP="0023449E">
      <w:pPr>
        <w:ind w:right="-286"/>
        <w:rPr>
          <w:rFonts w:cs="Arial"/>
        </w:rPr>
      </w:pPr>
      <w:r w:rsidRPr="0023449E">
        <w:rPr>
          <w:rFonts w:cs="Arial"/>
        </w:rPr>
        <w:t>The Australian Government states that over the past 5 years, labour productivity has grown by an average of 1.5 per cent for the economy as a whole and by 1.0 per cent for the non-mining sector of the economy.</w:t>
      </w:r>
      <w:r w:rsidRPr="0023449E">
        <w:rPr>
          <w:rStyle w:val="FootnoteReference"/>
          <w:rFonts w:cs="Arial"/>
        </w:rPr>
        <w:footnoteReference w:id="7"/>
      </w:r>
      <w:r w:rsidRPr="0023449E">
        <w:rPr>
          <w:rFonts w:cs="Arial"/>
        </w:rPr>
        <w:t xml:space="preserve"> This implies that labour productivity has grown substantially more in the mining than in the non-mining sectors of the economy. How is this difference to be taken into account when determining any increase to the NMW and award rates?</w:t>
      </w:r>
    </w:p>
    <w:p w:rsidR="0023449E" w:rsidRPr="0023449E" w:rsidRDefault="0023449E" w:rsidP="0023449E">
      <w:pPr>
        <w:pStyle w:val="MWRHeading2"/>
        <w:tabs>
          <w:tab w:val="num" w:pos="851"/>
        </w:tabs>
        <w:spacing w:line="276" w:lineRule="auto"/>
        <w:ind w:right="-286"/>
        <w:rPr>
          <w:rFonts w:cs="Arial"/>
        </w:rPr>
      </w:pPr>
      <w:bookmarkStart w:id="48" w:name="_Toc510021484"/>
      <w:r w:rsidRPr="0023449E">
        <w:rPr>
          <w:rFonts w:cs="Arial"/>
        </w:rPr>
        <w:t>Question to all parties</w:t>
      </w:r>
      <w:bookmarkEnd w:id="48"/>
    </w:p>
    <w:p w:rsidR="0023449E" w:rsidRPr="0023449E" w:rsidRDefault="0023449E" w:rsidP="0023449E">
      <w:pPr>
        <w:ind w:right="-286"/>
        <w:rPr>
          <w:rFonts w:cs="Arial"/>
        </w:rPr>
      </w:pPr>
      <w:r w:rsidRPr="0023449E">
        <w:rPr>
          <w:rFonts w:cs="Arial"/>
        </w:rPr>
        <w:t xml:space="preserve">In previous Reviews, the Panel has noted that productivity growth is best measured over the business cycle. The Panel has also highlighted that since the length of the business cycle is not aligned with the </w:t>
      </w:r>
      <w:r w:rsidRPr="0023449E">
        <w:rPr>
          <w:rFonts w:cs="Arial"/>
        </w:rPr>
        <w:lastRenderedPageBreak/>
        <w:t>statutory task of an annual wage review; the Panel pays more attention to longer term trends and treats recent changes in productivity with some caution.</w:t>
      </w:r>
      <w:r w:rsidRPr="0023449E">
        <w:rPr>
          <w:rStyle w:val="FootnoteReference"/>
          <w:rFonts w:cs="Arial"/>
          <w:color w:val="000000"/>
        </w:rPr>
        <w:footnoteReference w:id="8"/>
      </w:r>
      <w:r w:rsidRPr="0023449E">
        <w:rPr>
          <w:rFonts w:cs="Arial"/>
          <w:sz w:val="16"/>
        </w:rPr>
        <w:t xml:space="preserve"> </w:t>
      </w:r>
      <w:r w:rsidRPr="0023449E">
        <w:rPr>
          <w:rFonts w:cs="Arial"/>
        </w:rPr>
        <w:t xml:space="preserve"> </w:t>
      </w:r>
    </w:p>
    <w:p w:rsidR="0023449E" w:rsidRPr="0023449E" w:rsidRDefault="0023449E" w:rsidP="0023449E">
      <w:pPr>
        <w:ind w:right="-286"/>
        <w:rPr>
          <w:rFonts w:cs="Arial"/>
        </w:rPr>
      </w:pPr>
      <w:r w:rsidRPr="0023449E">
        <w:rPr>
          <w:rFonts w:cs="Arial"/>
        </w:rPr>
        <w:t>In that context, all parties are invited to comment upon what significance, if any, should be given to the 2017 productivity growth figures in Tables 2.1 and 2.2 of the Statistical report.</w:t>
      </w:r>
    </w:p>
    <w:p w:rsidR="0023449E" w:rsidRPr="0023449E" w:rsidRDefault="0023449E" w:rsidP="0023449E">
      <w:pPr>
        <w:pStyle w:val="MWRHeading2"/>
        <w:tabs>
          <w:tab w:val="num" w:pos="851"/>
        </w:tabs>
        <w:spacing w:line="276" w:lineRule="auto"/>
        <w:ind w:right="-286"/>
        <w:rPr>
          <w:rFonts w:cs="Arial"/>
        </w:rPr>
      </w:pPr>
      <w:bookmarkStart w:id="49" w:name="_Toc510021485"/>
      <w:r w:rsidRPr="0023449E">
        <w:rPr>
          <w:rFonts w:cs="Arial"/>
        </w:rPr>
        <w:t>Question to ACCI</w:t>
      </w:r>
      <w:bookmarkEnd w:id="49"/>
      <w:r w:rsidRPr="0023449E">
        <w:rPr>
          <w:rFonts w:cs="Arial"/>
        </w:rPr>
        <w:t xml:space="preserve"> </w:t>
      </w:r>
    </w:p>
    <w:p w:rsidR="0023449E" w:rsidRPr="0023449E" w:rsidRDefault="0023449E" w:rsidP="0023449E">
      <w:pPr>
        <w:ind w:right="-286"/>
        <w:rPr>
          <w:rFonts w:cs="Arial"/>
        </w:rPr>
      </w:pPr>
      <w:r w:rsidRPr="0023449E">
        <w:rPr>
          <w:rFonts w:cs="Arial"/>
        </w:rPr>
        <w:t>ACCI submitted that:</w:t>
      </w:r>
    </w:p>
    <w:p w:rsidR="0023449E" w:rsidRPr="0023449E" w:rsidRDefault="0023449E" w:rsidP="0023449E">
      <w:pPr>
        <w:pStyle w:val="CitationQuote"/>
        <w:ind w:right="-286"/>
        <w:rPr>
          <w:rFonts w:cs="Arial"/>
        </w:rPr>
      </w:pPr>
      <w:r w:rsidRPr="0023449E">
        <w:rPr>
          <w:rFonts w:cs="Arial"/>
        </w:rPr>
        <w:t>‘While there is evidence of a pick-up in profit growth in the award-reliant industries, sales data shows that profit growth in the award-reliant industries is largely driven by cost cutting.’</w:t>
      </w:r>
      <w:r w:rsidRPr="0023449E">
        <w:rPr>
          <w:rStyle w:val="FootnoteReference"/>
          <w:rFonts w:cs="Arial"/>
        </w:rPr>
        <w:footnoteReference w:id="9"/>
      </w:r>
    </w:p>
    <w:p w:rsidR="0023449E" w:rsidRPr="0023449E" w:rsidRDefault="0023449E" w:rsidP="0023449E">
      <w:pPr>
        <w:ind w:right="-286"/>
        <w:rPr>
          <w:rFonts w:cs="Arial"/>
        </w:rPr>
      </w:pPr>
      <w:r w:rsidRPr="0023449E">
        <w:rPr>
          <w:rFonts w:cs="Arial"/>
        </w:rPr>
        <w:t>What evidence does ACCI have that profit growth is largely driven by cost cutting?</w:t>
      </w:r>
    </w:p>
    <w:p w:rsidR="0023449E" w:rsidRPr="0023449E" w:rsidRDefault="0023449E" w:rsidP="0023449E">
      <w:pPr>
        <w:pStyle w:val="MWRHeading2"/>
        <w:tabs>
          <w:tab w:val="num" w:pos="851"/>
        </w:tabs>
        <w:spacing w:line="276" w:lineRule="auto"/>
        <w:ind w:right="-286"/>
        <w:rPr>
          <w:rFonts w:cs="Arial"/>
        </w:rPr>
      </w:pPr>
      <w:bookmarkStart w:id="50" w:name="_Toc510021486"/>
      <w:r w:rsidRPr="0023449E">
        <w:rPr>
          <w:rFonts w:cs="Arial"/>
        </w:rPr>
        <w:t>Question to the Australian Government</w:t>
      </w:r>
      <w:bookmarkEnd w:id="50"/>
    </w:p>
    <w:p w:rsidR="0023449E" w:rsidRPr="0023449E" w:rsidRDefault="0023449E" w:rsidP="0023449E">
      <w:pPr>
        <w:ind w:right="-286"/>
        <w:rPr>
          <w:rFonts w:cs="Arial"/>
        </w:rPr>
      </w:pPr>
      <w:r w:rsidRPr="0023449E">
        <w:rPr>
          <w:rFonts w:cs="Arial"/>
        </w:rPr>
        <w:t>In its submission the Australian Government sets out some information about small business and its employment.</w:t>
      </w:r>
      <w:r w:rsidRPr="0023449E">
        <w:rPr>
          <w:rStyle w:val="FootnoteReference"/>
          <w:rFonts w:cs="Arial"/>
        </w:rPr>
        <w:footnoteReference w:id="10"/>
      </w:r>
      <w:r w:rsidRPr="0023449E">
        <w:rPr>
          <w:rFonts w:cs="Arial"/>
        </w:rPr>
        <w:t xml:space="preserve"> Is the Australian Government able to inform the Panel about the proportion of new employee jobs that is provided by small business?</w:t>
      </w:r>
    </w:p>
    <w:p w:rsidR="0023449E" w:rsidRPr="0023449E" w:rsidRDefault="0023449E" w:rsidP="0023449E">
      <w:pPr>
        <w:pStyle w:val="MWRHeading2"/>
        <w:tabs>
          <w:tab w:val="num" w:pos="851"/>
        </w:tabs>
        <w:spacing w:line="276" w:lineRule="auto"/>
        <w:ind w:right="-286"/>
        <w:rPr>
          <w:rFonts w:cs="Arial"/>
        </w:rPr>
      </w:pPr>
      <w:bookmarkStart w:id="51" w:name="_Toc510021487"/>
      <w:r w:rsidRPr="0023449E">
        <w:rPr>
          <w:rFonts w:cs="Arial"/>
        </w:rPr>
        <w:t>Question to the Australian Government</w:t>
      </w:r>
      <w:bookmarkEnd w:id="51"/>
    </w:p>
    <w:p w:rsidR="0023449E" w:rsidRPr="0023449E" w:rsidRDefault="0023449E" w:rsidP="0023449E">
      <w:pPr>
        <w:ind w:right="-286"/>
        <w:rPr>
          <w:rFonts w:cs="Arial"/>
        </w:rPr>
      </w:pPr>
      <w:r w:rsidRPr="0023449E">
        <w:rPr>
          <w:rFonts w:cs="Arial"/>
        </w:rPr>
        <w:t>Can the Australian Government explain more fully how the ‘current rate of wage growth is part of the adjustment as the economy transitions from the investment phase to the production phase of the commodities boom’?</w:t>
      </w:r>
      <w:r w:rsidRPr="0023449E">
        <w:rPr>
          <w:rStyle w:val="FootnoteReference"/>
          <w:rFonts w:cs="Arial"/>
        </w:rPr>
        <w:footnoteReference w:id="11"/>
      </w:r>
    </w:p>
    <w:p w:rsidR="0023449E" w:rsidRPr="0023449E" w:rsidRDefault="0023449E" w:rsidP="0023449E">
      <w:pPr>
        <w:pStyle w:val="MWRHeading2"/>
        <w:tabs>
          <w:tab w:val="num" w:pos="851"/>
        </w:tabs>
        <w:spacing w:line="276" w:lineRule="auto"/>
        <w:ind w:right="-286"/>
        <w:rPr>
          <w:rFonts w:cs="Arial"/>
        </w:rPr>
      </w:pPr>
      <w:bookmarkStart w:id="52" w:name="_Toc510021488"/>
      <w:r w:rsidRPr="0023449E">
        <w:rPr>
          <w:rFonts w:cs="Arial"/>
        </w:rPr>
        <w:t>Question to the ACTU and all parties</w:t>
      </w:r>
      <w:bookmarkEnd w:id="52"/>
    </w:p>
    <w:p w:rsidR="0023449E" w:rsidRPr="0023449E" w:rsidRDefault="0023449E" w:rsidP="0023449E">
      <w:pPr>
        <w:ind w:right="-286"/>
        <w:rPr>
          <w:rFonts w:cs="Arial"/>
        </w:rPr>
      </w:pPr>
      <w:r w:rsidRPr="0023449E">
        <w:rPr>
          <w:rFonts w:cs="Arial"/>
        </w:rPr>
        <w:t>The ACTU submitted that ‘[</w:t>
      </w:r>
      <w:proofErr w:type="spellStart"/>
      <w:r w:rsidRPr="0023449E">
        <w:rPr>
          <w:rFonts w:cs="Arial"/>
        </w:rPr>
        <w:t>i</w:t>
      </w:r>
      <w:proofErr w:type="spellEnd"/>
      <w:r w:rsidRPr="0023449E">
        <w:rPr>
          <w:rFonts w:cs="Arial"/>
        </w:rPr>
        <w:t>]</w:t>
      </w:r>
      <w:proofErr w:type="spellStart"/>
      <w:r w:rsidRPr="0023449E">
        <w:rPr>
          <w:rFonts w:cs="Arial"/>
        </w:rPr>
        <w:t>ncreased</w:t>
      </w:r>
      <w:proofErr w:type="spellEnd"/>
      <w:r w:rsidRPr="0023449E">
        <w:rPr>
          <w:rFonts w:cs="Arial"/>
        </w:rPr>
        <w:t xml:space="preserve"> wages for the low paid raise aggregate demand disproportionately because low paid people spend most or all of any increase to their incomes. We attempt to estimate this effect in section 3.1.15.3 below.’</w:t>
      </w:r>
      <w:r w:rsidRPr="0023449E">
        <w:rPr>
          <w:rStyle w:val="FootnoteReference"/>
          <w:rFonts w:cs="Arial"/>
        </w:rPr>
        <w:footnoteReference w:id="12"/>
      </w:r>
      <w:r w:rsidRPr="0023449E">
        <w:rPr>
          <w:rFonts w:cs="Arial"/>
        </w:rPr>
        <w:t xml:space="preserve"> </w:t>
      </w:r>
    </w:p>
    <w:p w:rsidR="0023449E" w:rsidRPr="0023449E" w:rsidRDefault="0023449E" w:rsidP="0023449E">
      <w:pPr>
        <w:ind w:right="-286"/>
        <w:rPr>
          <w:rFonts w:cs="Arial"/>
        </w:rPr>
      </w:pPr>
      <w:r w:rsidRPr="0023449E">
        <w:rPr>
          <w:rFonts w:cs="Arial"/>
        </w:rPr>
        <w:t>What is the ACTU’s estimate of the effect referred to in the above submission?</w:t>
      </w:r>
    </w:p>
    <w:p w:rsidR="0023449E" w:rsidRPr="0023449E" w:rsidRDefault="0023449E" w:rsidP="0023449E">
      <w:pPr>
        <w:ind w:right="-286"/>
        <w:rPr>
          <w:rFonts w:cs="Arial"/>
        </w:rPr>
      </w:pPr>
      <w:r w:rsidRPr="0023449E">
        <w:rPr>
          <w:rFonts w:cs="Arial"/>
        </w:rPr>
        <w:t>What is the response of the other parties to this submission?</w:t>
      </w:r>
    </w:p>
    <w:p w:rsidR="0023449E" w:rsidRPr="0023449E" w:rsidRDefault="0023449E" w:rsidP="0023449E">
      <w:pPr>
        <w:pStyle w:val="MWRHeading2"/>
        <w:tabs>
          <w:tab w:val="num" w:pos="851"/>
        </w:tabs>
        <w:spacing w:line="276" w:lineRule="auto"/>
        <w:ind w:right="-286"/>
        <w:rPr>
          <w:rFonts w:cs="Arial"/>
        </w:rPr>
      </w:pPr>
      <w:bookmarkStart w:id="53" w:name="_Toc510021489"/>
      <w:r w:rsidRPr="0023449E">
        <w:rPr>
          <w:rFonts w:cs="Arial"/>
        </w:rPr>
        <w:t>Question to the Australian Government</w:t>
      </w:r>
      <w:bookmarkEnd w:id="53"/>
    </w:p>
    <w:p w:rsidR="0023449E" w:rsidRPr="0023449E" w:rsidRDefault="0023449E" w:rsidP="0023449E">
      <w:pPr>
        <w:ind w:right="-286"/>
        <w:rPr>
          <w:rFonts w:cs="Arial"/>
        </w:rPr>
      </w:pPr>
      <w:r w:rsidRPr="0023449E">
        <w:rPr>
          <w:rFonts w:cs="Arial"/>
        </w:rPr>
        <w:t>Can the Australian Government add lines to Chart 6.1 in its submission that show the real NMW (or equivalent) deflated by the household consumption deflator and the CPI?</w:t>
      </w:r>
      <w:r w:rsidRPr="0023449E">
        <w:rPr>
          <w:rStyle w:val="FootnoteReference"/>
          <w:rFonts w:cs="Arial"/>
        </w:rPr>
        <w:footnoteReference w:id="13"/>
      </w:r>
    </w:p>
    <w:p w:rsidR="0023449E" w:rsidRPr="0023449E" w:rsidRDefault="0023449E" w:rsidP="0023449E">
      <w:pPr>
        <w:pStyle w:val="MWRHeading2"/>
        <w:tabs>
          <w:tab w:val="num" w:pos="851"/>
        </w:tabs>
        <w:spacing w:line="276" w:lineRule="auto"/>
        <w:ind w:right="-286"/>
        <w:rPr>
          <w:rFonts w:cs="Arial"/>
        </w:rPr>
      </w:pPr>
      <w:bookmarkStart w:id="54" w:name="_Toc510021490"/>
      <w:r w:rsidRPr="0023449E">
        <w:rPr>
          <w:rFonts w:cs="Arial"/>
        </w:rPr>
        <w:t>Question to the ACTU and all parties</w:t>
      </w:r>
      <w:bookmarkEnd w:id="54"/>
    </w:p>
    <w:p w:rsidR="0023449E" w:rsidRPr="0023449E" w:rsidRDefault="0023449E" w:rsidP="0023449E">
      <w:pPr>
        <w:ind w:right="-286"/>
        <w:rPr>
          <w:rFonts w:cs="Arial"/>
        </w:rPr>
      </w:pPr>
      <w:r w:rsidRPr="0023449E">
        <w:rPr>
          <w:rFonts w:cs="Arial"/>
        </w:rPr>
        <w:t xml:space="preserve">The ACTU submitted concern regarding the extent to which the measure of underemployment captures workers searching for more work ‘due to the inadequacy of wages’. The ACTU stated that: </w:t>
      </w:r>
    </w:p>
    <w:p w:rsidR="0023449E" w:rsidRPr="0023449E" w:rsidRDefault="0023449E" w:rsidP="0023449E">
      <w:pPr>
        <w:pStyle w:val="CitationQuote"/>
        <w:ind w:right="-286"/>
        <w:rPr>
          <w:rFonts w:cs="Arial"/>
        </w:rPr>
      </w:pPr>
      <w:r w:rsidRPr="0023449E">
        <w:rPr>
          <w:rFonts w:cs="Arial"/>
        </w:rPr>
        <w:lastRenderedPageBreak/>
        <w:t xml:space="preserve"> </w:t>
      </w:r>
      <w:proofErr w:type="gramStart"/>
      <w:r w:rsidRPr="0023449E">
        <w:rPr>
          <w:rFonts w:cs="Arial"/>
        </w:rPr>
        <w:t>‘ …</w:t>
      </w:r>
      <w:proofErr w:type="gramEnd"/>
      <w:r w:rsidRPr="0023449E">
        <w:rPr>
          <w:rFonts w:cs="Arial"/>
        </w:rPr>
        <w:t xml:space="preserve"> excluding those who were “available and not looking” (that is did not request longer hours) underestimates the relative lack of power of the employee in the employment relationship particularly for women and other vulnerable groups, and also the risk and costs of changing jobs. Many employees do not find themselves in a position to request anything from employers. It is well understood that requesting more hours is unlikely to have the result that the worker seeks and may even be negatively interpreted by employers and have adverse consequences for the employee.’</w:t>
      </w:r>
      <w:r w:rsidRPr="0023449E">
        <w:rPr>
          <w:rStyle w:val="FootnoteReference"/>
          <w:rFonts w:cs="Arial"/>
          <w:color w:val="000000"/>
        </w:rPr>
        <w:footnoteReference w:id="14"/>
      </w:r>
      <w:r w:rsidRPr="0023449E">
        <w:rPr>
          <w:rFonts w:cs="Arial"/>
        </w:rPr>
        <w:t xml:space="preserve"> </w:t>
      </w:r>
    </w:p>
    <w:p w:rsidR="0023449E" w:rsidRPr="0023449E" w:rsidRDefault="0023449E" w:rsidP="0023449E">
      <w:pPr>
        <w:ind w:right="-286"/>
        <w:rPr>
          <w:rFonts w:cs="Arial"/>
        </w:rPr>
      </w:pPr>
      <w:r w:rsidRPr="0023449E">
        <w:rPr>
          <w:rFonts w:cs="Arial"/>
        </w:rPr>
        <w:t>Does the ACTU have any evidence to support this statement? All other parties are invited to comment.</w:t>
      </w:r>
    </w:p>
    <w:p w:rsidR="0023449E" w:rsidRPr="0023449E" w:rsidRDefault="0023449E" w:rsidP="0023449E">
      <w:pPr>
        <w:pStyle w:val="MWRHeading2"/>
        <w:tabs>
          <w:tab w:val="num" w:pos="851"/>
        </w:tabs>
        <w:spacing w:line="276" w:lineRule="auto"/>
        <w:ind w:right="-286"/>
        <w:rPr>
          <w:rFonts w:cs="Arial"/>
        </w:rPr>
      </w:pPr>
      <w:bookmarkStart w:id="55" w:name="_Toc510021491"/>
      <w:r w:rsidRPr="0023449E">
        <w:rPr>
          <w:rFonts w:cs="Arial"/>
        </w:rPr>
        <w:t>Question to the Australian Government</w:t>
      </w:r>
      <w:bookmarkEnd w:id="55"/>
    </w:p>
    <w:p w:rsidR="0023449E" w:rsidRPr="0023449E" w:rsidRDefault="0023449E" w:rsidP="0023449E">
      <w:pPr>
        <w:ind w:right="-286"/>
        <w:rPr>
          <w:rFonts w:cs="Arial"/>
        </w:rPr>
      </w:pPr>
      <w:r w:rsidRPr="0023449E">
        <w:rPr>
          <w:rFonts w:cs="Arial"/>
        </w:rPr>
        <w:t>In section 4.6.3, the Australian Government submission discusses the extent of youth unemployment. It offers some general explanations as to why youth unemployment is more than twice the rate of total unemployment. One such explanation is that youth ‘often have fewer skills, and less experience and education’.</w:t>
      </w:r>
      <w:r w:rsidRPr="0023449E">
        <w:rPr>
          <w:rStyle w:val="FootnoteReference"/>
          <w:rFonts w:cs="Arial"/>
        </w:rPr>
        <w:footnoteReference w:id="15"/>
      </w:r>
      <w:r w:rsidRPr="0023449E">
        <w:rPr>
          <w:rFonts w:cs="Arial"/>
        </w:rPr>
        <w:t xml:space="preserve"> We note that the existence of lower award rates for youth, apprentices and trainees is an acknowledgement of the lower levels of experience of these groups.</w:t>
      </w:r>
    </w:p>
    <w:p w:rsidR="0023449E" w:rsidRDefault="0023449E" w:rsidP="0023449E">
      <w:pPr>
        <w:pStyle w:val="MWRBullet1"/>
        <w:numPr>
          <w:ilvl w:val="0"/>
          <w:numId w:val="18"/>
        </w:numPr>
        <w:spacing w:line="276" w:lineRule="auto"/>
        <w:ind w:right="-286"/>
        <w:rPr>
          <w:rFonts w:cs="Arial"/>
          <w:szCs w:val="20"/>
        </w:rPr>
      </w:pPr>
      <w:r w:rsidRPr="0023449E">
        <w:rPr>
          <w:rFonts w:cs="Arial"/>
          <w:szCs w:val="20"/>
        </w:rPr>
        <w:t>Do young people have less education than the workforce in general? Do unemployed youth have lower levels of education than do unemployed adults?</w:t>
      </w:r>
    </w:p>
    <w:p w:rsidR="0023449E" w:rsidRPr="0023449E" w:rsidRDefault="0023449E" w:rsidP="0023449E">
      <w:pPr>
        <w:pStyle w:val="MWRBullet1"/>
        <w:numPr>
          <w:ilvl w:val="0"/>
          <w:numId w:val="18"/>
        </w:numPr>
        <w:spacing w:line="276" w:lineRule="auto"/>
        <w:ind w:right="-286"/>
        <w:rPr>
          <w:rFonts w:cs="Arial"/>
          <w:szCs w:val="20"/>
        </w:rPr>
      </w:pPr>
      <w:r w:rsidRPr="0023449E">
        <w:rPr>
          <w:rFonts w:cs="Arial"/>
          <w:szCs w:val="20"/>
        </w:rPr>
        <w:t>Is the Commonwealth able to shed more light on why the rate of youth unemployment has not declined since 2010, in line with the decline in total unemployment?</w:t>
      </w:r>
    </w:p>
    <w:p w:rsidR="0023449E" w:rsidRPr="0023449E" w:rsidRDefault="0023449E" w:rsidP="0023449E">
      <w:pPr>
        <w:pStyle w:val="ListParagraph"/>
        <w:numPr>
          <w:ilvl w:val="0"/>
          <w:numId w:val="18"/>
        </w:numPr>
        <w:ind w:right="-286"/>
        <w:rPr>
          <w:rFonts w:ascii="Arial" w:hAnsi="Arial" w:cs="Arial"/>
          <w:sz w:val="20"/>
          <w:szCs w:val="20"/>
        </w:rPr>
      </w:pPr>
      <w:r w:rsidRPr="0023449E">
        <w:rPr>
          <w:rFonts w:ascii="Arial" w:hAnsi="Arial" w:cs="Arial"/>
          <w:sz w:val="20"/>
          <w:szCs w:val="20"/>
        </w:rPr>
        <w:t>We note the rise in disengagement of 20–24 year olds, especially males, as set out in paras 132–133 of the submission. Is the Australian Government able to provide an explanation for this?</w:t>
      </w:r>
    </w:p>
    <w:p w:rsidR="0023449E" w:rsidRPr="0023449E" w:rsidRDefault="0023449E" w:rsidP="0023449E">
      <w:pPr>
        <w:pStyle w:val="MWRHeading1"/>
        <w:spacing w:line="276" w:lineRule="auto"/>
        <w:ind w:right="-286"/>
        <w:rPr>
          <w:rFonts w:cs="Arial"/>
        </w:rPr>
      </w:pPr>
      <w:bookmarkStart w:id="56" w:name="_Toc480557874"/>
      <w:bookmarkStart w:id="57" w:name="_Toc510021492"/>
      <w:bookmarkEnd w:id="56"/>
      <w:r w:rsidRPr="0023449E">
        <w:rPr>
          <w:rFonts w:cs="Arial"/>
        </w:rPr>
        <w:t>Relative living standards and the needs of the low paid</w:t>
      </w:r>
      <w:bookmarkEnd w:id="57"/>
    </w:p>
    <w:p w:rsidR="0023449E" w:rsidRPr="0023449E" w:rsidRDefault="0023449E" w:rsidP="0023449E">
      <w:pPr>
        <w:pStyle w:val="MWRHeading2"/>
        <w:tabs>
          <w:tab w:val="num" w:pos="851"/>
        </w:tabs>
        <w:spacing w:line="276" w:lineRule="auto"/>
        <w:ind w:right="-286"/>
        <w:rPr>
          <w:rFonts w:cs="Arial"/>
        </w:rPr>
      </w:pPr>
      <w:bookmarkStart w:id="58" w:name="_Toc510021493"/>
      <w:r w:rsidRPr="0023449E">
        <w:rPr>
          <w:rFonts w:cs="Arial"/>
        </w:rPr>
        <w:t>Question to all parties</w:t>
      </w:r>
      <w:bookmarkEnd w:id="58"/>
    </w:p>
    <w:p w:rsidR="0023449E" w:rsidRPr="0023449E" w:rsidRDefault="0023449E" w:rsidP="0023449E">
      <w:pPr>
        <w:ind w:right="-286"/>
        <w:rPr>
          <w:rFonts w:cs="Arial"/>
        </w:rPr>
      </w:pPr>
      <w:r w:rsidRPr="0023449E">
        <w:rPr>
          <w:rFonts w:cs="Arial"/>
        </w:rPr>
        <w:t>The minimum wage bite is calculated as the weekly national minimum wage as a proportion of full-time median earnings of employees and owner managers of incorporated enterprises. A chart showing the trends in the minimum wage bite is presented in Chart 8.3 of the Statistical report.</w:t>
      </w:r>
    </w:p>
    <w:p w:rsidR="0023449E" w:rsidRPr="0023449E" w:rsidRDefault="0023449E" w:rsidP="0023449E">
      <w:pPr>
        <w:ind w:right="-286"/>
        <w:rPr>
          <w:rFonts w:cs="Arial"/>
        </w:rPr>
      </w:pPr>
      <w:r w:rsidRPr="0023449E">
        <w:rPr>
          <w:rFonts w:cs="Arial"/>
        </w:rPr>
        <w:t>The Australian Bureau of Statistics also collects median hourly earnings which include earnings of both full-time and part-time employees.</w:t>
      </w:r>
    </w:p>
    <w:p w:rsidR="0023449E" w:rsidRPr="0023449E" w:rsidRDefault="0023449E" w:rsidP="0023449E">
      <w:pPr>
        <w:ind w:right="-286"/>
        <w:rPr>
          <w:rFonts w:cs="Arial"/>
        </w:rPr>
      </w:pPr>
      <w:r w:rsidRPr="0023449E">
        <w:rPr>
          <w:rFonts w:cs="Arial"/>
        </w:rPr>
        <w:t>Do any parties have a view as to the preferred measure of median earnings to be used for calculation of the minimum wage bite?</w:t>
      </w:r>
    </w:p>
    <w:p w:rsidR="0023449E" w:rsidRPr="0023449E" w:rsidRDefault="0023449E" w:rsidP="0023449E">
      <w:pPr>
        <w:pStyle w:val="MWRHeading2"/>
        <w:tabs>
          <w:tab w:val="num" w:pos="851"/>
        </w:tabs>
        <w:spacing w:line="276" w:lineRule="auto"/>
        <w:ind w:right="-286"/>
        <w:rPr>
          <w:rFonts w:cs="Arial"/>
        </w:rPr>
      </w:pPr>
      <w:bookmarkStart w:id="59" w:name="_Toc510021494"/>
      <w:r w:rsidRPr="0023449E">
        <w:rPr>
          <w:rFonts w:cs="Arial"/>
        </w:rPr>
        <w:t>Question to the Australian Government</w:t>
      </w:r>
      <w:bookmarkEnd w:id="59"/>
    </w:p>
    <w:p w:rsidR="0023449E" w:rsidRPr="0023449E" w:rsidRDefault="0023449E" w:rsidP="0023449E">
      <w:pPr>
        <w:ind w:right="-286"/>
        <w:rPr>
          <w:rFonts w:cs="Arial"/>
        </w:rPr>
      </w:pPr>
      <w:r w:rsidRPr="0023449E">
        <w:rPr>
          <w:rFonts w:cs="Arial"/>
        </w:rPr>
        <w:t>In reference to Table 8.2 of its submissions, which is based on the Survey of Employee Earnings and Hours, the Australian Government submits that ‘low and medium-paid employees have seen gains in real earnings over the last decade, but at a slower pace than high paid employees’.</w:t>
      </w:r>
      <w:r w:rsidRPr="0023449E">
        <w:rPr>
          <w:rStyle w:val="FootnoteReference"/>
          <w:rFonts w:cs="Arial"/>
        </w:rPr>
        <w:footnoteReference w:id="16"/>
      </w:r>
      <w:r w:rsidRPr="0023449E">
        <w:rPr>
          <w:rFonts w:cs="Arial"/>
        </w:rPr>
        <w:t xml:space="preserve"> The Australia Government also submits that, according to the HILDA survey, ‘average annual growth in total wage income was slightly higher in the lower deciles from 2005 to 2015’ and that ‘[a]</w:t>
      </w:r>
      <w:proofErr w:type="spellStart"/>
      <w:r w:rsidRPr="0023449E">
        <w:rPr>
          <w:rFonts w:cs="Arial"/>
        </w:rPr>
        <w:t>fter</w:t>
      </w:r>
      <w:proofErr w:type="spellEnd"/>
      <w:r w:rsidRPr="0023449E">
        <w:rPr>
          <w:rFonts w:cs="Arial"/>
        </w:rPr>
        <w:t xml:space="preserve"> controlling for hours </w:t>
      </w:r>
      <w:r w:rsidRPr="0023449E">
        <w:rPr>
          <w:rFonts w:cs="Arial"/>
        </w:rPr>
        <w:lastRenderedPageBreak/>
        <w:t>worked, wage growth has been broadly uniform across the employee income distribution from 2005 to 2015’.</w:t>
      </w:r>
      <w:r w:rsidRPr="0023449E">
        <w:rPr>
          <w:rStyle w:val="FootnoteReference"/>
          <w:rFonts w:cs="Arial"/>
        </w:rPr>
        <w:footnoteReference w:id="17"/>
      </w:r>
    </w:p>
    <w:p w:rsidR="0023449E" w:rsidRPr="0023449E" w:rsidRDefault="0023449E" w:rsidP="0023449E">
      <w:pPr>
        <w:ind w:right="-286"/>
        <w:rPr>
          <w:rFonts w:cs="Arial"/>
        </w:rPr>
      </w:pPr>
      <w:r w:rsidRPr="0023449E">
        <w:rPr>
          <w:rFonts w:cs="Arial"/>
        </w:rPr>
        <w:t>Can the Australian Government reconcile the two findings given that the former refers to weekly full-time non-managerial wages and the latter refers to annual total wage income?</w:t>
      </w:r>
    </w:p>
    <w:p w:rsidR="0023449E" w:rsidRPr="0023449E" w:rsidRDefault="0023449E" w:rsidP="0023449E">
      <w:pPr>
        <w:ind w:right="-286"/>
        <w:rPr>
          <w:rFonts w:cs="Arial"/>
        </w:rPr>
      </w:pPr>
      <w:r w:rsidRPr="0023449E">
        <w:rPr>
          <w:rFonts w:cs="Arial"/>
        </w:rPr>
        <w:t>Can the Australian Government replicate the data in Table 8.2 to include managerial employees?</w:t>
      </w:r>
    </w:p>
    <w:p w:rsidR="0023449E" w:rsidRPr="0023449E" w:rsidRDefault="0023449E" w:rsidP="0023449E">
      <w:pPr>
        <w:pStyle w:val="MWRHeading2"/>
        <w:tabs>
          <w:tab w:val="num" w:pos="851"/>
        </w:tabs>
        <w:spacing w:line="276" w:lineRule="auto"/>
        <w:ind w:right="-286"/>
        <w:rPr>
          <w:rFonts w:cs="Arial"/>
        </w:rPr>
      </w:pPr>
      <w:bookmarkStart w:id="60" w:name="_Toc510021495"/>
      <w:r w:rsidRPr="0023449E">
        <w:rPr>
          <w:rFonts w:cs="Arial"/>
        </w:rPr>
        <w:t>Question to the Australian Government</w:t>
      </w:r>
      <w:bookmarkEnd w:id="60"/>
    </w:p>
    <w:p w:rsidR="0023449E" w:rsidRPr="0023449E" w:rsidRDefault="0023449E" w:rsidP="0023449E">
      <w:pPr>
        <w:ind w:right="-286"/>
        <w:rPr>
          <w:rFonts w:cs="Arial"/>
        </w:rPr>
      </w:pPr>
      <w:r w:rsidRPr="0023449E">
        <w:rPr>
          <w:rFonts w:cs="Arial"/>
        </w:rPr>
        <w:t>The Australian Government refers to a median wage of full-time and part-time employees.</w:t>
      </w:r>
      <w:r w:rsidRPr="0023449E">
        <w:rPr>
          <w:rStyle w:val="FootnoteReference"/>
          <w:rFonts w:cs="Arial"/>
        </w:rPr>
        <w:footnoteReference w:id="18"/>
      </w:r>
      <w:r w:rsidRPr="0023449E">
        <w:rPr>
          <w:rFonts w:cs="Arial"/>
        </w:rPr>
        <w:t xml:space="preserve"> How are junior, apprentice and trainee wages, and the casual premium, treated in calculating this median wage?</w:t>
      </w:r>
    </w:p>
    <w:p w:rsidR="0023449E" w:rsidRPr="0023449E" w:rsidRDefault="0023449E" w:rsidP="0023449E">
      <w:pPr>
        <w:pStyle w:val="MWRHeading1"/>
        <w:ind w:right="-286"/>
      </w:pPr>
      <w:bookmarkStart w:id="61" w:name="_Toc509397035"/>
      <w:bookmarkStart w:id="62" w:name="_Toc509400418"/>
      <w:bookmarkStart w:id="63" w:name="_Toc509400650"/>
      <w:bookmarkStart w:id="64" w:name="_Toc509401795"/>
      <w:bookmarkStart w:id="65" w:name="_Toc509401838"/>
      <w:bookmarkStart w:id="66" w:name="_Toc509397036"/>
      <w:bookmarkStart w:id="67" w:name="_Toc509400419"/>
      <w:bookmarkStart w:id="68" w:name="_Toc509400651"/>
      <w:bookmarkStart w:id="69" w:name="_Toc509401796"/>
      <w:bookmarkStart w:id="70" w:name="_Toc509401839"/>
      <w:bookmarkStart w:id="71" w:name="_Toc509400652"/>
      <w:bookmarkStart w:id="72" w:name="_Toc509401797"/>
      <w:bookmarkStart w:id="73" w:name="_Toc509401840"/>
      <w:bookmarkStart w:id="74" w:name="_Toc509400653"/>
      <w:bookmarkStart w:id="75" w:name="_Toc509401798"/>
      <w:bookmarkStart w:id="76" w:name="_Toc509401841"/>
      <w:bookmarkStart w:id="77" w:name="_Toc509400654"/>
      <w:bookmarkStart w:id="78" w:name="_Toc509401799"/>
      <w:bookmarkStart w:id="79" w:name="_Toc509401842"/>
      <w:bookmarkStart w:id="80" w:name="_Toc509400655"/>
      <w:bookmarkStart w:id="81" w:name="_Toc509401800"/>
      <w:bookmarkStart w:id="82" w:name="_Toc509401843"/>
      <w:bookmarkStart w:id="83" w:name="_Toc509400656"/>
      <w:bookmarkStart w:id="84" w:name="_Toc509401801"/>
      <w:bookmarkStart w:id="85" w:name="_Toc509401844"/>
      <w:bookmarkStart w:id="86" w:name="_Toc509400657"/>
      <w:bookmarkStart w:id="87" w:name="_Toc509401802"/>
      <w:bookmarkStart w:id="88" w:name="_Toc509401845"/>
      <w:bookmarkStart w:id="89" w:name="_Toc509400658"/>
      <w:bookmarkStart w:id="90" w:name="_Toc509401803"/>
      <w:bookmarkStart w:id="91" w:name="_Toc509401846"/>
      <w:bookmarkStart w:id="92" w:name="_Toc509400659"/>
      <w:bookmarkStart w:id="93" w:name="_Toc509401804"/>
      <w:bookmarkStart w:id="94" w:name="_Toc509401847"/>
      <w:bookmarkStart w:id="95" w:name="_Toc509400660"/>
      <w:bookmarkStart w:id="96" w:name="_Toc509401805"/>
      <w:bookmarkStart w:id="97" w:name="_Toc509401848"/>
      <w:bookmarkStart w:id="98" w:name="_Toc509401806"/>
      <w:bookmarkStart w:id="99" w:name="_Toc509401849"/>
      <w:bookmarkStart w:id="100" w:name="_Toc51002149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23449E">
        <w:t>Promoting social inclus</w:t>
      </w:r>
      <w:r w:rsidRPr="0023449E">
        <w:t xml:space="preserve">ion through increased workforce </w:t>
      </w:r>
      <w:r w:rsidRPr="0023449E">
        <w:t>participation</w:t>
      </w:r>
      <w:bookmarkEnd w:id="100"/>
    </w:p>
    <w:p w:rsidR="0023449E" w:rsidRPr="0023449E" w:rsidRDefault="0023449E" w:rsidP="0023449E">
      <w:pPr>
        <w:pStyle w:val="MWRHeading2"/>
        <w:tabs>
          <w:tab w:val="num" w:pos="851"/>
        </w:tabs>
        <w:spacing w:line="276" w:lineRule="auto"/>
        <w:ind w:right="-286"/>
        <w:rPr>
          <w:rFonts w:cs="Arial"/>
        </w:rPr>
      </w:pPr>
      <w:bookmarkStart w:id="101" w:name="_Toc510021497"/>
      <w:r w:rsidRPr="0023449E">
        <w:rPr>
          <w:rFonts w:cs="Arial"/>
        </w:rPr>
        <w:t>Question to the Australian Government</w:t>
      </w:r>
      <w:bookmarkEnd w:id="101"/>
    </w:p>
    <w:p w:rsidR="0023449E" w:rsidRPr="0023449E" w:rsidRDefault="0023449E" w:rsidP="0023449E">
      <w:pPr>
        <w:ind w:right="-286"/>
        <w:rPr>
          <w:rFonts w:cs="Arial"/>
        </w:rPr>
      </w:pPr>
      <w:r w:rsidRPr="0023449E">
        <w:rPr>
          <w:rFonts w:cs="Arial"/>
        </w:rPr>
        <w:t>The Australian Government references the requirement for the Expert Panel to take into account the promotion of social inclusion through increased workforce participation.</w:t>
      </w:r>
      <w:r w:rsidRPr="0023449E">
        <w:rPr>
          <w:rStyle w:val="FootnoteReference"/>
          <w:rFonts w:cs="Arial"/>
        </w:rPr>
        <w:footnoteReference w:id="19"/>
      </w:r>
      <w:r w:rsidRPr="0023449E">
        <w:rPr>
          <w:rFonts w:cs="Arial"/>
        </w:rPr>
        <w:t xml:space="preserve"> It implies that consideration of this requirement would be assisted by knowing the distribution of low-paid employees among the income distribution of all households, including those who are outside the labour force. Can the Australian Government explain how the latter informs the former?</w:t>
      </w:r>
    </w:p>
    <w:p w:rsidR="0023449E" w:rsidRPr="0023449E" w:rsidRDefault="0023449E" w:rsidP="0023449E">
      <w:pPr>
        <w:pStyle w:val="MWRHeading2"/>
        <w:spacing w:line="276" w:lineRule="auto"/>
        <w:ind w:right="-286"/>
        <w:rPr>
          <w:rFonts w:cs="Arial"/>
        </w:rPr>
      </w:pPr>
      <w:bookmarkStart w:id="102" w:name="_Toc510021498"/>
      <w:r w:rsidRPr="0023449E">
        <w:rPr>
          <w:rFonts w:cs="Arial"/>
        </w:rPr>
        <w:t>Question to the Australian Government</w:t>
      </w:r>
      <w:bookmarkEnd w:id="102"/>
    </w:p>
    <w:p w:rsidR="0023449E" w:rsidRPr="0023449E" w:rsidRDefault="0023449E" w:rsidP="0023449E">
      <w:pPr>
        <w:ind w:right="-286"/>
        <w:rPr>
          <w:rFonts w:cs="Arial"/>
        </w:rPr>
      </w:pPr>
      <w:r w:rsidRPr="0023449E">
        <w:rPr>
          <w:rFonts w:cs="Arial"/>
        </w:rPr>
        <w:t>The Australian Government summarises the findings of a research paper on the employment impacts of the two large tranches of increases in the Seattle minimum wage. It provides figures that imply that overall the minimum wage rose by 37 per cent over two years (2015–2016) and that hours worked in low-wage jobs fell by 9.4 per cent as a result of the increase in the second year.</w:t>
      </w:r>
      <w:r w:rsidRPr="0023449E">
        <w:rPr>
          <w:rStyle w:val="FootnoteReference"/>
          <w:rFonts w:cs="Arial"/>
        </w:rPr>
        <w:t xml:space="preserve"> </w:t>
      </w:r>
      <w:r w:rsidRPr="0023449E">
        <w:rPr>
          <w:rFonts w:cs="Arial"/>
        </w:rPr>
        <w:t>It then states that the research concludes that ‘the lost income associated with the reduced hours exceeded the gain associated with the wage increase’.</w:t>
      </w:r>
      <w:r w:rsidRPr="0023449E">
        <w:rPr>
          <w:rStyle w:val="FootnoteReference"/>
          <w:rFonts w:cs="Arial"/>
        </w:rPr>
        <w:footnoteReference w:id="20"/>
      </w:r>
      <w:r w:rsidRPr="0023449E">
        <w:rPr>
          <w:rFonts w:cs="Arial"/>
        </w:rPr>
        <w:t xml:space="preserve"> Can the Australian Government explain how the figures cited above can be consistent with this claim?</w:t>
      </w:r>
    </w:p>
    <w:p w:rsidR="0023449E" w:rsidRPr="0023449E" w:rsidRDefault="0023449E" w:rsidP="0023449E">
      <w:pPr>
        <w:pStyle w:val="MWRHeading1"/>
        <w:spacing w:line="276" w:lineRule="auto"/>
        <w:ind w:right="-286"/>
        <w:rPr>
          <w:rFonts w:cs="Arial"/>
        </w:rPr>
      </w:pPr>
      <w:bookmarkStart w:id="103" w:name="_Toc510021499"/>
      <w:r w:rsidRPr="0023449E">
        <w:rPr>
          <w:rFonts w:cs="Arial"/>
        </w:rPr>
        <w:t>Equal remuneration</w:t>
      </w:r>
      <w:bookmarkEnd w:id="103"/>
    </w:p>
    <w:p w:rsidR="0023449E" w:rsidRPr="0023449E" w:rsidRDefault="0023449E" w:rsidP="0023449E">
      <w:pPr>
        <w:pStyle w:val="MWRHeading2"/>
        <w:spacing w:line="276" w:lineRule="auto"/>
        <w:ind w:right="-286"/>
        <w:rPr>
          <w:rFonts w:cs="Arial"/>
        </w:rPr>
      </w:pPr>
      <w:bookmarkStart w:id="104" w:name="_Toc510021500"/>
      <w:r w:rsidRPr="0023449E">
        <w:rPr>
          <w:rFonts w:cs="Arial"/>
        </w:rPr>
        <w:t>Question to all parties</w:t>
      </w:r>
      <w:bookmarkEnd w:id="104"/>
    </w:p>
    <w:p w:rsidR="0023449E" w:rsidRPr="0023449E" w:rsidRDefault="0023449E" w:rsidP="0023449E">
      <w:pPr>
        <w:ind w:right="-286"/>
        <w:rPr>
          <w:rFonts w:cs="Arial"/>
        </w:rPr>
      </w:pPr>
      <w:r w:rsidRPr="0023449E">
        <w:rPr>
          <w:rFonts w:cs="Arial"/>
        </w:rPr>
        <w:t xml:space="preserve">The ACTU submission suggests that the ‘principle of equal remuneration for work of equal or comparable value’, as referenced in </w:t>
      </w:r>
      <w:proofErr w:type="gramStart"/>
      <w:r w:rsidRPr="0023449E">
        <w:rPr>
          <w:rFonts w:cs="Arial"/>
        </w:rPr>
        <w:t>ss.134(</w:t>
      </w:r>
      <w:proofErr w:type="gramEnd"/>
      <w:r w:rsidRPr="0023449E">
        <w:rPr>
          <w:rFonts w:cs="Arial"/>
        </w:rPr>
        <w:t>1)(e) and 284(1)(d), is not relevant to the Panel’s functions in an Annual Wage Review.</w:t>
      </w:r>
      <w:r w:rsidRPr="0023449E">
        <w:rPr>
          <w:rStyle w:val="FootnoteReference"/>
          <w:rFonts w:cs="Arial"/>
        </w:rPr>
        <w:footnoteReference w:id="21"/>
      </w:r>
    </w:p>
    <w:p w:rsidR="0023449E" w:rsidRPr="0023449E" w:rsidRDefault="0023449E" w:rsidP="0023449E">
      <w:pPr>
        <w:ind w:right="-286"/>
        <w:rPr>
          <w:rFonts w:cs="Arial"/>
        </w:rPr>
      </w:pPr>
      <w:r w:rsidRPr="0023449E">
        <w:rPr>
          <w:rFonts w:cs="Arial"/>
        </w:rPr>
        <w:t>Does any party take a contrary view?</w:t>
      </w:r>
    </w:p>
    <w:p w:rsidR="0023449E" w:rsidRPr="0023449E" w:rsidRDefault="0023449E" w:rsidP="0023449E">
      <w:pPr>
        <w:rPr>
          <w:rFonts w:cs="Arial"/>
        </w:rPr>
      </w:pPr>
    </w:p>
    <w:p w:rsidR="00AA38BE" w:rsidRPr="0023449E" w:rsidRDefault="00AA38BE">
      <w:pPr>
        <w:spacing w:before="0" w:after="0" w:line="240" w:lineRule="auto"/>
        <w:rPr>
          <w:rFonts w:cs="Arial"/>
        </w:rPr>
      </w:pPr>
    </w:p>
    <w:sectPr w:rsidR="00AA38BE" w:rsidRPr="0023449E" w:rsidSect="003A01AA">
      <w:footerReference w:type="even" r:id="rId9"/>
      <w:footerReference w:type="default" r:id="rId10"/>
      <w:pgSz w:w="11906" w:h="16838" w:code="9"/>
      <w:pgMar w:top="1134" w:right="1418" w:bottom="1134" w:left="1418" w:header="1134" w:footer="851"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9E" w:rsidRDefault="0023449E">
      <w:r>
        <w:separator/>
      </w:r>
    </w:p>
  </w:endnote>
  <w:endnote w:type="continuationSeparator" w:id="0">
    <w:p w:rsidR="0023449E" w:rsidRDefault="002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84" w:rsidRDefault="00AC7D84" w:rsidP="00A46375">
    <w:pPr>
      <w:pStyle w:val="Footer"/>
      <w:pBdr>
        <w:top w:val="single" w:sz="4" w:space="1" w:color="auto"/>
      </w:pBdr>
      <w:spacing w:before="240"/>
      <w:ind w:left="-510"/>
    </w:pPr>
    <w:r>
      <w:rPr>
        <w:rStyle w:val="PageNumber"/>
      </w:rPr>
      <w:fldChar w:fldCharType="begin"/>
    </w:r>
    <w:r>
      <w:rPr>
        <w:rStyle w:val="PageNumber"/>
      </w:rPr>
      <w:instrText xml:space="preserve"> PAGE </w:instrText>
    </w:r>
    <w:r>
      <w:rPr>
        <w:rStyle w:val="PageNumber"/>
      </w:rPr>
      <w:fldChar w:fldCharType="separate"/>
    </w:r>
    <w:r w:rsidR="00CD1C8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84" w:rsidRDefault="00AC7D84" w:rsidP="00A46375">
    <w:pPr>
      <w:pStyle w:val="Footer"/>
      <w:pBdr>
        <w:top w:val="single" w:sz="4" w:space="1" w:color="auto"/>
      </w:pBdr>
      <w:spacing w:before="240"/>
      <w:ind w:right="-510"/>
      <w:jc w:val="right"/>
    </w:pPr>
    <w:r>
      <w:rPr>
        <w:rStyle w:val="PageNumber"/>
      </w:rPr>
      <w:fldChar w:fldCharType="begin"/>
    </w:r>
    <w:r>
      <w:rPr>
        <w:rStyle w:val="PageNumber"/>
      </w:rPr>
      <w:instrText xml:space="preserve"> PAGE </w:instrText>
    </w:r>
    <w:r>
      <w:rPr>
        <w:rStyle w:val="PageNumber"/>
      </w:rPr>
      <w:fldChar w:fldCharType="separate"/>
    </w:r>
    <w:r w:rsidR="00CD1C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9E" w:rsidRDefault="0023449E">
      <w:r>
        <w:separator/>
      </w:r>
    </w:p>
  </w:footnote>
  <w:footnote w:type="continuationSeparator" w:id="0">
    <w:p w:rsidR="0023449E" w:rsidRDefault="0023449E">
      <w:r>
        <w:continuationSeparator/>
      </w:r>
    </w:p>
  </w:footnote>
  <w:footnote w:id="1">
    <w:p w:rsidR="0023449E" w:rsidRDefault="0023449E" w:rsidP="0023449E">
      <w:pPr>
        <w:pStyle w:val="FootnoteText"/>
      </w:pPr>
      <w:r>
        <w:rPr>
          <w:rStyle w:val="FootnoteReference"/>
        </w:rPr>
        <w:footnoteRef/>
      </w:r>
      <w:r>
        <w:t xml:space="preserve"> </w:t>
      </w:r>
      <w:proofErr w:type="gramStart"/>
      <w:r>
        <w:t>[2018] FWCFB 2.</w:t>
      </w:r>
      <w:proofErr w:type="gramEnd"/>
    </w:p>
  </w:footnote>
  <w:footnote w:id="2">
    <w:p w:rsidR="0023449E" w:rsidRDefault="0023449E" w:rsidP="0023449E">
      <w:pPr>
        <w:pStyle w:val="FootnoteText"/>
      </w:pPr>
      <w:r>
        <w:rPr>
          <w:rStyle w:val="FootnoteReference"/>
        </w:rPr>
        <w:footnoteRef/>
      </w:r>
      <w:r>
        <w:t xml:space="preserve"> </w:t>
      </w:r>
      <w:proofErr w:type="gramStart"/>
      <w:r>
        <w:t>[2018] FWCFB 2 at para.</w:t>
      </w:r>
      <w:proofErr w:type="gramEnd"/>
      <w:r>
        <w:t xml:space="preserve"> 43.</w:t>
      </w:r>
    </w:p>
  </w:footnote>
  <w:footnote w:id="3">
    <w:p w:rsidR="0023449E" w:rsidRDefault="0023449E" w:rsidP="0023449E">
      <w:pPr>
        <w:pStyle w:val="FootnoteText"/>
      </w:pPr>
      <w:r>
        <w:rPr>
          <w:rStyle w:val="FootnoteReference"/>
        </w:rPr>
        <w:footnoteRef/>
      </w:r>
      <w:r>
        <w:t xml:space="preserve"> </w:t>
      </w:r>
      <w:proofErr w:type="gramStart"/>
      <w:r>
        <w:t>ACTU submission, 13 March 2018 at para.</w:t>
      </w:r>
      <w:proofErr w:type="gramEnd"/>
      <w:r>
        <w:t xml:space="preserve"> 504.</w:t>
      </w:r>
    </w:p>
  </w:footnote>
  <w:footnote w:id="4">
    <w:p w:rsidR="0023449E" w:rsidRDefault="0023449E" w:rsidP="0023449E">
      <w:pPr>
        <w:pStyle w:val="FootnoteText"/>
      </w:pPr>
      <w:r>
        <w:rPr>
          <w:rStyle w:val="FootnoteReference"/>
        </w:rPr>
        <w:footnoteRef/>
      </w:r>
      <w:r>
        <w:t xml:space="preserve"> </w:t>
      </w:r>
      <w:proofErr w:type="gramStart"/>
      <w:r>
        <w:t>ACTU submission, 13 March 2018 at para.</w:t>
      </w:r>
      <w:proofErr w:type="gramEnd"/>
      <w:r>
        <w:t xml:space="preserve"> 4.</w:t>
      </w:r>
    </w:p>
  </w:footnote>
  <w:footnote w:id="5">
    <w:p w:rsidR="0023449E" w:rsidRDefault="0023449E" w:rsidP="0023449E">
      <w:pPr>
        <w:pStyle w:val="FootnoteText"/>
      </w:pPr>
      <w:r>
        <w:rPr>
          <w:rStyle w:val="FootnoteReference"/>
        </w:rPr>
        <w:footnoteRef/>
      </w:r>
      <w:r>
        <w:t xml:space="preserve"> </w:t>
      </w:r>
      <w:proofErr w:type="gramStart"/>
      <w:r>
        <w:t>ACTU submission, 13 March 2018 at para.</w:t>
      </w:r>
      <w:proofErr w:type="gramEnd"/>
      <w:r>
        <w:t xml:space="preserve"> 9.</w:t>
      </w:r>
    </w:p>
  </w:footnote>
  <w:footnote w:id="6">
    <w:p w:rsidR="0023449E" w:rsidRDefault="0023449E" w:rsidP="0023449E">
      <w:pPr>
        <w:pStyle w:val="FootnoteText"/>
      </w:pPr>
      <w:r>
        <w:rPr>
          <w:rStyle w:val="FootnoteReference"/>
        </w:rPr>
        <w:footnoteRef/>
      </w:r>
      <w:r>
        <w:t xml:space="preserve"> </w:t>
      </w:r>
      <w:proofErr w:type="gramStart"/>
      <w:r>
        <w:t>ACTU submission, 13 March 2018 at para.</w:t>
      </w:r>
      <w:proofErr w:type="gramEnd"/>
      <w:r>
        <w:t xml:space="preserve"> </w:t>
      </w:r>
      <w:proofErr w:type="gramStart"/>
      <w:r>
        <w:t>8; [2017] FWCFB 3500 at para.</w:t>
      </w:r>
      <w:proofErr w:type="gramEnd"/>
      <w:r>
        <w:t xml:space="preserve"> 523.</w:t>
      </w:r>
    </w:p>
  </w:footnote>
  <w:footnote w:id="7">
    <w:p w:rsidR="0023449E" w:rsidRDefault="0023449E" w:rsidP="0023449E">
      <w:pPr>
        <w:pStyle w:val="FootnoteText"/>
      </w:pPr>
      <w:r>
        <w:rPr>
          <w:rStyle w:val="FootnoteReference"/>
        </w:rPr>
        <w:footnoteRef/>
      </w:r>
      <w:r>
        <w:t xml:space="preserve"> </w:t>
      </w:r>
      <w:proofErr w:type="gramStart"/>
      <w:r>
        <w:t>Australian Government submission, 13 March 2018 at paras 87–88.</w:t>
      </w:r>
      <w:proofErr w:type="gramEnd"/>
    </w:p>
  </w:footnote>
  <w:footnote w:id="8">
    <w:p w:rsidR="0023449E" w:rsidRPr="00C309A9" w:rsidRDefault="0023449E" w:rsidP="0023449E">
      <w:pPr>
        <w:pStyle w:val="FootnoteText"/>
      </w:pPr>
      <w:r>
        <w:rPr>
          <w:rStyle w:val="FootnoteReference"/>
        </w:rPr>
        <w:footnoteRef/>
      </w:r>
      <w:r>
        <w:t xml:space="preserve"> </w:t>
      </w:r>
      <w:proofErr w:type="gramStart"/>
      <w:r>
        <w:t>[2017] FWCFB 3500 at para.</w:t>
      </w:r>
      <w:proofErr w:type="gramEnd"/>
      <w:r>
        <w:t xml:space="preserve"> 228.</w:t>
      </w:r>
    </w:p>
  </w:footnote>
  <w:footnote w:id="9">
    <w:p w:rsidR="0023449E" w:rsidRDefault="0023449E" w:rsidP="0023449E">
      <w:pPr>
        <w:pStyle w:val="FootnoteText"/>
      </w:pPr>
      <w:r>
        <w:rPr>
          <w:rStyle w:val="FootnoteReference"/>
        </w:rPr>
        <w:footnoteRef/>
      </w:r>
      <w:r>
        <w:t xml:space="preserve"> </w:t>
      </w:r>
      <w:proofErr w:type="gramStart"/>
      <w:r>
        <w:t>ACCI submission, 13 March 2018 at para.</w:t>
      </w:r>
      <w:proofErr w:type="gramEnd"/>
      <w:r>
        <w:t xml:space="preserve"> 88.</w:t>
      </w:r>
    </w:p>
  </w:footnote>
  <w:footnote w:id="10">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14.</w:t>
      </w:r>
    </w:p>
  </w:footnote>
  <w:footnote w:id="11">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82.</w:t>
      </w:r>
    </w:p>
  </w:footnote>
  <w:footnote w:id="12">
    <w:p w:rsidR="0023449E" w:rsidRPr="00146933" w:rsidRDefault="0023449E" w:rsidP="0023449E">
      <w:pPr>
        <w:pStyle w:val="FootnoteText"/>
      </w:pPr>
      <w:r>
        <w:rPr>
          <w:rStyle w:val="FootnoteReference"/>
        </w:rPr>
        <w:footnoteRef/>
      </w:r>
      <w:r>
        <w:t xml:space="preserve"> </w:t>
      </w:r>
      <w:proofErr w:type="gramStart"/>
      <w:r>
        <w:t>ACTU submission, 13 March 2018 at para.</w:t>
      </w:r>
      <w:proofErr w:type="gramEnd"/>
      <w:r>
        <w:t xml:space="preserve"> 62.</w:t>
      </w:r>
    </w:p>
  </w:footnote>
  <w:footnote w:id="13">
    <w:p w:rsidR="0023449E" w:rsidRDefault="0023449E" w:rsidP="0023449E">
      <w:pPr>
        <w:pStyle w:val="FootnoteText"/>
      </w:pPr>
      <w:r>
        <w:rPr>
          <w:rStyle w:val="FootnoteReference"/>
        </w:rPr>
        <w:footnoteRef/>
      </w:r>
      <w:r>
        <w:t xml:space="preserve"> </w:t>
      </w:r>
      <w:proofErr w:type="gramStart"/>
      <w:r>
        <w:t>Australian Government submission, 13 March 2018 at p. 51.</w:t>
      </w:r>
      <w:proofErr w:type="gramEnd"/>
    </w:p>
  </w:footnote>
  <w:footnote w:id="14">
    <w:p w:rsidR="0023449E" w:rsidRPr="00174B79" w:rsidRDefault="0023449E" w:rsidP="0023449E">
      <w:pPr>
        <w:pStyle w:val="FootnoteText"/>
      </w:pPr>
      <w:r>
        <w:rPr>
          <w:rStyle w:val="FootnoteReference"/>
        </w:rPr>
        <w:footnoteRef/>
      </w:r>
      <w:r>
        <w:t xml:space="preserve"> </w:t>
      </w:r>
      <w:proofErr w:type="gramStart"/>
      <w:r>
        <w:t>ACTU submission, 13 March 2018 at para.</w:t>
      </w:r>
      <w:proofErr w:type="gramEnd"/>
      <w:r>
        <w:t xml:space="preserve"> 360.</w:t>
      </w:r>
    </w:p>
  </w:footnote>
  <w:footnote w:id="15">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130.</w:t>
      </w:r>
    </w:p>
  </w:footnote>
  <w:footnote w:id="16">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255.</w:t>
      </w:r>
    </w:p>
  </w:footnote>
  <w:footnote w:id="17">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256.</w:t>
      </w:r>
    </w:p>
  </w:footnote>
  <w:footnote w:id="18">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34.</w:t>
      </w:r>
    </w:p>
  </w:footnote>
  <w:footnote w:id="19">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46.</w:t>
      </w:r>
    </w:p>
  </w:footnote>
  <w:footnote w:id="20">
    <w:p w:rsidR="0023449E" w:rsidRDefault="0023449E" w:rsidP="0023449E">
      <w:pPr>
        <w:pStyle w:val="FootnoteText"/>
      </w:pPr>
      <w:r>
        <w:rPr>
          <w:rStyle w:val="FootnoteReference"/>
        </w:rPr>
        <w:footnoteRef/>
      </w:r>
      <w:r>
        <w:t xml:space="preserve"> </w:t>
      </w:r>
      <w:proofErr w:type="gramStart"/>
      <w:r>
        <w:t>Australian Government submission, 13 March 2018 at para.</w:t>
      </w:r>
      <w:proofErr w:type="gramEnd"/>
      <w:r>
        <w:t xml:space="preserve"> 230.</w:t>
      </w:r>
    </w:p>
  </w:footnote>
  <w:footnote w:id="21">
    <w:p w:rsidR="0023449E" w:rsidRDefault="0023449E" w:rsidP="0023449E">
      <w:pPr>
        <w:pStyle w:val="FootnoteText"/>
      </w:pPr>
      <w:r>
        <w:rPr>
          <w:rStyle w:val="FootnoteReference"/>
        </w:rPr>
        <w:footnoteRef/>
      </w:r>
      <w:r>
        <w:t xml:space="preserve"> </w:t>
      </w:r>
      <w:proofErr w:type="gramStart"/>
      <w:r>
        <w:t>ACTU submission, 13 March 2018 at paras 478–483.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667860"/>
    <w:lvl w:ilvl="0">
      <w:start w:val="1"/>
      <w:numFmt w:val="decimal"/>
      <w:lvlText w:val="%1."/>
      <w:lvlJc w:val="left"/>
      <w:pPr>
        <w:tabs>
          <w:tab w:val="num" w:pos="1492"/>
        </w:tabs>
        <w:ind w:left="1492" w:hanging="360"/>
      </w:pPr>
    </w:lvl>
  </w:abstractNum>
  <w:abstractNum w:abstractNumId="1">
    <w:nsid w:val="FFFFFF7D"/>
    <w:multiLevelType w:val="singleLevel"/>
    <w:tmpl w:val="BD50151E"/>
    <w:lvl w:ilvl="0">
      <w:start w:val="1"/>
      <w:numFmt w:val="decimal"/>
      <w:lvlText w:val="%1."/>
      <w:lvlJc w:val="left"/>
      <w:pPr>
        <w:tabs>
          <w:tab w:val="num" w:pos="1209"/>
        </w:tabs>
        <w:ind w:left="1209" w:hanging="360"/>
      </w:pPr>
    </w:lvl>
  </w:abstractNum>
  <w:abstractNum w:abstractNumId="2">
    <w:nsid w:val="FFFFFF7E"/>
    <w:multiLevelType w:val="singleLevel"/>
    <w:tmpl w:val="A65A4D18"/>
    <w:lvl w:ilvl="0">
      <w:start w:val="1"/>
      <w:numFmt w:val="decimal"/>
      <w:lvlText w:val="%1."/>
      <w:lvlJc w:val="left"/>
      <w:pPr>
        <w:tabs>
          <w:tab w:val="num" w:pos="926"/>
        </w:tabs>
        <w:ind w:left="926" w:hanging="360"/>
      </w:pPr>
    </w:lvl>
  </w:abstractNum>
  <w:abstractNum w:abstractNumId="3">
    <w:nsid w:val="FFFFFF7F"/>
    <w:multiLevelType w:val="singleLevel"/>
    <w:tmpl w:val="EDAC62B2"/>
    <w:lvl w:ilvl="0">
      <w:start w:val="1"/>
      <w:numFmt w:val="decimal"/>
      <w:lvlText w:val="%1."/>
      <w:lvlJc w:val="left"/>
      <w:pPr>
        <w:tabs>
          <w:tab w:val="num" w:pos="643"/>
        </w:tabs>
        <w:ind w:left="643" w:hanging="360"/>
      </w:pPr>
    </w:lvl>
  </w:abstractNum>
  <w:abstractNum w:abstractNumId="4">
    <w:nsid w:val="FFFFFF80"/>
    <w:multiLevelType w:val="singleLevel"/>
    <w:tmpl w:val="29BEB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C03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D06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6A9C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2E28D0"/>
    <w:lvl w:ilvl="0">
      <w:start w:val="1"/>
      <w:numFmt w:val="decimal"/>
      <w:lvlText w:val="%1."/>
      <w:lvlJc w:val="left"/>
      <w:pPr>
        <w:tabs>
          <w:tab w:val="num" w:pos="360"/>
        </w:tabs>
        <w:ind w:left="360" w:hanging="360"/>
      </w:pPr>
    </w:lvl>
  </w:abstractNum>
  <w:abstractNum w:abstractNumId="9">
    <w:nsid w:val="FFFFFF89"/>
    <w:multiLevelType w:val="singleLevel"/>
    <w:tmpl w:val="2884AAD0"/>
    <w:lvl w:ilvl="0">
      <w:start w:val="1"/>
      <w:numFmt w:val="bullet"/>
      <w:lvlText w:val=""/>
      <w:lvlJc w:val="left"/>
      <w:pPr>
        <w:tabs>
          <w:tab w:val="num" w:pos="360"/>
        </w:tabs>
        <w:ind w:left="360" w:hanging="360"/>
      </w:pPr>
      <w:rPr>
        <w:rFonts w:ascii="Symbol" w:hAnsi="Symbol" w:hint="default"/>
      </w:rPr>
    </w:lvl>
  </w:abstractNum>
  <w:abstractNum w:abstractNumId="10">
    <w:nsid w:val="08887C63"/>
    <w:multiLevelType w:val="hybridMultilevel"/>
    <w:tmpl w:val="659C793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1">
    <w:nsid w:val="2400524E"/>
    <w:multiLevelType w:val="multilevel"/>
    <w:tmpl w:val="8CA2BB76"/>
    <w:lvl w:ilvl="0">
      <w:start w:val="1"/>
      <w:numFmt w:val="decimal"/>
      <w:lvlText w:val="%1"/>
      <w:lvlJc w:val="left"/>
      <w:pPr>
        <w:tabs>
          <w:tab w:val="num" w:pos="425"/>
        </w:tabs>
        <w:ind w:left="425" w:hanging="425"/>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701"/>
        </w:tabs>
        <w:ind w:left="1701" w:hanging="170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B231797"/>
    <w:multiLevelType w:val="hybridMultilevel"/>
    <w:tmpl w:val="CE3EC378"/>
    <w:lvl w:ilvl="0" w:tplc="7BECA2F2">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3">
    <w:nsid w:val="3672008C"/>
    <w:multiLevelType w:val="hybridMultilevel"/>
    <w:tmpl w:val="48AAEEF6"/>
    <w:lvl w:ilvl="0" w:tplc="E2B01E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882EC2"/>
    <w:multiLevelType w:val="hybridMultilevel"/>
    <w:tmpl w:val="8B2447B0"/>
    <w:lvl w:ilvl="0" w:tplc="048016A8">
      <w:start w:val="1"/>
      <w:numFmt w:val="bullet"/>
      <w:pStyle w:val="MWRBullet1"/>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725FEF"/>
    <w:multiLevelType w:val="hybridMultilevel"/>
    <w:tmpl w:val="F4C49488"/>
    <w:lvl w:ilvl="0" w:tplc="E43C4E56">
      <w:start w:val="1"/>
      <w:numFmt w:val="bullet"/>
      <w:pStyle w:val="MWRBullet3"/>
      <w:lvlText w:val="o"/>
      <w:lvlJc w:val="left"/>
      <w:pPr>
        <w:tabs>
          <w:tab w:val="num" w:pos="1276"/>
        </w:tabs>
        <w:ind w:left="1276" w:hanging="425"/>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4F00E9A"/>
    <w:multiLevelType w:val="hybridMultilevel"/>
    <w:tmpl w:val="4A34FEA8"/>
    <w:lvl w:ilvl="0" w:tplc="D9089394">
      <w:start w:val="1"/>
      <w:numFmt w:val="bullet"/>
      <w:pStyle w:val="MWRBullet2"/>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EF20916"/>
    <w:multiLevelType w:val="multilevel"/>
    <w:tmpl w:val="DF901930"/>
    <w:lvl w:ilvl="0">
      <w:start w:val="1"/>
      <w:numFmt w:val="decimal"/>
      <w:pStyle w:val="MWRHeading1"/>
      <w:lvlText w:val="%1"/>
      <w:lvlJc w:val="left"/>
      <w:pPr>
        <w:tabs>
          <w:tab w:val="num" w:pos="425"/>
        </w:tabs>
        <w:ind w:left="425" w:hanging="425"/>
      </w:pPr>
      <w:rPr>
        <w:rFonts w:hint="default"/>
      </w:rPr>
    </w:lvl>
    <w:lvl w:ilvl="1">
      <w:start w:val="1"/>
      <w:numFmt w:val="decimal"/>
      <w:pStyle w:val="MWRHeading2"/>
      <w:lvlText w:val="%1.%2"/>
      <w:lvlJc w:val="left"/>
      <w:pPr>
        <w:tabs>
          <w:tab w:val="num" w:pos="851"/>
        </w:tabs>
        <w:ind w:left="851" w:hanging="851"/>
      </w:pPr>
      <w:rPr>
        <w:rFonts w:hint="default"/>
      </w:rPr>
    </w:lvl>
    <w:lvl w:ilvl="2">
      <w:start w:val="1"/>
      <w:numFmt w:val="decimal"/>
      <w:pStyle w:val="MWRHeading3"/>
      <w:lvlText w:val="%1.%2.%3"/>
      <w:lvlJc w:val="left"/>
      <w:pPr>
        <w:tabs>
          <w:tab w:val="num" w:pos="1276"/>
        </w:tabs>
        <w:ind w:left="1276" w:hanging="1276"/>
      </w:pPr>
      <w:rPr>
        <w:rFonts w:hint="default"/>
      </w:rPr>
    </w:lvl>
    <w:lvl w:ilvl="3">
      <w:start w:val="1"/>
      <w:numFmt w:val="decimal"/>
      <w:pStyle w:val="MWRHeading4"/>
      <w:lvlText w:val="%1.%2.%3.%4"/>
      <w:lvlJc w:val="left"/>
      <w:pPr>
        <w:tabs>
          <w:tab w:val="num" w:pos="1701"/>
        </w:tabs>
        <w:ind w:left="1701" w:hanging="1701"/>
      </w:pPr>
      <w:rPr>
        <w:rFonts w:hint="default"/>
      </w:rPr>
    </w:lvl>
    <w:lvl w:ilvl="4">
      <w:start w:val="1"/>
      <w:numFmt w:val="decimal"/>
      <w:pStyle w:val="MWRHeading5"/>
      <w:lvlText w:val="%1.%2.%3.%4.%5"/>
      <w:lvlJc w:val="left"/>
      <w:pPr>
        <w:tabs>
          <w:tab w:val="num" w:pos="1701"/>
        </w:tabs>
        <w:ind w:left="1701" w:hanging="1701"/>
      </w:pPr>
      <w:rPr>
        <w:rFonts w:hint="default"/>
      </w:rPr>
    </w:lvl>
    <w:lvl w:ilvl="5">
      <w:start w:val="1"/>
      <w:numFmt w:val="decimal"/>
      <w:pStyle w:val="MWRHeading6"/>
      <w:lvlText w:val="%1.%2.%3.%4.%5.%6"/>
      <w:lvlJc w:val="left"/>
      <w:pPr>
        <w:tabs>
          <w:tab w:val="num" w:pos="1701"/>
        </w:tabs>
        <w:ind w:left="1701" w:hanging="1701"/>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1"/>
  </w:num>
  <w:num w:numId="2">
    <w:abstractNumId w:val="14"/>
  </w:num>
  <w:num w:numId="3">
    <w:abstractNumId w:val="16"/>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9E"/>
    <w:rsid w:val="00034769"/>
    <w:rsid w:val="00051621"/>
    <w:rsid w:val="0006492A"/>
    <w:rsid w:val="000649F6"/>
    <w:rsid w:val="00066B04"/>
    <w:rsid w:val="000675B5"/>
    <w:rsid w:val="00086FB7"/>
    <w:rsid w:val="00096407"/>
    <w:rsid w:val="000C6AEC"/>
    <w:rsid w:val="000F15CD"/>
    <w:rsid w:val="00130744"/>
    <w:rsid w:val="00155BB2"/>
    <w:rsid w:val="001679A3"/>
    <w:rsid w:val="001912B8"/>
    <w:rsid w:val="001D2410"/>
    <w:rsid w:val="001D5525"/>
    <w:rsid w:val="001E1F39"/>
    <w:rsid w:val="001E3BF4"/>
    <w:rsid w:val="00202A46"/>
    <w:rsid w:val="00212969"/>
    <w:rsid w:val="0023449E"/>
    <w:rsid w:val="00237730"/>
    <w:rsid w:val="002378B2"/>
    <w:rsid w:val="00246000"/>
    <w:rsid w:val="00271109"/>
    <w:rsid w:val="002D02E3"/>
    <w:rsid w:val="002E1782"/>
    <w:rsid w:val="002E5BB8"/>
    <w:rsid w:val="002F4448"/>
    <w:rsid w:val="003149DF"/>
    <w:rsid w:val="00320E9B"/>
    <w:rsid w:val="00323A56"/>
    <w:rsid w:val="0032763A"/>
    <w:rsid w:val="0033367A"/>
    <w:rsid w:val="003723AF"/>
    <w:rsid w:val="003A01AA"/>
    <w:rsid w:val="003A7D71"/>
    <w:rsid w:val="003B348F"/>
    <w:rsid w:val="003B719E"/>
    <w:rsid w:val="003C2B27"/>
    <w:rsid w:val="003C4B02"/>
    <w:rsid w:val="003D0220"/>
    <w:rsid w:val="003D2402"/>
    <w:rsid w:val="00403E56"/>
    <w:rsid w:val="00415ACA"/>
    <w:rsid w:val="0042341D"/>
    <w:rsid w:val="004318C0"/>
    <w:rsid w:val="00441552"/>
    <w:rsid w:val="00462E0E"/>
    <w:rsid w:val="00477862"/>
    <w:rsid w:val="004A2937"/>
    <w:rsid w:val="004B25AA"/>
    <w:rsid w:val="004B7EF1"/>
    <w:rsid w:val="004E7901"/>
    <w:rsid w:val="004E7D8F"/>
    <w:rsid w:val="004F7D34"/>
    <w:rsid w:val="0050014D"/>
    <w:rsid w:val="005228E2"/>
    <w:rsid w:val="0052795E"/>
    <w:rsid w:val="005312CF"/>
    <w:rsid w:val="005411E8"/>
    <w:rsid w:val="005431AC"/>
    <w:rsid w:val="005C1EB4"/>
    <w:rsid w:val="005C24B2"/>
    <w:rsid w:val="005D42C4"/>
    <w:rsid w:val="006210D7"/>
    <w:rsid w:val="00631828"/>
    <w:rsid w:val="00640BFB"/>
    <w:rsid w:val="00640FA8"/>
    <w:rsid w:val="00642AFF"/>
    <w:rsid w:val="00644F74"/>
    <w:rsid w:val="00657025"/>
    <w:rsid w:val="006730E3"/>
    <w:rsid w:val="00684447"/>
    <w:rsid w:val="00697202"/>
    <w:rsid w:val="006A7732"/>
    <w:rsid w:val="006C7A7D"/>
    <w:rsid w:val="006E0D71"/>
    <w:rsid w:val="007069B1"/>
    <w:rsid w:val="0071358D"/>
    <w:rsid w:val="00740EAB"/>
    <w:rsid w:val="00765C07"/>
    <w:rsid w:val="00781F67"/>
    <w:rsid w:val="007A7624"/>
    <w:rsid w:val="007D09B9"/>
    <w:rsid w:val="007D27E9"/>
    <w:rsid w:val="008048EE"/>
    <w:rsid w:val="008140FB"/>
    <w:rsid w:val="0083123D"/>
    <w:rsid w:val="0084162C"/>
    <w:rsid w:val="00841C4E"/>
    <w:rsid w:val="0086238E"/>
    <w:rsid w:val="00873435"/>
    <w:rsid w:val="00875B6B"/>
    <w:rsid w:val="008D0056"/>
    <w:rsid w:val="008D70C7"/>
    <w:rsid w:val="008D788B"/>
    <w:rsid w:val="008F7501"/>
    <w:rsid w:val="009144A7"/>
    <w:rsid w:val="00922452"/>
    <w:rsid w:val="00940F67"/>
    <w:rsid w:val="00944B0F"/>
    <w:rsid w:val="00954626"/>
    <w:rsid w:val="00962CFB"/>
    <w:rsid w:val="00971E8A"/>
    <w:rsid w:val="00972C64"/>
    <w:rsid w:val="00983FF4"/>
    <w:rsid w:val="0099065E"/>
    <w:rsid w:val="009C43B8"/>
    <w:rsid w:val="00A20BF0"/>
    <w:rsid w:val="00A46375"/>
    <w:rsid w:val="00A52C42"/>
    <w:rsid w:val="00A52FF3"/>
    <w:rsid w:val="00A57B64"/>
    <w:rsid w:val="00A70CAC"/>
    <w:rsid w:val="00A70E14"/>
    <w:rsid w:val="00AA38BE"/>
    <w:rsid w:val="00AB1497"/>
    <w:rsid w:val="00AC7D84"/>
    <w:rsid w:val="00AE42A2"/>
    <w:rsid w:val="00AF3079"/>
    <w:rsid w:val="00B26351"/>
    <w:rsid w:val="00B32643"/>
    <w:rsid w:val="00B35D40"/>
    <w:rsid w:val="00B4601C"/>
    <w:rsid w:val="00B603E6"/>
    <w:rsid w:val="00B85B62"/>
    <w:rsid w:val="00B950BF"/>
    <w:rsid w:val="00BD27C3"/>
    <w:rsid w:val="00BD66AC"/>
    <w:rsid w:val="00BE5BB1"/>
    <w:rsid w:val="00C02234"/>
    <w:rsid w:val="00C12546"/>
    <w:rsid w:val="00C150C5"/>
    <w:rsid w:val="00C209EB"/>
    <w:rsid w:val="00C3360D"/>
    <w:rsid w:val="00C8114C"/>
    <w:rsid w:val="00CA2B79"/>
    <w:rsid w:val="00CC44D1"/>
    <w:rsid w:val="00CD1C8B"/>
    <w:rsid w:val="00CD22B6"/>
    <w:rsid w:val="00CE54B1"/>
    <w:rsid w:val="00CE5EA2"/>
    <w:rsid w:val="00CE5FB7"/>
    <w:rsid w:val="00CE7263"/>
    <w:rsid w:val="00CF2401"/>
    <w:rsid w:val="00D052DC"/>
    <w:rsid w:val="00D122AE"/>
    <w:rsid w:val="00D23054"/>
    <w:rsid w:val="00D374EB"/>
    <w:rsid w:val="00DA5D66"/>
    <w:rsid w:val="00DA7D81"/>
    <w:rsid w:val="00DC2B46"/>
    <w:rsid w:val="00DF05D6"/>
    <w:rsid w:val="00E30129"/>
    <w:rsid w:val="00E53BCF"/>
    <w:rsid w:val="00E578EE"/>
    <w:rsid w:val="00E6314B"/>
    <w:rsid w:val="00E70627"/>
    <w:rsid w:val="00E71EB1"/>
    <w:rsid w:val="00EB16AC"/>
    <w:rsid w:val="00EB3DE3"/>
    <w:rsid w:val="00EC0146"/>
    <w:rsid w:val="00EC05CC"/>
    <w:rsid w:val="00EC3F97"/>
    <w:rsid w:val="00EE79B2"/>
    <w:rsid w:val="00EF0F4B"/>
    <w:rsid w:val="00EF5118"/>
    <w:rsid w:val="00F02CD8"/>
    <w:rsid w:val="00F06D40"/>
    <w:rsid w:val="00F74156"/>
    <w:rsid w:val="00F8147E"/>
    <w:rsid w:val="00FC3EFF"/>
    <w:rsid w:val="00FD1672"/>
    <w:rsid w:val="00FE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FF3"/>
    <w:pPr>
      <w:spacing w:before="80" w:after="160" w:line="280" w:lineRule="exact"/>
    </w:pPr>
    <w:rPr>
      <w:rFonts w:ascii="Arial" w:hAnsi="Arial"/>
      <w:szCs w:val="24"/>
      <w:lang w:val="en-AU" w:eastAsia="en-AU"/>
    </w:rPr>
  </w:style>
  <w:style w:type="paragraph" w:styleId="Heading1">
    <w:name w:val="heading 1"/>
    <w:basedOn w:val="Normal"/>
    <w:next w:val="Normal"/>
    <w:qFormat/>
    <w:rsid w:val="00A70CAC"/>
    <w:pPr>
      <w:keepNext/>
      <w:spacing w:before="240" w:after="60"/>
      <w:outlineLvl w:val="0"/>
    </w:pPr>
    <w:rPr>
      <w:rFonts w:cs="Arial"/>
      <w:b/>
      <w:bCs/>
      <w:kern w:val="32"/>
      <w:sz w:val="32"/>
      <w:szCs w:val="32"/>
    </w:rPr>
  </w:style>
  <w:style w:type="paragraph" w:styleId="Heading2">
    <w:name w:val="heading 2"/>
    <w:basedOn w:val="Normal"/>
    <w:next w:val="Normal"/>
    <w:qFormat/>
    <w:rsid w:val="00A70CAC"/>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A70CAC"/>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A70CA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A70CAC"/>
    <w:pPr>
      <w:numPr>
        <w:ilvl w:val="4"/>
        <w:numId w:val="1"/>
      </w:numPr>
      <w:spacing w:before="240" w:after="60"/>
      <w:outlineLvl w:val="4"/>
    </w:pPr>
    <w:rPr>
      <w:b/>
      <w:bCs/>
      <w:i/>
      <w:iCs/>
      <w:sz w:val="26"/>
      <w:szCs w:val="26"/>
    </w:rPr>
  </w:style>
  <w:style w:type="paragraph" w:styleId="Heading6">
    <w:name w:val="heading 6"/>
    <w:basedOn w:val="Normal"/>
    <w:next w:val="Normal"/>
    <w:qFormat/>
    <w:rsid w:val="00A70CAC"/>
    <w:pPr>
      <w:spacing w:before="240" w:after="60"/>
      <w:outlineLvl w:val="5"/>
    </w:pPr>
    <w:rPr>
      <w:rFonts w:ascii="Times New Roman" w:hAnsi="Times New Roman"/>
      <w:b/>
      <w:bCs/>
      <w:sz w:val="22"/>
      <w:szCs w:val="22"/>
    </w:rPr>
  </w:style>
  <w:style w:type="paragraph" w:styleId="Heading7">
    <w:name w:val="heading 7"/>
    <w:basedOn w:val="Normal"/>
    <w:next w:val="Normal"/>
    <w:qFormat/>
    <w:rsid w:val="00A70CAC"/>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A70CA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A70CA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RHeading1">
    <w:name w:val="MWR_Heading_1"/>
    <w:basedOn w:val="Normal"/>
    <w:rsid w:val="00A70CAC"/>
    <w:pPr>
      <w:keepNext/>
      <w:numPr>
        <w:numId w:val="5"/>
      </w:numPr>
      <w:tabs>
        <w:tab w:val="clear" w:pos="425"/>
        <w:tab w:val="num" w:pos="360"/>
      </w:tabs>
      <w:spacing w:before="240" w:after="120"/>
      <w:ind w:left="0" w:firstLine="0"/>
      <w:outlineLvl w:val="0"/>
    </w:pPr>
    <w:rPr>
      <w:sz w:val="28"/>
    </w:rPr>
  </w:style>
  <w:style w:type="paragraph" w:customStyle="1" w:styleId="MWRHeading2">
    <w:name w:val="MWR_Heading_2"/>
    <w:basedOn w:val="Normal"/>
    <w:next w:val="Normal"/>
    <w:rsid w:val="00AA38BE"/>
    <w:pPr>
      <w:keepNext/>
      <w:numPr>
        <w:ilvl w:val="1"/>
        <w:numId w:val="5"/>
      </w:numPr>
      <w:tabs>
        <w:tab w:val="clear" w:pos="851"/>
      </w:tabs>
      <w:spacing w:before="240" w:after="120"/>
      <w:outlineLvl w:val="1"/>
    </w:pPr>
    <w:rPr>
      <w:b/>
      <w:sz w:val="24"/>
    </w:rPr>
  </w:style>
  <w:style w:type="paragraph" w:customStyle="1" w:styleId="MWRHeading3">
    <w:name w:val="MWR_Heading_3"/>
    <w:basedOn w:val="Normal"/>
    <w:next w:val="Normal"/>
    <w:rsid w:val="00A70CAC"/>
    <w:pPr>
      <w:keepNext/>
      <w:numPr>
        <w:ilvl w:val="2"/>
        <w:numId w:val="5"/>
      </w:numPr>
      <w:tabs>
        <w:tab w:val="clear" w:pos="1276"/>
        <w:tab w:val="num" w:pos="360"/>
        <w:tab w:val="left" w:pos="992"/>
      </w:tabs>
      <w:spacing w:before="240" w:after="120"/>
      <w:ind w:left="0" w:firstLine="0"/>
      <w:outlineLvl w:val="2"/>
    </w:pPr>
    <w:rPr>
      <w:b/>
      <w:sz w:val="22"/>
    </w:rPr>
  </w:style>
  <w:style w:type="paragraph" w:customStyle="1" w:styleId="MWRHeading4">
    <w:name w:val="MWR_Heading_4"/>
    <w:basedOn w:val="Normal"/>
    <w:next w:val="Normal"/>
    <w:rsid w:val="00AA38BE"/>
    <w:pPr>
      <w:keepNext/>
      <w:numPr>
        <w:ilvl w:val="3"/>
        <w:numId w:val="5"/>
      </w:numPr>
      <w:tabs>
        <w:tab w:val="clear" w:pos="1701"/>
        <w:tab w:val="num" w:pos="360"/>
        <w:tab w:val="left" w:pos="1276"/>
      </w:tabs>
      <w:spacing w:before="240" w:after="120"/>
      <w:ind w:left="1276" w:hanging="1276"/>
    </w:pPr>
    <w:rPr>
      <w:b/>
    </w:rPr>
  </w:style>
  <w:style w:type="paragraph" w:customStyle="1" w:styleId="MWRHeading5">
    <w:name w:val="MWR_Heading_5"/>
    <w:basedOn w:val="Normal"/>
    <w:rsid w:val="00AA38BE"/>
    <w:pPr>
      <w:keepNext/>
      <w:numPr>
        <w:ilvl w:val="4"/>
        <w:numId w:val="5"/>
      </w:numPr>
      <w:tabs>
        <w:tab w:val="clear" w:pos="1701"/>
        <w:tab w:val="num" w:pos="360"/>
        <w:tab w:val="left" w:pos="1559"/>
      </w:tabs>
      <w:spacing w:before="240" w:after="120"/>
      <w:ind w:left="1560" w:hanging="1560"/>
    </w:pPr>
    <w:rPr>
      <w:b/>
    </w:rPr>
  </w:style>
  <w:style w:type="paragraph" w:customStyle="1" w:styleId="MWRHeading6">
    <w:name w:val="MWR_Heading_6"/>
    <w:basedOn w:val="Normal"/>
    <w:next w:val="Normal"/>
    <w:rsid w:val="00AA38BE"/>
    <w:pPr>
      <w:keepNext/>
      <w:numPr>
        <w:ilvl w:val="5"/>
        <w:numId w:val="5"/>
      </w:numPr>
      <w:tabs>
        <w:tab w:val="clear" w:pos="1701"/>
      </w:tabs>
      <w:spacing w:before="240" w:after="120"/>
    </w:pPr>
    <w:rPr>
      <w:b/>
    </w:rPr>
  </w:style>
  <w:style w:type="paragraph" w:customStyle="1" w:styleId="MWRBullet1">
    <w:name w:val="MWR_Bullet_1"/>
    <w:basedOn w:val="Normal"/>
    <w:next w:val="Normal"/>
    <w:rsid w:val="00A70CAC"/>
    <w:pPr>
      <w:numPr>
        <w:numId w:val="2"/>
      </w:numPr>
      <w:spacing w:before="120" w:after="120"/>
    </w:pPr>
  </w:style>
  <w:style w:type="paragraph" w:customStyle="1" w:styleId="MWRBullet2">
    <w:name w:val="MWR_Bullet_2"/>
    <w:basedOn w:val="Normal"/>
    <w:next w:val="Normal"/>
    <w:rsid w:val="00A70CAC"/>
    <w:pPr>
      <w:numPr>
        <w:numId w:val="3"/>
      </w:numPr>
      <w:spacing w:before="120" w:after="120"/>
    </w:pPr>
  </w:style>
  <w:style w:type="paragraph" w:customStyle="1" w:styleId="MWRBullet3">
    <w:name w:val="MWR_Bullet_3"/>
    <w:basedOn w:val="Normal"/>
    <w:next w:val="Normal"/>
    <w:rsid w:val="00A70CAC"/>
    <w:pPr>
      <w:numPr>
        <w:numId w:val="4"/>
      </w:numPr>
    </w:pPr>
  </w:style>
  <w:style w:type="paragraph" w:styleId="TOC2">
    <w:name w:val="toc 2"/>
    <w:basedOn w:val="Normal"/>
    <w:next w:val="Normal"/>
    <w:uiPriority w:val="39"/>
    <w:rsid w:val="00A70CAC"/>
    <w:pPr>
      <w:tabs>
        <w:tab w:val="left" w:leader="dot" w:pos="851"/>
        <w:tab w:val="right" w:leader="dot" w:pos="9356"/>
      </w:tabs>
      <w:spacing w:before="120" w:after="120"/>
      <w:ind w:left="850" w:hanging="425"/>
    </w:pPr>
  </w:style>
  <w:style w:type="paragraph" w:styleId="TOC1">
    <w:name w:val="toc 1"/>
    <w:basedOn w:val="Normal"/>
    <w:next w:val="Normal"/>
    <w:uiPriority w:val="39"/>
    <w:rsid w:val="00A70CAC"/>
    <w:pPr>
      <w:tabs>
        <w:tab w:val="left" w:pos="425"/>
        <w:tab w:val="left" w:pos="480"/>
        <w:tab w:val="right" w:leader="dot" w:pos="9356"/>
      </w:tabs>
      <w:spacing w:before="120" w:after="120"/>
      <w:ind w:left="425" w:hanging="425"/>
    </w:pPr>
    <w:rPr>
      <w:b/>
      <w:sz w:val="22"/>
    </w:rPr>
  </w:style>
  <w:style w:type="paragraph" w:styleId="TOC3">
    <w:name w:val="toc 3"/>
    <w:basedOn w:val="Normal"/>
    <w:next w:val="Normal"/>
    <w:uiPriority w:val="39"/>
    <w:rsid w:val="00A70CAC"/>
    <w:pPr>
      <w:tabs>
        <w:tab w:val="right" w:leader="dot" w:pos="851"/>
        <w:tab w:val="right" w:leader="dot" w:pos="9356"/>
      </w:tabs>
      <w:spacing w:after="80"/>
      <w:ind w:left="1702" w:hanging="851"/>
    </w:pPr>
  </w:style>
  <w:style w:type="character" w:styleId="Hyperlink">
    <w:name w:val="Hyperlink"/>
    <w:basedOn w:val="DefaultParagraphFont"/>
    <w:uiPriority w:val="99"/>
    <w:rsid w:val="00A70CAC"/>
    <w:rPr>
      <w:color w:val="0000FF"/>
      <w:u w:val="single"/>
    </w:rPr>
  </w:style>
  <w:style w:type="paragraph" w:customStyle="1" w:styleId="CitationQuote">
    <w:name w:val="Citation/Quote"/>
    <w:basedOn w:val="Normal"/>
    <w:next w:val="Normal"/>
    <w:rsid w:val="00A70CAC"/>
    <w:pPr>
      <w:ind w:left="425"/>
    </w:pPr>
    <w:rPr>
      <w:sz w:val="18"/>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2E1782"/>
    <w:pPr>
      <w:tabs>
        <w:tab w:val="left" w:pos="425"/>
      </w:tabs>
      <w:spacing w:after="120" w:line="240" w:lineRule="auto"/>
      <w:ind w:left="142" w:hanging="142"/>
    </w:pPr>
    <w:rPr>
      <w:sz w:val="16"/>
      <w:szCs w:val="20"/>
    </w:rPr>
  </w:style>
  <w:style w:type="character" w:styleId="FootnoteReference">
    <w:name w:val="footnote reference"/>
    <w:basedOn w:val="DefaultParagraphFont"/>
    <w:rsid w:val="00A70CAC"/>
    <w:rPr>
      <w:rFonts w:ascii="Arial" w:hAnsi="Arial"/>
      <w:sz w:val="20"/>
      <w:vertAlign w:val="superscript"/>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2E1782"/>
    <w:rPr>
      <w:rFonts w:ascii="Arial" w:hAnsi="Arial"/>
      <w:sz w:val="16"/>
      <w:lang w:val="en-AU" w:eastAsia="en-AU"/>
    </w:rPr>
  </w:style>
  <w:style w:type="paragraph" w:customStyle="1" w:styleId="ChartGraphTitle">
    <w:name w:val="Chart/Graph_Title"/>
    <w:basedOn w:val="Normal"/>
    <w:next w:val="Normal"/>
    <w:rsid w:val="00A70CAC"/>
    <w:pPr>
      <w:keepNext/>
      <w:spacing w:before="200" w:after="120"/>
    </w:pPr>
    <w:rPr>
      <w:b/>
    </w:rPr>
  </w:style>
  <w:style w:type="paragraph" w:customStyle="1" w:styleId="ChartGraphCaption">
    <w:name w:val="Chart/Graph_Caption"/>
    <w:basedOn w:val="Normal"/>
    <w:next w:val="Normal"/>
    <w:rsid w:val="00A70CAC"/>
    <w:rPr>
      <w:sz w:val="16"/>
    </w:rPr>
  </w:style>
  <w:style w:type="paragraph" w:styleId="Header">
    <w:name w:val="header"/>
    <w:basedOn w:val="Normal"/>
    <w:rsid w:val="00A70CAC"/>
    <w:pPr>
      <w:tabs>
        <w:tab w:val="center" w:pos="4153"/>
        <w:tab w:val="right" w:pos="8306"/>
      </w:tabs>
    </w:pPr>
  </w:style>
  <w:style w:type="paragraph" w:styleId="Footer">
    <w:name w:val="footer"/>
    <w:basedOn w:val="Normal"/>
    <w:rsid w:val="00A70CAC"/>
    <w:pPr>
      <w:tabs>
        <w:tab w:val="center" w:pos="4153"/>
        <w:tab w:val="right" w:pos="8306"/>
      </w:tabs>
    </w:pPr>
  </w:style>
  <w:style w:type="character" w:styleId="PageNumber">
    <w:name w:val="page number"/>
    <w:basedOn w:val="DefaultParagraphFont"/>
    <w:rsid w:val="00A70CAC"/>
  </w:style>
  <w:style w:type="paragraph" w:customStyle="1" w:styleId="TableTitle">
    <w:name w:val="Table_Title"/>
    <w:basedOn w:val="Normal"/>
    <w:rsid w:val="00873435"/>
    <w:pPr>
      <w:keepNext/>
      <w:spacing w:before="200" w:after="120"/>
    </w:pPr>
    <w:rPr>
      <w:b/>
    </w:rPr>
  </w:style>
  <w:style w:type="paragraph" w:styleId="TableofFigures">
    <w:name w:val="table of figures"/>
    <w:basedOn w:val="Normal"/>
    <w:next w:val="Normal"/>
    <w:uiPriority w:val="99"/>
    <w:rsid w:val="00086FB7"/>
    <w:pPr>
      <w:tabs>
        <w:tab w:val="left" w:pos="425"/>
        <w:tab w:val="right" w:leader="dot" w:pos="9356"/>
      </w:tabs>
    </w:pPr>
    <w:rPr>
      <w:rFonts w:cs="Arial"/>
    </w:rPr>
  </w:style>
  <w:style w:type="paragraph" w:customStyle="1" w:styleId="Author">
    <w:name w:val="Author"/>
    <w:basedOn w:val="Normal"/>
    <w:next w:val="Normal"/>
    <w:rsid w:val="00A70CAC"/>
    <w:pPr>
      <w:spacing w:before="1440"/>
    </w:pPr>
  </w:style>
  <w:style w:type="paragraph" w:styleId="BodyText">
    <w:name w:val="Body Text"/>
    <w:basedOn w:val="Normal"/>
    <w:link w:val="BodyTextChar"/>
    <w:rsid w:val="00A70CAC"/>
    <w:pPr>
      <w:spacing w:after="120"/>
    </w:pPr>
  </w:style>
  <w:style w:type="character" w:customStyle="1" w:styleId="BodyTextChar">
    <w:name w:val="Body Text Char"/>
    <w:basedOn w:val="DefaultParagraphFont"/>
    <w:link w:val="BodyText"/>
    <w:rsid w:val="00A70CAC"/>
    <w:rPr>
      <w:rFonts w:ascii="Arial" w:hAnsi="Arial"/>
      <w:szCs w:val="24"/>
      <w:lang w:val="en-AU" w:eastAsia="en-AU"/>
    </w:rPr>
  </w:style>
  <w:style w:type="paragraph" w:styleId="Caption">
    <w:name w:val="caption"/>
    <w:basedOn w:val="Normal"/>
    <w:next w:val="Normal"/>
    <w:qFormat/>
    <w:rsid w:val="00A70CAC"/>
    <w:rPr>
      <w:b/>
      <w:bCs/>
      <w:szCs w:val="20"/>
    </w:rPr>
  </w:style>
  <w:style w:type="paragraph" w:customStyle="1" w:styleId="Copyright">
    <w:name w:val="Copyright"/>
    <w:basedOn w:val="Normal"/>
    <w:next w:val="Normal"/>
    <w:rsid w:val="00A70CAC"/>
  </w:style>
  <w:style w:type="paragraph" w:customStyle="1" w:styleId="DocTitle">
    <w:name w:val="Doc Title"/>
    <w:basedOn w:val="Normal"/>
    <w:rsid w:val="00A70CAC"/>
    <w:pPr>
      <w:spacing w:before="1680" w:line="440" w:lineRule="atLeast"/>
    </w:pPr>
    <w:rPr>
      <w:b/>
      <w:sz w:val="36"/>
      <w:szCs w:val="20"/>
    </w:rPr>
  </w:style>
  <w:style w:type="paragraph" w:customStyle="1" w:styleId="Draftingnote">
    <w:name w:val="Drafting note"/>
    <w:basedOn w:val="Normal"/>
    <w:next w:val="Normal"/>
    <w:rsid w:val="00A70CAC"/>
    <w:rPr>
      <w:b/>
      <w:color w:val="FF0000"/>
      <w:sz w:val="24"/>
    </w:rPr>
  </w:style>
  <w:style w:type="paragraph" w:customStyle="1" w:styleId="FigureTitle">
    <w:name w:val="Figure Title"/>
    <w:basedOn w:val="Copyright"/>
    <w:next w:val="DocTitle"/>
    <w:rsid w:val="00A70CAC"/>
    <w:pPr>
      <w:keepNext/>
      <w:keepLines/>
      <w:spacing w:before="200" w:after="120"/>
    </w:pPr>
    <w:rPr>
      <w:b/>
      <w:szCs w:val="20"/>
      <w:lang w:eastAsia="en-US"/>
    </w:rPr>
  </w:style>
  <w:style w:type="paragraph" w:styleId="Subtitle">
    <w:name w:val="Subtitle"/>
    <w:basedOn w:val="Normal"/>
    <w:link w:val="SubtitleChar"/>
    <w:qFormat/>
    <w:rsid w:val="00A70CAC"/>
    <w:pPr>
      <w:spacing w:after="60"/>
      <w:jc w:val="center"/>
      <w:outlineLvl w:val="1"/>
    </w:pPr>
    <w:rPr>
      <w:rFonts w:cs="Arial"/>
      <w:sz w:val="24"/>
    </w:rPr>
  </w:style>
  <w:style w:type="character" w:customStyle="1" w:styleId="SubtitleChar">
    <w:name w:val="Subtitle Char"/>
    <w:basedOn w:val="DefaultParagraphFont"/>
    <w:link w:val="Subtitle"/>
    <w:rsid w:val="00A70CAC"/>
    <w:rPr>
      <w:rFonts w:ascii="Arial" w:hAnsi="Arial" w:cs="Arial"/>
      <w:sz w:val="24"/>
      <w:szCs w:val="24"/>
      <w:lang w:val="en-AU" w:eastAsia="en-AU"/>
    </w:rPr>
  </w:style>
  <w:style w:type="paragraph" w:customStyle="1" w:styleId="MainTitle">
    <w:name w:val="Main Title"/>
    <w:basedOn w:val="Normal"/>
    <w:rsid w:val="00A70CAC"/>
    <w:pPr>
      <w:spacing w:before="1560" w:after="240" w:line="440" w:lineRule="atLeast"/>
    </w:pPr>
    <w:rPr>
      <w:rFonts w:ascii="Frutiger 45 Light" w:hAnsi="Frutiger 45 Light"/>
      <w:b/>
      <w:color w:val="872434"/>
      <w:sz w:val="40"/>
      <w:szCs w:val="20"/>
    </w:rPr>
  </w:style>
  <w:style w:type="paragraph" w:customStyle="1" w:styleId="Note">
    <w:name w:val="Note"/>
    <w:basedOn w:val="BodyText"/>
    <w:next w:val="Normal"/>
    <w:rsid w:val="00A70CAC"/>
    <w:pPr>
      <w:keepLines/>
      <w:widowControl w:val="0"/>
      <w:spacing w:before="120" w:after="240"/>
      <w:jc w:val="both"/>
    </w:pPr>
    <w:rPr>
      <w:color w:val="000000"/>
      <w:sz w:val="16"/>
      <w:szCs w:val="20"/>
      <w:lang w:eastAsia="en-US"/>
    </w:rPr>
  </w:style>
  <w:style w:type="paragraph" w:customStyle="1" w:styleId="Paperreference">
    <w:name w:val="Paper reference"/>
    <w:basedOn w:val="Normal"/>
    <w:next w:val="Normal"/>
    <w:rsid w:val="00A70CAC"/>
    <w:pPr>
      <w:spacing w:before="0" w:after="40" w:line="240" w:lineRule="auto"/>
    </w:pPr>
    <w:rPr>
      <w:b/>
      <w:color w:val="872434"/>
      <w:sz w:val="40"/>
      <w:szCs w:val="36"/>
    </w:rPr>
  </w:style>
  <w:style w:type="paragraph" w:customStyle="1" w:styleId="Papertitle">
    <w:name w:val="Paper title"/>
    <w:basedOn w:val="Normal"/>
    <w:next w:val="Normal"/>
    <w:rsid w:val="00A70CAC"/>
    <w:pPr>
      <w:spacing w:before="480"/>
    </w:pPr>
    <w:rPr>
      <w:color w:val="872434"/>
      <w:sz w:val="28"/>
    </w:rPr>
  </w:style>
  <w:style w:type="paragraph" w:customStyle="1" w:styleId="Source">
    <w:name w:val="Source"/>
    <w:basedOn w:val="Normal"/>
    <w:next w:val="Normal"/>
    <w:rsid w:val="00A70CAC"/>
    <w:pPr>
      <w:keepLines/>
      <w:widowControl w:val="0"/>
      <w:spacing w:before="120" w:after="240"/>
      <w:jc w:val="both"/>
    </w:pPr>
    <w:rPr>
      <w:color w:val="000000"/>
      <w:sz w:val="16"/>
      <w:szCs w:val="20"/>
      <w:lang w:eastAsia="en-US"/>
    </w:rPr>
  </w:style>
  <w:style w:type="paragraph" w:customStyle="1" w:styleId="StyleCopyrightBefore582pt">
    <w:name w:val="Style Copyright + Before:  582 pt"/>
    <w:basedOn w:val="Copyright"/>
    <w:autoRedefine/>
    <w:rsid w:val="00FE449C"/>
    <w:pPr>
      <w:spacing w:before="0"/>
    </w:pPr>
    <w:rPr>
      <w:szCs w:val="20"/>
    </w:rPr>
  </w:style>
  <w:style w:type="table" w:customStyle="1" w:styleId="TableBodyText">
    <w:name w:val="Table Body Text"/>
    <w:basedOn w:val="TableNormal"/>
    <w:rsid w:val="00A70CAC"/>
    <w:rPr>
      <w:lang w:val="en-AU" w:eastAsia="en-AU"/>
    </w:rPr>
    <w:tblPr/>
  </w:style>
  <w:style w:type="table" w:customStyle="1" w:styleId="TableStyle1">
    <w:name w:val="TableStyle 1"/>
    <w:basedOn w:val="TableNormal"/>
    <w:rsid w:val="00A70CAC"/>
    <w:rPr>
      <w:lang w:val="en-AU" w:eastAsia="en-AU"/>
    </w:rPr>
    <w:tblPr>
      <w:tblBorders>
        <w:bottom w:val="single" w:sz="4" w:space="0" w:color="auto"/>
        <w:insideH w:val="single" w:sz="4" w:space="0" w:color="auto"/>
      </w:tblBorders>
    </w:tblPr>
    <w:tblStylePr w:type="firstRow">
      <w:rPr>
        <w:b/>
      </w:rPr>
    </w:tblStylePr>
  </w:style>
  <w:style w:type="paragraph" w:customStyle="1" w:styleId="MWRfootnote">
    <w:name w:val="MWR footnote"/>
    <w:basedOn w:val="FootnoteText"/>
    <w:qFormat/>
    <w:rsid w:val="00A52FF3"/>
    <w:pPr>
      <w:tabs>
        <w:tab w:val="clear" w:pos="425"/>
      </w:tabs>
      <w:ind w:left="255" w:hanging="255"/>
    </w:pPr>
    <w:rPr>
      <w:szCs w:val="40"/>
    </w:rPr>
  </w:style>
  <w:style w:type="paragraph" w:styleId="BalloonText">
    <w:name w:val="Balloon Text"/>
    <w:basedOn w:val="Normal"/>
    <w:link w:val="BalloonTextChar"/>
    <w:rsid w:val="004415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1552"/>
    <w:rPr>
      <w:rFonts w:ascii="Tahoma" w:hAnsi="Tahoma" w:cs="Tahoma"/>
      <w:sz w:val="16"/>
      <w:szCs w:val="16"/>
      <w:lang w:val="en-AU" w:eastAsia="en-AU"/>
    </w:rPr>
  </w:style>
  <w:style w:type="paragraph" w:customStyle="1" w:styleId="Level1">
    <w:name w:val="Level 1"/>
    <w:basedOn w:val="Normal"/>
    <w:next w:val="Normal"/>
    <w:uiPriority w:val="99"/>
    <w:rsid w:val="0023449E"/>
    <w:pPr>
      <w:keepNext/>
      <w:spacing w:before="0" w:after="200" w:line="276" w:lineRule="auto"/>
      <w:ind w:left="851" w:hanging="851"/>
      <w:outlineLvl w:val="0"/>
    </w:pPr>
    <w:rPr>
      <w:rFonts w:asciiTheme="minorHAnsi" w:eastAsiaTheme="minorHAnsi" w:hAnsiTheme="minorHAnsi" w:cstheme="minorBidi"/>
      <w:b/>
      <w:sz w:val="28"/>
      <w:szCs w:val="22"/>
      <w:lang w:eastAsia="en-US"/>
    </w:rPr>
  </w:style>
  <w:style w:type="paragraph" w:styleId="ListParagraph">
    <w:name w:val="List Paragraph"/>
    <w:basedOn w:val="Normal"/>
    <w:uiPriority w:val="34"/>
    <w:qFormat/>
    <w:rsid w:val="0023449E"/>
    <w:pPr>
      <w:spacing w:before="0"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FF3"/>
    <w:pPr>
      <w:spacing w:before="80" w:after="160" w:line="280" w:lineRule="exact"/>
    </w:pPr>
    <w:rPr>
      <w:rFonts w:ascii="Arial" w:hAnsi="Arial"/>
      <w:szCs w:val="24"/>
      <w:lang w:val="en-AU" w:eastAsia="en-AU"/>
    </w:rPr>
  </w:style>
  <w:style w:type="paragraph" w:styleId="Heading1">
    <w:name w:val="heading 1"/>
    <w:basedOn w:val="Normal"/>
    <w:next w:val="Normal"/>
    <w:qFormat/>
    <w:rsid w:val="00A70CAC"/>
    <w:pPr>
      <w:keepNext/>
      <w:spacing w:before="240" w:after="60"/>
      <w:outlineLvl w:val="0"/>
    </w:pPr>
    <w:rPr>
      <w:rFonts w:cs="Arial"/>
      <w:b/>
      <w:bCs/>
      <w:kern w:val="32"/>
      <w:sz w:val="32"/>
      <w:szCs w:val="32"/>
    </w:rPr>
  </w:style>
  <w:style w:type="paragraph" w:styleId="Heading2">
    <w:name w:val="heading 2"/>
    <w:basedOn w:val="Normal"/>
    <w:next w:val="Normal"/>
    <w:qFormat/>
    <w:rsid w:val="00A70CAC"/>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A70CAC"/>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A70CA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A70CAC"/>
    <w:pPr>
      <w:numPr>
        <w:ilvl w:val="4"/>
        <w:numId w:val="1"/>
      </w:numPr>
      <w:spacing w:before="240" w:after="60"/>
      <w:outlineLvl w:val="4"/>
    </w:pPr>
    <w:rPr>
      <w:b/>
      <w:bCs/>
      <w:i/>
      <w:iCs/>
      <w:sz w:val="26"/>
      <w:szCs w:val="26"/>
    </w:rPr>
  </w:style>
  <w:style w:type="paragraph" w:styleId="Heading6">
    <w:name w:val="heading 6"/>
    <w:basedOn w:val="Normal"/>
    <w:next w:val="Normal"/>
    <w:qFormat/>
    <w:rsid w:val="00A70CAC"/>
    <w:pPr>
      <w:spacing w:before="240" w:after="60"/>
      <w:outlineLvl w:val="5"/>
    </w:pPr>
    <w:rPr>
      <w:rFonts w:ascii="Times New Roman" w:hAnsi="Times New Roman"/>
      <w:b/>
      <w:bCs/>
      <w:sz w:val="22"/>
      <w:szCs w:val="22"/>
    </w:rPr>
  </w:style>
  <w:style w:type="paragraph" w:styleId="Heading7">
    <w:name w:val="heading 7"/>
    <w:basedOn w:val="Normal"/>
    <w:next w:val="Normal"/>
    <w:qFormat/>
    <w:rsid w:val="00A70CAC"/>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A70CA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A70CA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RHeading1">
    <w:name w:val="MWR_Heading_1"/>
    <w:basedOn w:val="Normal"/>
    <w:rsid w:val="00A70CAC"/>
    <w:pPr>
      <w:keepNext/>
      <w:numPr>
        <w:numId w:val="5"/>
      </w:numPr>
      <w:tabs>
        <w:tab w:val="clear" w:pos="425"/>
        <w:tab w:val="num" w:pos="360"/>
      </w:tabs>
      <w:spacing w:before="240" w:after="120"/>
      <w:ind w:left="0" w:firstLine="0"/>
      <w:outlineLvl w:val="0"/>
    </w:pPr>
    <w:rPr>
      <w:sz w:val="28"/>
    </w:rPr>
  </w:style>
  <w:style w:type="paragraph" w:customStyle="1" w:styleId="MWRHeading2">
    <w:name w:val="MWR_Heading_2"/>
    <w:basedOn w:val="Normal"/>
    <w:next w:val="Normal"/>
    <w:rsid w:val="00AA38BE"/>
    <w:pPr>
      <w:keepNext/>
      <w:numPr>
        <w:ilvl w:val="1"/>
        <w:numId w:val="5"/>
      </w:numPr>
      <w:tabs>
        <w:tab w:val="clear" w:pos="851"/>
      </w:tabs>
      <w:spacing w:before="240" w:after="120"/>
      <w:outlineLvl w:val="1"/>
    </w:pPr>
    <w:rPr>
      <w:b/>
      <w:sz w:val="24"/>
    </w:rPr>
  </w:style>
  <w:style w:type="paragraph" w:customStyle="1" w:styleId="MWRHeading3">
    <w:name w:val="MWR_Heading_3"/>
    <w:basedOn w:val="Normal"/>
    <w:next w:val="Normal"/>
    <w:rsid w:val="00A70CAC"/>
    <w:pPr>
      <w:keepNext/>
      <w:numPr>
        <w:ilvl w:val="2"/>
        <w:numId w:val="5"/>
      </w:numPr>
      <w:tabs>
        <w:tab w:val="clear" w:pos="1276"/>
        <w:tab w:val="num" w:pos="360"/>
        <w:tab w:val="left" w:pos="992"/>
      </w:tabs>
      <w:spacing w:before="240" w:after="120"/>
      <w:ind w:left="0" w:firstLine="0"/>
      <w:outlineLvl w:val="2"/>
    </w:pPr>
    <w:rPr>
      <w:b/>
      <w:sz w:val="22"/>
    </w:rPr>
  </w:style>
  <w:style w:type="paragraph" w:customStyle="1" w:styleId="MWRHeading4">
    <w:name w:val="MWR_Heading_4"/>
    <w:basedOn w:val="Normal"/>
    <w:next w:val="Normal"/>
    <w:rsid w:val="00AA38BE"/>
    <w:pPr>
      <w:keepNext/>
      <w:numPr>
        <w:ilvl w:val="3"/>
        <w:numId w:val="5"/>
      </w:numPr>
      <w:tabs>
        <w:tab w:val="clear" w:pos="1701"/>
        <w:tab w:val="num" w:pos="360"/>
        <w:tab w:val="left" w:pos="1276"/>
      </w:tabs>
      <w:spacing w:before="240" w:after="120"/>
      <w:ind w:left="1276" w:hanging="1276"/>
    </w:pPr>
    <w:rPr>
      <w:b/>
    </w:rPr>
  </w:style>
  <w:style w:type="paragraph" w:customStyle="1" w:styleId="MWRHeading5">
    <w:name w:val="MWR_Heading_5"/>
    <w:basedOn w:val="Normal"/>
    <w:rsid w:val="00AA38BE"/>
    <w:pPr>
      <w:keepNext/>
      <w:numPr>
        <w:ilvl w:val="4"/>
        <w:numId w:val="5"/>
      </w:numPr>
      <w:tabs>
        <w:tab w:val="clear" w:pos="1701"/>
        <w:tab w:val="num" w:pos="360"/>
        <w:tab w:val="left" w:pos="1559"/>
      </w:tabs>
      <w:spacing w:before="240" w:after="120"/>
      <w:ind w:left="1560" w:hanging="1560"/>
    </w:pPr>
    <w:rPr>
      <w:b/>
    </w:rPr>
  </w:style>
  <w:style w:type="paragraph" w:customStyle="1" w:styleId="MWRHeading6">
    <w:name w:val="MWR_Heading_6"/>
    <w:basedOn w:val="Normal"/>
    <w:next w:val="Normal"/>
    <w:rsid w:val="00AA38BE"/>
    <w:pPr>
      <w:keepNext/>
      <w:numPr>
        <w:ilvl w:val="5"/>
        <w:numId w:val="5"/>
      </w:numPr>
      <w:tabs>
        <w:tab w:val="clear" w:pos="1701"/>
      </w:tabs>
      <w:spacing w:before="240" w:after="120"/>
    </w:pPr>
    <w:rPr>
      <w:b/>
    </w:rPr>
  </w:style>
  <w:style w:type="paragraph" w:customStyle="1" w:styleId="MWRBullet1">
    <w:name w:val="MWR_Bullet_1"/>
    <w:basedOn w:val="Normal"/>
    <w:next w:val="Normal"/>
    <w:rsid w:val="00A70CAC"/>
    <w:pPr>
      <w:numPr>
        <w:numId w:val="2"/>
      </w:numPr>
      <w:spacing w:before="120" w:after="120"/>
    </w:pPr>
  </w:style>
  <w:style w:type="paragraph" w:customStyle="1" w:styleId="MWRBullet2">
    <w:name w:val="MWR_Bullet_2"/>
    <w:basedOn w:val="Normal"/>
    <w:next w:val="Normal"/>
    <w:rsid w:val="00A70CAC"/>
    <w:pPr>
      <w:numPr>
        <w:numId w:val="3"/>
      </w:numPr>
      <w:spacing w:before="120" w:after="120"/>
    </w:pPr>
  </w:style>
  <w:style w:type="paragraph" w:customStyle="1" w:styleId="MWRBullet3">
    <w:name w:val="MWR_Bullet_3"/>
    <w:basedOn w:val="Normal"/>
    <w:next w:val="Normal"/>
    <w:rsid w:val="00A70CAC"/>
    <w:pPr>
      <w:numPr>
        <w:numId w:val="4"/>
      </w:numPr>
    </w:pPr>
  </w:style>
  <w:style w:type="paragraph" w:styleId="TOC2">
    <w:name w:val="toc 2"/>
    <w:basedOn w:val="Normal"/>
    <w:next w:val="Normal"/>
    <w:uiPriority w:val="39"/>
    <w:rsid w:val="00A70CAC"/>
    <w:pPr>
      <w:tabs>
        <w:tab w:val="left" w:leader="dot" w:pos="851"/>
        <w:tab w:val="right" w:leader="dot" w:pos="9356"/>
      </w:tabs>
      <w:spacing w:before="120" w:after="120"/>
      <w:ind w:left="850" w:hanging="425"/>
    </w:pPr>
  </w:style>
  <w:style w:type="paragraph" w:styleId="TOC1">
    <w:name w:val="toc 1"/>
    <w:basedOn w:val="Normal"/>
    <w:next w:val="Normal"/>
    <w:uiPriority w:val="39"/>
    <w:rsid w:val="00A70CAC"/>
    <w:pPr>
      <w:tabs>
        <w:tab w:val="left" w:pos="425"/>
        <w:tab w:val="left" w:pos="480"/>
        <w:tab w:val="right" w:leader="dot" w:pos="9356"/>
      </w:tabs>
      <w:spacing w:before="120" w:after="120"/>
      <w:ind w:left="425" w:hanging="425"/>
    </w:pPr>
    <w:rPr>
      <w:b/>
      <w:sz w:val="22"/>
    </w:rPr>
  </w:style>
  <w:style w:type="paragraph" w:styleId="TOC3">
    <w:name w:val="toc 3"/>
    <w:basedOn w:val="Normal"/>
    <w:next w:val="Normal"/>
    <w:uiPriority w:val="39"/>
    <w:rsid w:val="00A70CAC"/>
    <w:pPr>
      <w:tabs>
        <w:tab w:val="right" w:leader="dot" w:pos="851"/>
        <w:tab w:val="right" w:leader="dot" w:pos="9356"/>
      </w:tabs>
      <w:spacing w:after="80"/>
      <w:ind w:left="1702" w:hanging="851"/>
    </w:pPr>
  </w:style>
  <w:style w:type="character" w:styleId="Hyperlink">
    <w:name w:val="Hyperlink"/>
    <w:basedOn w:val="DefaultParagraphFont"/>
    <w:uiPriority w:val="99"/>
    <w:rsid w:val="00A70CAC"/>
    <w:rPr>
      <w:color w:val="0000FF"/>
      <w:u w:val="single"/>
    </w:rPr>
  </w:style>
  <w:style w:type="paragraph" w:customStyle="1" w:styleId="CitationQuote">
    <w:name w:val="Citation/Quote"/>
    <w:basedOn w:val="Normal"/>
    <w:next w:val="Normal"/>
    <w:rsid w:val="00A70CAC"/>
    <w:pPr>
      <w:ind w:left="425"/>
    </w:pPr>
    <w:rPr>
      <w:sz w:val="18"/>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2E1782"/>
    <w:pPr>
      <w:tabs>
        <w:tab w:val="left" w:pos="425"/>
      </w:tabs>
      <w:spacing w:after="120" w:line="240" w:lineRule="auto"/>
      <w:ind w:left="142" w:hanging="142"/>
    </w:pPr>
    <w:rPr>
      <w:sz w:val="16"/>
      <w:szCs w:val="20"/>
    </w:rPr>
  </w:style>
  <w:style w:type="character" w:styleId="FootnoteReference">
    <w:name w:val="footnote reference"/>
    <w:basedOn w:val="DefaultParagraphFont"/>
    <w:rsid w:val="00A70CAC"/>
    <w:rPr>
      <w:rFonts w:ascii="Arial" w:hAnsi="Arial"/>
      <w:sz w:val="20"/>
      <w:vertAlign w:val="superscript"/>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2E1782"/>
    <w:rPr>
      <w:rFonts w:ascii="Arial" w:hAnsi="Arial"/>
      <w:sz w:val="16"/>
      <w:lang w:val="en-AU" w:eastAsia="en-AU"/>
    </w:rPr>
  </w:style>
  <w:style w:type="paragraph" w:customStyle="1" w:styleId="ChartGraphTitle">
    <w:name w:val="Chart/Graph_Title"/>
    <w:basedOn w:val="Normal"/>
    <w:next w:val="Normal"/>
    <w:rsid w:val="00A70CAC"/>
    <w:pPr>
      <w:keepNext/>
      <w:spacing w:before="200" w:after="120"/>
    </w:pPr>
    <w:rPr>
      <w:b/>
    </w:rPr>
  </w:style>
  <w:style w:type="paragraph" w:customStyle="1" w:styleId="ChartGraphCaption">
    <w:name w:val="Chart/Graph_Caption"/>
    <w:basedOn w:val="Normal"/>
    <w:next w:val="Normal"/>
    <w:rsid w:val="00A70CAC"/>
    <w:rPr>
      <w:sz w:val="16"/>
    </w:rPr>
  </w:style>
  <w:style w:type="paragraph" w:styleId="Header">
    <w:name w:val="header"/>
    <w:basedOn w:val="Normal"/>
    <w:rsid w:val="00A70CAC"/>
    <w:pPr>
      <w:tabs>
        <w:tab w:val="center" w:pos="4153"/>
        <w:tab w:val="right" w:pos="8306"/>
      </w:tabs>
    </w:pPr>
  </w:style>
  <w:style w:type="paragraph" w:styleId="Footer">
    <w:name w:val="footer"/>
    <w:basedOn w:val="Normal"/>
    <w:rsid w:val="00A70CAC"/>
    <w:pPr>
      <w:tabs>
        <w:tab w:val="center" w:pos="4153"/>
        <w:tab w:val="right" w:pos="8306"/>
      </w:tabs>
    </w:pPr>
  </w:style>
  <w:style w:type="character" w:styleId="PageNumber">
    <w:name w:val="page number"/>
    <w:basedOn w:val="DefaultParagraphFont"/>
    <w:rsid w:val="00A70CAC"/>
  </w:style>
  <w:style w:type="paragraph" w:customStyle="1" w:styleId="TableTitle">
    <w:name w:val="Table_Title"/>
    <w:basedOn w:val="Normal"/>
    <w:rsid w:val="00873435"/>
    <w:pPr>
      <w:keepNext/>
      <w:spacing w:before="200" w:after="120"/>
    </w:pPr>
    <w:rPr>
      <w:b/>
    </w:rPr>
  </w:style>
  <w:style w:type="paragraph" w:styleId="TableofFigures">
    <w:name w:val="table of figures"/>
    <w:basedOn w:val="Normal"/>
    <w:next w:val="Normal"/>
    <w:uiPriority w:val="99"/>
    <w:rsid w:val="00086FB7"/>
    <w:pPr>
      <w:tabs>
        <w:tab w:val="left" w:pos="425"/>
        <w:tab w:val="right" w:leader="dot" w:pos="9356"/>
      </w:tabs>
    </w:pPr>
    <w:rPr>
      <w:rFonts w:cs="Arial"/>
    </w:rPr>
  </w:style>
  <w:style w:type="paragraph" w:customStyle="1" w:styleId="Author">
    <w:name w:val="Author"/>
    <w:basedOn w:val="Normal"/>
    <w:next w:val="Normal"/>
    <w:rsid w:val="00A70CAC"/>
    <w:pPr>
      <w:spacing w:before="1440"/>
    </w:pPr>
  </w:style>
  <w:style w:type="paragraph" w:styleId="BodyText">
    <w:name w:val="Body Text"/>
    <w:basedOn w:val="Normal"/>
    <w:link w:val="BodyTextChar"/>
    <w:rsid w:val="00A70CAC"/>
    <w:pPr>
      <w:spacing w:after="120"/>
    </w:pPr>
  </w:style>
  <w:style w:type="character" w:customStyle="1" w:styleId="BodyTextChar">
    <w:name w:val="Body Text Char"/>
    <w:basedOn w:val="DefaultParagraphFont"/>
    <w:link w:val="BodyText"/>
    <w:rsid w:val="00A70CAC"/>
    <w:rPr>
      <w:rFonts w:ascii="Arial" w:hAnsi="Arial"/>
      <w:szCs w:val="24"/>
      <w:lang w:val="en-AU" w:eastAsia="en-AU"/>
    </w:rPr>
  </w:style>
  <w:style w:type="paragraph" w:styleId="Caption">
    <w:name w:val="caption"/>
    <w:basedOn w:val="Normal"/>
    <w:next w:val="Normal"/>
    <w:qFormat/>
    <w:rsid w:val="00A70CAC"/>
    <w:rPr>
      <w:b/>
      <w:bCs/>
      <w:szCs w:val="20"/>
    </w:rPr>
  </w:style>
  <w:style w:type="paragraph" w:customStyle="1" w:styleId="Copyright">
    <w:name w:val="Copyright"/>
    <w:basedOn w:val="Normal"/>
    <w:next w:val="Normal"/>
    <w:rsid w:val="00A70CAC"/>
  </w:style>
  <w:style w:type="paragraph" w:customStyle="1" w:styleId="DocTitle">
    <w:name w:val="Doc Title"/>
    <w:basedOn w:val="Normal"/>
    <w:rsid w:val="00A70CAC"/>
    <w:pPr>
      <w:spacing w:before="1680" w:line="440" w:lineRule="atLeast"/>
    </w:pPr>
    <w:rPr>
      <w:b/>
      <w:sz w:val="36"/>
      <w:szCs w:val="20"/>
    </w:rPr>
  </w:style>
  <w:style w:type="paragraph" w:customStyle="1" w:styleId="Draftingnote">
    <w:name w:val="Drafting note"/>
    <w:basedOn w:val="Normal"/>
    <w:next w:val="Normal"/>
    <w:rsid w:val="00A70CAC"/>
    <w:rPr>
      <w:b/>
      <w:color w:val="FF0000"/>
      <w:sz w:val="24"/>
    </w:rPr>
  </w:style>
  <w:style w:type="paragraph" w:customStyle="1" w:styleId="FigureTitle">
    <w:name w:val="Figure Title"/>
    <w:basedOn w:val="Copyright"/>
    <w:next w:val="DocTitle"/>
    <w:rsid w:val="00A70CAC"/>
    <w:pPr>
      <w:keepNext/>
      <w:keepLines/>
      <w:spacing w:before="200" w:after="120"/>
    </w:pPr>
    <w:rPr>
      <w:b/>
      <w:szCs w:val="20"/>
      <w:lang w:eastAsia="en-US"/>
    </w:rPr>
  </w:style>
  <w:style w:type="paragraph" w:styleId="Subtitle">
    <w:name w:val="Subtitle"/>
    <w:basedOn w:val="Normal"/>
    <w:link w:val="SubtitleChar"/>
    <w:qFormat/>
    <w:rsid w:val="00A70CAC"/>
    <w:pPr>
      <w:spacing w:after="60"/>
      <w:jc w:val="center"/>
      <w:outlineLvl w:val="1"/>
    </w:pPr>
    <w:rPr>
      <w:rFonts w:cs="Arial"/>
      <w:sz w:val="24"/>
    </w:rPr>
  </w:style>
  <w:style w:type="character" w:customStyle="1" w:styleId="SubtitleChar">
    <w:name w:val="Subtitle Char"/>
    <w:basedOn w:val="DefaultParagraphFont"/>
    <w:link w:val="Subtitle"/>
    <w:rsid w:val="00A70CAC"/>
    <w:rPr>
      <w:rFonts w:ascii="Arial" w:hAnsi="Arial" w:cs="Arial"/>
      <w:sz w:val="24"/>
      <w:szCs w:val="24"/>
      <w:lang w:val="en-AU" w:eastAsia="en-AU"/>
    </w:rPr>
  </w:style>
  <w:style w:type="paragraph" w:customStyle="1" w:styleId="MainTitle">
    <w:name w:val="Main Title"/>
    <w:basedOn w:val="Normal"/>
    <w:rsid w:val="00A70CAC"/>
    <w:pPr>
      <w:spacing w:before="1560" w:after="240" w:line="440" w:lineRule="atLeast"/>
    </w:pPr>
    <w:rPr>
      <w:rFonts w:ascii="Frutiger 45 Light" w:hAnsi="Frutiger 45 Light"/>
      <w:b/>
      <w:color w:val="872434"/>
      <w:sz w:val="40"/>
      <w:szCs w:val="20"/>
    </w:rPr>
  </w:style>
  <w:style w:type="paragraph" w:customStyle="1" w:styleId="Note">
    <w:name w:val="Note"/>
    <w:basedOn w:val="BodyText"/>
    <w:next w:val="Normal"/>
    <w:rsid w:val="00A70CAC"/>
    <w:pPr>
      <w:keepLines/>
      <w:widowControl w:val="0"/>
      <w:spacing w:before="120" w:after="240"/>
      <w:jc w:val="both"/>
    </w:pPr>
    <w:rPr>
      <w:color w:val="000000"/>
      <w:sz w:val="16"/>
      <w:szCs w:val="20"/>
      <w:lang w:eastAsia="en-US"/>
    </w:rPr>
  </w:style>
  <w:style w:type="paragraph" w:customStyle="1" w:styleId="Paperreference">
    <w:name w:val="Paper reference"/>
    <w:basedOn w:val="Normal"/>
    <w:next w:val="Normal"/>
    <w:rsid w:val="00A70CAC"/>
    <w:pPr>
      <w:spacing w:before="0" w:after="40" w:line="240" w:lineRule="auto"/>
    </w:pPr>
    <w:rPr>
      <w:b/>
      <w:color w:val="872434"/>
      <w:sz w:val="40"/>
      <w:szCs w:val="36"/>
    </w:rPr>
  </w:style>
  <w:style w:type="paragraph" w:customStyle="1" w:styleId="Papertitle">
    <w:name w:val="Paper title"/>
    <w:basedOn w:val="Normal"/>
    <w:next w:val="Normal"/>
    <w:rsid w:val="00A70CAC"/>
    <w:pPr>
      <w:spacing w:before="480"/>
    </w:pPr>
    <w:rPr>
      <w:color w:val="872434"/>
      <w:sz w:val="28"/>
    </w:rPr>
  </w:style>
  <w:style w:type="paragraph" w:customStyle="1" w:styleId="Source">
    <w:name w:val="Source"/>
    <w:basedOn w:val="Normal"/>
    <w:next w:val="Normal"/>
    <w:rsid w:val="00A70CAC"/>
    <w:pPr>
      <w:keepLines/>
      <w:widowControl w:val="0"/>
      <w:spacing w:before="120" w:after="240"/>
      <w:jc w:val="both"/>
    </w:pPr>
    <w:rPr>
      <w:color w:val="000000"/>
      <w:sz w:val="16"/>
      <w:szCs w:val="20"/>
      <w:lang w:eastAsia="en-US"/>
    </w:rPr>
  </w:style>
  <w:style w:type="paragraph" w:customStyle="1" w:styleId="StyleCopyrightBefore582pt">
    <w:name w:val="Style Copyright + Before:  582 pt"/>
    <w:basedOn w:val="Copyright"/>
    <w:autoRedefine/>
    <w:rsid w:val="00FE449C"/>
    <w:pPr>
      <w:spacing w:before="0"/>
    </w:pPr>
    <w:rPr>
      <w:szCs w:val="20"/>
    </w:rPr>
  </w:style>
  <w:style w:type="table" w:customStyle="1" w:styleId="TableBodyText">
    <w:name w:val="Table Body Text"/>
    <w:basedOn w:val="TableNormal"/>
    <w:rsid w:val="00A70CAC"/>
    <w:rPr>
      <w:lang w:val="en-AU" w:eastAsia="en-AU"/>
    </w:rPr>
    <w:tblPr/>
  </w:style>
  <w:style w:type="table" w:customStyle="1" w:styleId="TableStyle1">
    <w:name w:val="TableStyle 1"/>
    <w:basedOn w:val="TableNormal"/>
    <w:rsid w:val="00A70CAC"/>
    <w:rPr>
      <w:lang w:val="en-AU" w:eastAsia="en-AU"/>
    </w:rPr>
    <w:tblPr>
      <w:tblBorders>
        <w:bottom w:val="single" w:sz="4" w:space="0" w:color="auto"/>
        <w:insideH w:val="single" w:sz="4" w:space="0" w:color="auto"/>
      </w:tblBorders>
    </w:tblPr>
    <w:tblStylePr w:type="firstRow">
      <w:rPr>
        <w:b/>
      </w:rPr>
    </w:tblStylePr>
  </w:style>
  <w:style w:type="paragraph" w:customStyle="1" w:styleId="MWRfootnote">
    <w:name w:val="MWR footnote"/>
    <w:basedOn w:val="FootnoteText"/>
    <w:qFormat/>
    <w:rsid w:val="00A52FF3"/>
    <w:pPr>
      <w:tabs>
        <w:tab w:val="clear" w:pos="425"/>
      </w:tabs>
      <w:ind w:left="255" w:hanging="255"/>
    </w:pPr>
    <w:rPr>
      <w:szCs w:val="40"/>
    </w:rPr>
  </w:style>
  <w:style w:type="paragraph" w:styleId="BalloonText">
    <w:name w:val="Balloon Text"/>
    <w:basedOn w:val="Normal"/>
    <w:link w:val="BalloonTextChar"/>
    <w:rsid w:val="004415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1552"/>
    <w:rPr>
      <w:rFonts w:ascii="Tahoma" w:hAnsi="Tahoma" w:cs="Tahoma"/>
      <w:sz w:val="16"/>
      <w:szCs w:val="16"/>
      <w:lang w:val="en-AU" w:eastAsia="en-AU"/>
    </w:rPr>
  </w:style>
  <w:style w:type="paragraph" w:customStyle="1" w:styleId="Level1">
    <w:name w:val="Level 1"/>
    <w:basedOn w:val="Normal"/>
    <w:next w:val="Normal"/>
    <w:uiPriority w:val="99"/>
    <w:rsid w:val="0023449E"/>
    <w:pPr>
      <w:keepNext/>
      <w:spacing w:before="0" w:after="200" w:line="276" w:lineRule="auto"/>
      <w:ind w:left="851" w:hanging="851"/>
      <w:outlineLvl w:val="0"/>
    </w:pPr>
    <w:rPr>
      <w:rFonts w:asciiTheme="minorHAnsi" w:eastAsiaTheme="minorHAnsi" w:hAnsiTheme="minorHAnsi" w:cstheme="minorBidi"/>
      <w:b/>
      <w:sz w:val="28"/>
      <w:szCs w:val="22"/>
      <w:lang w:eastAsia="en-US"/>
    </w:rPr>
  </w:style>
  <w:style w:type="paragraph" w:styleId="ListParagraph">
    <w:name w:val="List Paragraph"/>
    <w:basedOn w:val="Normal"/>
    <w:uiPriority w:val="34"/>
    <w:qFormat/>
    <w:rsid w:val="0023449E"/>
    <w:pPr>
      <w:spacing w:before="0"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32346">
      <w:bodyDiv w:val="1"/>
      <w:marLeft w:val="0"/>
      <w:marRight w:val="0"/>
      <w:marTop w:val="0"/>
      <w:marBottom w:val="0"/>
      <w:divBdr>
        <w:top w:val="none" w:sz="0" w:space="0" w:color="auto"/>
        <w:left w:val="none" w:sz="0" w:space="0" w:color="auto"/>
        <w:bottom w:val="none" w:sz="0" w:space="0" w:color="auto"/>
        <w:right w:val="none" w:sz="0" w:space="0" w:color="auto"/>
      </w:divBdr>
    </w:div>
    <w:div w:id="15074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MW_Research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8454-FF7E-4FED-8ABD-4F4A34FA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MW_Research_new</Template>
  <TotalTime>7</TotalTime>
  <Pages>6</Pages>
  <Words>2208</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Industrial Registry</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ROZENBES, David</dc:creator>
  <cp:lastModifiedBy>ROZENBES, David</cp:lastModifiedBy>
  <cp:revision>2</cp:revision>
  <cp:lastPrinted>2013-07-04T23:17:00Z</cp:lastPrinted>
  <dcterms:created xsi:type="dcterms:W3CDTF">2018-03-28T06:18:00Z</dcterms:created>
  <dcterms:modified xsi:type="dcterms:W3CDTF">2018-03-28T06:29:00Z</dcterms:modified>
</cp:coreProperties>
</file>