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ajorEastAsia" w:hAnsiTheme="minorHAnsi" w:cstheme="minorBidi"/>
          <w:sz w:val="22"/>
          <w:szCs w:val="22"/>
          <w:lang w:eastAsia="en-US"/>
        </w:rPr>
        <w:id w:val="-1020694362"/>
        <w:docPartObj>
          <w:docPartGallery w:val="Cover Pages"/>
          <w:docPartUnique/>
        </w:docPartObj>
      </w:sdtPr>
      <w:sdtEndPr>
        <w:rPr>
          <w:rFonts w:eastAsiaTheme="minorHAnsi"/>
        </w:rPr>
      </w:sdtEndPr>
      <w:sdtContent>
        <w:tbl>
          <w:tblPr>
            <w:tblW w:w="5000" w:type="pct"/>
            <w:jc w:val="center"/>
            <w:tblLook w:val="04A0" w:firstRow="1" w:lastRow="0" w:firstColumn="1" w:lastColumn="0" w:noHBand="0" w:noVBand="1"/>
          </w:tblPr>
          <w:tblGrid>
            <w:gridCol w:w="9497"/>
          </w:tblGrid>
          <w:tr w:rsidR="00502D2E" w:rsidTr="00502D2E">
            <w:trPr>
              <w:trHeight w:val="2880"/>
              <w:jc w:val="center"/>
            </w:trPr>
            <w:sdt>
              <w:sdtPr>
                <w:rPr>
                  <w:rFonts w:asciiTheme="minorHAnsi" w:eastAsiaTheme="majorEastAsia" w:hAnsiTheme="minorHAnsi" w:cstheme="minorBidi"/>
                  <w:sz w:val="22"/>
                  <w:szCs w:val="22"/>
                  <w:lang w:eastAsia="en-US"/>
                </w:rPr>
                <w:alias w:val="Company"/>
                <w:id w:val="15524243"/>
                <w:dataBinding w:prefixMappings="xmlns:ns0='http://schemas.openxmlformats.org/officeDocument/2006/extended-properties'" w:xpath="/ns0:Properties[1]/ns0:Company[1]" w:storeItemID="{6668398D-A668-4E3E-A5EB-62B293D839F1}"/>
                <w:text/>
              </w:sdtPr>
              <w:sdtEndPr>
                <w:rPr>
                  <w:rStyle w:val="Heading3Char"/>
                  <w:rFonts w:ascii="Verdana" w:hAnsi="Verdana" w:cstheme="majorBidi"/>
                  <w:b/>
                  <w:bCs/>
                  <w:color w:val="404040" w:themeColor="text1" w:themeTint="BF"/>
                  <w:sz w:val="20"/>
                  <w:szCs w:val="24"/>
                  <w:lang w:eastAsia="zh-TW"/>
                </w:rPr>
              </w:sdtEndPr>
              <w:sdtContent>
                <w:tc>
                  <w:tcPr>
                    <w:tcW w:w="5000" w:type="pct"/>
                  </w:tcPr>
                  <w:p w:rsidR="00502D2E" w:rsidRDefault="006E31DF" w:rsidP="002B408E">
                    <w:pPr>
                      <w:pStyle w:val="0BodyText"/>
                      <w:rPr>
                        <w:rFonts w:eastAsiaTheme="majorEastAsia"/>
                      </w:rPr>
                    </w:pPr>
                    <w:r>
                      <w:rPr>
                        <w:rFonts w:asciiTheme="minorHAnsi" w:eastAsiaTheme="majorEastAsia" w:hAnsiTheme="minorHAnsi" w:cstheme="minorBidi"/>
                        <w:sz w:val="22"/>
                        <w:szCs w:val="22"/>
                        <w:lang w:eastAsia="en-US"/>
                      </w:rPr>
                      <w:t>AUSTRALIAN BUSINESS INDUSTRIAL</w:t>
                    </w:r>
                  </w:p>
                </w:tc>
              </w:sdtContent>
            </w:sdt>
          </w:tr>
          <w:tr w:rsidR="00502D2E">
            <w:trPr>
              <w:trHeight w:val="1440"/>
              <w:jc w:val="center"/>
            </w:trPr>
            <w:sdt>
              <w:sdtPr>
                <w:rPr>
                  <w:rFonts w:ascii="Cambria" w:hAnsi="Cambria"/>
                  <w:sz w:val="48"/>
                  <w:szCs w:val="48"/>
                  <w:lang w:val="en"/>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502D2E" w:rsidRPr="002F4943" w:rsidRDefault="006E31DF" w:rsidP="00D268C1">
                    <w:pPr>
                      <w:pStyle w:val="NoSpacing"/>
                      <w:spacing w:before="480" w:after="480"/>
                      <w:jc w:val="center"/>
                      <w:rPr>
                        <w:rFonts w:ascii="Cambria" w:eastAsiaTheme="majorEastAsia" w:hAnsi="Cambria" w:cstheme="majorBidi"/>
                        <w:sz w:val="48"/>
                        <w:szCs w:val="48"/>
                      </w:rPr>
                    </w:pPr>
                    <w:r>
                      <w:rPr>
                        <w:rFonts w:ascii="Cambria" w:hAnsi="Cambria"/>
                        <w:sz w:val="48"/>
                        <w:szCs w:val="48"/>
                        <w:lang w:val="en"/>
                      </w:rPr>
                      <w:t>ANNUAL WAGE REVIEW 2017-18</w:t>
                    </w:r>
                  </w:p>
                </w:tc>
              </w:sdtContent>
            </w:sdt>
          </w:tr>
          <w:tr w:rsidR="00502D2E" w:rsidTr="005B33E9">
            <w:trPr>
              <w:trHeight w:val="1587"/>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502D2E" w:rsidRDefault="006E31DF" w:rsidP="006824B0">
                    <w:pPr>
                      <w:pStyle w:val="NoSpacing"/>
                      <w:spacing w:before="480" w:after="480"/>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SUBMISSIONS OF AUSTRALIAN BUSINESS INDUSTRIAL AND THE NSW BUSINESS CHAMBER Ltd</w:t>
                    </w:r>
                  </w:p>
                </w:tc>
              </w:sdtContent>
            </w:sdt>
          </w:tr>
          <w:tr w:rsidR="00502D2E" w:rsidTr="006824B0">
            <w:trPr>
              <w:trHeight w:val="452"/>
              <w:jc w:val="center"/>
            </w:trPr>
            <w:tc>
              <w:tcPr>
                <w:tcW w:w="5000" w:type="pct"/>
                <w:vAlign w:val="center"/>
              </w:tcPr>
              <w:p w:rsidR="00502D2E" w:rsidRDefault="00502D2E">
                <w:pPr>
                  <w:pStyle w:val="NoSpacing"/>
                  <w:jc w:val="center"/>
                </w:pPr>
              </w:p>
            </w:tc>
          </w:tr>
          <w:tr w:rsidR="00502D2E">
            <w:trPr>
              <w:trHeight w:val="360"/>
              <w:jc w:val="center"/>
            </w:trPr>
            <w:tc>
              <w:tcPr>
                <w:tcW w:w="5000" w:type="pct"/>
                <w:vAlign w:val="center"/>
              </w:tcPr>
              <w:p w:rsidR="00502D2E" w:rsidRDefault="00502D2E">
                <w:pPr>
                  <w:pStyle w:val="NoSpacing"/>
                  <w:jc w:val="center"/>
                  <w:rPr>
                    <w:b/>
                    <w:bCs/>
                  </w:rPr>
                </w:pPr>
              </w:p>
            </w:tc>
          </w:tr>
          <w:tr w:rsidR="00502D2E">
            <w:trPr>
              <w:trHeight w:val="360"/>
              <w:jc w:val="center"/>
            </w:trPr>
            <w:tc>
              <w:tcPr>
                <w:tcW w:w="5000" w:type="pct"/>
                <w:vAlign w:val="center"/>
              </w:tcPr>
              <w:p w:rsidR="00502D2E" w:rsidRDefault="00502D2E">
                <w:pPr>
                  <w:pStyle w:val="NoSpacing"/>
                  <w:jc w:val="center"/>
                  <w:rPr>
                    <w:b/>
                    <w:bCs/>
                  </w:rPr>
                </w:pPr>
              </w:p>
            </w:tc>
          </w:tr>
        </w:tbl>
        <w:p w:rsidR="00502D2E" w:rsidRDefault="00502D2E"/>
        <w:p w:rsidR="00502D2E" w:rsidRPr="006824B0" w:rsidRDefault="00515373" w:rsidP="006824B0">
          <w:pPr>
            <w:jc w:val="right"/>
            <w:rPr>
              <w:rFonts w:asciiTheme="majorHAnsi" w:hAnsiTheme="majorHAnsi"/>
              <w:sz w:val="24"/>
              <w:szCs w:val="24"/>
            </w:rPr>
          </w:pPr>
          <w:r w:rsidRPr="00E51EDA">
            <w:rPr>
              <w:rFonts w:asciiTheme="majorHAnsi" w:hAnsiTheme="majorHAnsi"/>
              <w:sz w:val="24"/>
            </w:rPr>
            <w:t>13</w:t>
          </w:r>
          <w:r w:rsidR="006824B0" w:rsidRPr="00E51EDA">
            <w:rPr>
              <w:rFonts w:asciiTheme="majorHAnsi" w:hAnsiTheme="majorHAnsi"/>
              <w:sz w:val="24"/>
            </w:rPr>
            <w:t xml:space="preserve"> March 201</w:t>
          </w:r>
          <w:r w:rsidRPr="00E51EDA">
            <w:rPr>
              <w:rFonts w:asciiTheme="majorHAnsi" w:hAnsiTheme="majorHAnsi"/>
              <w:sz w:val="24"/>
            </w:rPr>
            <w:t>8</w:t>
          </w:r>
        </w:p>
        <w:tbl>
          <w:tblPr>
            <w:tblpPr w:leftFromText="187" w:rightFromText="187" w:horzAnchor="margin" w:tblpXSpec="center" w:tblpYSpec="bottom"/>
            <w:tblW w:w="5000" w:type="pct"/>
            <w:tblLook w:val="04A0" w:firstRow="1" w:lastRow="0" w:firstColumn="1" w:lastColumn="0" w:noHBand="0" w:noVBand="1"/>
          </w:tblPr>
          <w:tblGrid>
            <w:gridCol w:w="9497"/>
          </w:tblGrid>
          <w:tr w:rsidR="00502D2E">
            <w:sdt>
              <w:sdtPr>
                <w:alias w:val="Abstract"/>
                <w:id w:val="8276291"/>
                <w:showingPlcHdr/>
                <w:dataBinding w:prefixMappings="xmlns:ns0='http://schemas.microsoft.com/office/2006/coverPageProps'" w:xpath="/ns0:CoverPageProperties[1]/ns0:Abstract[1]" w:storeItemID="{55AF091B-3C7A-41E3-B477-F2FDAA23CFDA}"/>
                <w:text/>
              </w:sdtPr>
              <w:sdtEndPr/>
              <w:sdtContent>
                <w:tc>
                  <w:tcPr>
                    <w:tcW w:w="5000" w:type="pct"/>
                  </w:tcPr>
                  <w:p w:rsidR="00502D2E" w:rsidRDefault="002D23DE" w:rsidP="002D23DE">
                    <w:pPr>
                      <w:pStyle w:val="NoSpacing"/>
                    </w:pPr>
                    <w:r>
                      <w:t xml:space="preserve">     </w:t>
                    </w:r>
                  </w:p>
                </w:tc>
              </w:sdtContent>
            </w:sdt>
          </w:tr>
        </w:tbl>
        <w:p w:rsidR="00502D2E" w:rsidRDefault="009B18F3">
          <w:pPr>
            <w:rPr>
              <w:rFonts w:ascii="Verdana" w:eastAsiaTheme="majorEastAsia" w:hAnsi="Verdana" w:cstheme="majorBidi"/>
              <w:bCs/>
              <w:color w:val="F47D2B"/>
              <w:sz w:val="40"/>
              <w:szCs w:val="40"/>
              <w:lang w:eastAsia="zh-TW"/>
            </w:rPr>
          </w:pPr>
        </w:p>
      </w:sdtContent>
    </w:sdt>
    <w:p w:rsidR="003E2DA9" w:rsidRDefault="003E2DA9" w:rsidP="003E2DA9">
      <w:pPr>
        <w:pStyle w:val="Heading1"/>
      </w:pPr>
    </w:p>
    <w:p w:rsidR="001F3D6D" w:rsidRDefault="001F3D6D">
      <w:pPr>
        <w:rPr>
          <w:rFonts w:ascii="Verdana" w:eastAsiaTheme="majorEastAsia" w:hAnsi="Verdana" w:cstheme="majorBidi"/>
          <w:bCs/>
          <w:color w:val="F47D2B"/>
          <w:sz w:val="40"/>
          <w:szCs w:val="40"/>
          <w:lang w:eastAsia="zh-TW"/>
        </w:rPr>
      </w:pPr>
      <w:r>
        <w:br w:type="page"/>
      </w:r>
    </w:p>
    <w:p w:rsidR="002D23DE" w:rsidRDefault="002D23DE" w:rsidP="002D23DE"/>
    <w:p w:rsidR="00DC76C4" w:rsidRDefault="00DC76C4" w:rsidP="002D23DE"/>
    <w:p w:rsidR="00DC76C4" w:rsidRDefault="00DC76C4" w:rsidP="002D23DE"/>
    <w:p w:rsidR="00DC76C4" w:rsidRDefault="00DC76C4" w:rsidP="002D23DE"/>
    <w:p w:rsidR="00DC76C4" w:rsidRDefault="00DC76C4" w:rsidP="002D23DE"/>
    <w:p w:rsidR="001F3D6D" w:rsidRDefault="001F3D6D" w:rsidP="002D23DE"/>
    <w:p w:rsidR="002D23DE" w:rsidRDefault="002D23DE" w:rsidP="001F3D6D">
      <w:pPr>
        <w:pStyle w:val="Heading1"/>
      </w:pPr>
      <w:r>
        <w:t>About ABI and the NSW</w:t>
      </w:r>
      <w:r w:rsidR="00A7026A">
        <w:t>BC</w:t>
      </w:r>
    </w:p>
    <w:p w:rsidR="002D23DE" w:rsidRPr="00DD4495" w:rsidRDefault="00C800D3" w:rsidP="00471A26">
      <w:pPr>
        <w:autoSpaceDE w:val="0"/>
        <w:autoSpaceDN w:val="0"/>
        <w:adjustRightInd w:val="0"/>
        <w:rPr>
          <w:rFonts w:ascii="Verdana" w:hAnsi="Verdana" w:cs="Calibri"/>
          <w:sz w:val="20"/>
          <w:szCs w:val="20"/>
        </w:rPr>
      </w:pPr>
      <w:r w:rsidRPr="00DD4495">
        <w:rPr>
          <w:rFonts w:ascii="Verdana" w:hAnsi="Verdana"/>
          <w:sz w:val="20"/>
          <w:szCs w:val="20"/>
        </w:rPr>
        <w:t>Australian Business Industrial</w:t>
      </w:r>
      <w:r w:rsidR="00A7026A">
        <w:rPr>
          <w:rFonts w:ascii="Verdana" w:hAnsi="Verdana"/>
          <w:sz w:val="20"/>
          <w:szCs w:val="20"/>
        </w:rPr>
        <w:t xml:space="preserve"> (ABI)</w:t>
      </w:r>
      <w:r w:rsidR="002D23DE" w:rsidRPr="00DD4495">
        <w:rPr>
          <w:rFonts w:ascii="Verdana" w:hAnsi="Verdana"/>
          <w:sz w:val="20"/>
          <w:szCs w:val="20"/>
        </w:rPr>
        <w:t xml:space="preserve"> is registered under the </w:t>
      </w:r>
      <w:r w:rsidR="002D23DE" w:rsidRPr="00DD4495">
        <w:rPr>
          <w:rFonts w:ascii="Verdana" w:hAnsi="Verdana"/>
          <w:i/>
          <w:sz w:val="20"/>
          <w:szCs w:val="20"/>
        </w:rPr>
        <w:t>Fair Work (Registered Organisations) Act 2009</w:t>
      </w:r>
      <w:r w:rsidR="002D23DE" w:rsidRPr="00DD4495">
        <w:rPr>
          <w:rFonts w:ascii="Verdana" w:hAnsi="Verdana"/>
          <w:sz w:val="20"/>
          <w:szCs w:val="20"/>
        </w:rPr>
        <w:t xml:space="preserve"> and </w:t>
      </w:r>
      <w:r w:rsidR="002D23DE" w:rsidRPr="00DD4495">
        <w:rPr>
          <w:rFonts w:ascii="Verdana" w:hAnsi="Verdana" w:cs="Calibri"/>
          <w:sz w:val="20"/>
          <w:szCs w:val="20"/>
        </w:rPr>
        <w:t xml:space="preserve">has some 4,200 members and </w:t>
      </w:r>
      <w:r w:rsidR="00504539" w:rsidRPr="00DD4495">
        <w:rPr>
          <w:rFonts w:ascii="Verdana" w:hAnsi="Verdana" w:cs="Calibri"/>
          <w:sz w:val="20"/>
          <w:szCs w:val="20"/>
        </w:rPr>
        <w:t>the NSW Business Chamber Ltd</w:t>
      </w:r>
      <w:r w:rsidR="00870DD0">
        <w:rPr>
          <w:rFonts w:ascii="Verdana" w:hAnsi="Verdana" w:cs="Calibri"/>
          <w:sz w:val="20"/>
          <w:szCs w:val="20"/>
        </w:rPr>
        <w:t xml:space="preserve"> (NSWBC)</w:t>
      </w:r>
      <w:r w:rsidR="00504539" w:rsidRPr="00DD4495">
        <w:rPr>
          <w:rFonts w:ascii="Verdana" w:hAnsi="Verdana" w:cs="Calibri"/>
          <w:sz w:val="20"/>
          <w:szCs w:val="20"/>
        </w:rPr>
        <w:t xml:space="preserve"> is registered under the (NSW) </w:t>
      </w:r>
      <w:r w:rsidR="00504539" w:rsidRPr="00DD4495">
        <w:rPr>
          <w:rFonts w:ascii="Verdana" w:hAnsi="Verdana" w:cs="Calibri"/>
          <w:i/>
          <w:sz w:val="20"/>
          <w:szCs w:val="20"/>
        </w:rPr>
        <w:t xml:space="preserve">Industrial Relations Act 1996 </w:t>
      </w:r>
      <w:r w:rsidR="00504539" w:rsidRPr="00DD4495">
        <w:rPr>
          <w:rFonts w:ascii="Verdana" w:hAnsi="Verdana" w:cs="Calibri"/>
          <w:sz w:val="20"/>
          <w:szCs w:val="20"/>
        </w:rPr>
        <w:t xml:space="preserve">and </w:t>
      </w:r>
      <w:r w:rsidR="002D23DE" w:rsidRPr="00DD4495">
        <w:rPr>
          <w:rFonts w:ascii="Verdana" w:hAnsi="Verdana" w:cs="Calibri"/>
          <w:sz w:val="20"/>
          <w:szCs w:val="20"/>
        </w:rPr>
        <w:t xml:space="preserve">is a State registered association </w:t>
      </w:r>
      <w:r w:rsidR="00504539" w:rsidRPr="00DD4495">
        <w:rPr>
          <w:rFonts w:ascii="Verdana" w:hAnsi="Verdana" w:cs="Calibri"/>
          <w:sz w:val="20"/>
          <w:szCs w:val="20"/>
        </w:rPr>
        <w:t xml:space="preserve">recognised </w:t>
      </w:r>
      <w:r w:rsidR="002D23DE" w:rsidRPr="00DD4495">
        <w:rPr>
          <w:rFonts w:ascii="Verdana" w:hAnsi="Verdana" w:cs="Calibri"/>
          <w:sz w:val="20"/>
          <w:szCs w:val="20"/>
        </w:rPr>
        <w:t xml:space="preserve">pursuant to Schedule 2 of the </w:t>
      </w:r>
      <w:r w:rsidR="002D23DE" w:rsidRPr="00DD4495">
        <w:rPr>
          <w:rFonts w:ascii="Verdana" w:hAnsi="Verdana" w:cs="Calibri"/>
          <w:i/>
          <w:sz w:val="20"/>
          <w:szCs w:val="20"/>
        </w:rPr>
        <w:t>Fair Work (Registered Organisations) Act 2009</w:t>
      </w:r>
      <w:r w:rsidR="00504539" w:rsidRPr="00DD4495">
        <w:rPr>
          <w:rFonts w:ascii="Verdana" w:hAnsi="Verdana" w:cs="Calibri"/>
          <w:i/>
          <w:sz w:val="20"/>
          <w:szCs w:val="20"/>
        </w:rPr>
        <w:t>.</w:t>
      </w:r>
      <w:r w:rsidR="00504539" w:rsidRPr="00DD4495">
        <w:rPr>
          <w:rFonts w:ascii="Verdana" w:hAnsi="Verdana" w:cs="Calibri"/>
          <w:sz w:val="20"/>
          <w:szCs w:val="20"/>
        </w:rPr>
        <w:t xml:space="preserve">  The NSWBC </w:t>
      </w:r>
      <w:r w:rsidR="002D23DE" w:rsidRPr="00DD4495">
        <w:rPr>
          <w:rFonts w:ascii="Verdana" w:hAnsi="Verdana" w:cs="Calibri"/>
          <w:sz w:val="20"/>
          <w:szCs w:val="20"/>
        </w:rPr>
        <w:t xml:space="preserve">has some </w:t>
      </w:r>
      <w:r w:rsidR="006C1D4A">
        <w:rPr>
          <w:rFonts w:ascii="Verdana" w:hAnsi="Verdana" w:cs="Calibri"/>
          <w:sz w:val="20"/>
          <w:szCs w:val="20"/>
        </w:rPr>
        <w:t>20</w:t>
      </w:r>
      <w:r w:rsidR="002D23DE" w:rsidRPr="00DD4495">
        <w:rPr>
          <w:rFonts w:ascii="Verdana" w:hAnsi="Verdana" w:cs="Calibri"/>
          <w:sz w:val="20"/>
          <w:szCs w:val="20"/>
        </w:rPr>
        <w:t xml:space="preserve">,000 members.  </w:t>
      </w:r>
    </w:p>
    <w:p w:rsidR="002D23DE" w:rsidRDefault="002D23DE" w:rsidP="00471A26">
      <w:pPr>
        <w:autoSpaceDE w:val="0"/>
        <w:autoSpaceDN w:val="0"/>
        <w:adjustRightInd w:val="0"/>
        <w:rPr>
          <w:rFonts w:ascii="Verdana" w:hAnsi="Verdana" w:cs="Calibri"/>
          <w:sz w:val="20"/>
          <w:szCs w:val="20"/>
        </w:rPr>
      </w:pPr>
      <w:r w:rsidRPr="00DD4495">
        <w:rPr>
          <w:rFonts w:ascii="Verdana" w:hAnsi="Verdana" w:cs="Calibri"/>
          <w:sz w:val="20"/>
          <w:szCs w:val="20"/>
        </w:rPr>
        <w:t>ABI comprises those NSWBC members who specifically seek membership of a federally registered organisation.</w:t>
      </w:r>
      <w:r w:rsidR="002E2132" w:rsidRPr="00DD4495">
        <w:rPr>
          <w:rFonts w:ascii="Verdana" w:hAnsi="Verdana" w:cs="Calibri"/>
          <w:sz w:val="20"/>
          <w:szCs w:val="20"/>
        </w:rPr>
        <w:t xml:space="preserve">  </w:t>
      </w:r>
    </w:p>
    <w:p w:rsidR="00A75E5F" w:rsidRPr="00DD4495" w:rsidRDefault="00A75E5F" w:rsidP="00471A26">
      <w:pPr>
        <w:autoSpaceDE w:val="0"/>
        <w:autoSpaceDN w:val="0"/>
        <w:adjustRightInd w:val="0"/>
        <w:rPr>
          <w:rFonts w:ascii="Verdana" w:hAnsi="Verdana" w:cs="Calibri"/>
          <w:sz w:val="20"/>
          <w:szCs w:val="20"/>
        </w:rPr>
      </w:pPr>
      <w:r w:rsidRPr="009F2F00">
        <w:rPr>
          <w:rFonts w:ascii="Verdana" w:hAnsi="Verdana"/>
          <w:sz w:val="20"/>
        </w:rPr>
        <w:t xml:space="preserve">These submissions have been approved by the Council of ABI on behalf of its members and endorsed by the workplace policy committee of the </w:t>
      </w:r>
      <w:r w:rsidR="00870DD0" w:rsidRPr="009F2F00">
        <w:rPr>
          <w:rFonts w:ascii="Verdana" w:hAnsi="Verdana"/>
          <w:sz w:val="20"/>
        </w:rPr>
        <w:t>NSWBC</w:t>
      </w:r>
      <w:r w:rsidRPr="009F2F00">
        <w:rPr>
          <w:rFonts w:ascii="Verdana" w:hAnsi="Verdana"/>
          <w:sz w:val="20"/>
        </w:rPr>
        <w:t>.</w:t>
      </w:r>
    </w:p>
    <w:p w:rsidR="007D261B" w:rsidRPr="00DD4495" w:rsidRDefault="007D261B" w:rsidP="00471A26">
      <w:pPr>
        <w:autoSpaceDE w:val="0"/>
        <w:autoSpaceDN w:val="0"/>
        <w:adjustRightInd w:val="0"/>
        <w:rPr>
          <w:rFonts w:ascii="Verdana" w:hAnsi="Verdana" w:cs="Calibri"/>
          <w:sz w:val="20"/>
          <w:szCs w:val="20"/>
        </w:rPr>
      </w:pPr>
    </w:p>
    <w:p w:rsidR="007D261B" w:rsidRPr="00DD4495" w:rsidRDefault="007D261B" w:rsidP="00471A26">
      <w:pPr>
        <w:autoSpaceDE w:val="0"/>
        <w:autoSpaceDN w:val="0"/>
        <w:adjustRightInd w:val="0"/>
        <w:rPr>
          <w:rFonts w:ascii="Verdana" w:hAnsi="Verdana" w:cs="Calibri"/>
          <w:sz w:val="20"/>
          <w:szCs w:val="20"/>
        </w:rPr>
      </w:pPr>
    </w:p>
    <w:p w:rsidR="00F80681" w:rsidRPr="00DD4495" w:rsidRDefault="00F80681" w:rsidP="00471A26">
      <w:pPr>
        <w:rPr>
          <w:rFonts w:ascii="Verdana" w:hAnsi="Verdana"/>
          <w:sz w:val="20"/>
          <w:szCs w:val="20"/>
        </w:rPr>
      </w:pPr>
    </w:p>
    <w:p w:rsidR="008729FB" w:rsidRPr="00DD4495" w:rsidRDefault="008729FB" w:rsidP="001F3D6D">
      <w:pPr>
        <w:pStyle w:val="Heading2"/>
        <w:rPr>
          <w:sz w:val="20"/>
          <w:szCs w:val="20"/>
        </w:rPr>
      </w:pPr>
      <w:r w:rsidRPr="00DD4495">
        <w:rPr>
          <w:rStyle w:val="Heading3Char"/>
          <w:b w:val="0"/>
          <w:bCs/>
          <w:color w:val="808080" w:themeColor="background1" w:themeShade="80"/>
          <w:szCs w:val="20"/>
        </w:rPr>
        <w:t>Contact</w:t>
      </w:r>
      <w:r w:rsidRPr="00DD4495">
        <w:rPr>
          <w:sz w:val="20"/>
          <w:szCs w:val="20"/>
        </w:rPr>
        <w:t xml:space="preserve">: </w:t>
      </w:r>
    </w:p>
    <w:p w:rsidR="002E2132" w:rsidRPr="00DD4495" w:rsidRDefault="002E2132" w:rsidP="001F3D6D">
      <w:pPr>
        <w:spacing w:line="240" w:lineRule="auto"/>
        <w:rPr>
          <w:rFonts w:ascii="Verdana" w:hAnsi="Verdana"/>
          <w:b/>
          <w:sz w:val="20"/>
          <w:szCs w:val="20"/>
        </w:rPr>
      </w:pPr>
    </w:p>
    <w:p w:rsidR="003E6CD7" w:rsidRPr="00DD4495" w:rsidRDefault="003E6CD7" w:rsidP="003E6CD7">
      <w:pPr>
        <w:spacing w:after="0" w:line="240" w:lineRule="auto"/>
        <w:rPr>
          <w:rFonts w:ascii="Verdana" w:hAnsi="Verdana"/>
          <w:b/>
          <w:sz w:val="20"/>
          <w:szCs w:val="20"/>
        </w:rPr>
      </w:pPr>
      <w:r w:rsidRPr="00DD4495">
        <w:rPr>
          <w:rFonts w:ascii="Verdana" w:hAnsi="Verdana"/>
          <w:b/>
          <w:sz w:val="20"/>
          <w:szCs w:val="20"/>
        </w:rPr>
        <w:t xml:space="preserve">Mark Frost </w:t>
      </w:r>
    </w:p>
    <w:p w:rsidR="003E6CD7" w:rsidRPr="00DD4495" w:rsidRDefault="003E6CD7" w:rsidP="003E6CD7">
      <w:pPr>
        <w:spacing w:after="0" w:line="240" w:lineRule="auto"/>
        <w:rPr>
          <w:rFonts w:ascii="Verdana" w:hAnsi="Verdana"/>
          <w:sz w:val="20"/>
          <w:szCs w:val="20"/>
        </w:rPr>
      </w:pPr>
      <w:r w:rsidRPr="00DD4495">
        <w:rPr>
          <w:rFonts w:ascii="Verdana" w:hAnsi="Verdana"/>
          <w:sz w:val="20"/>
          <w:szCs w:val="20"/>
        </w:rPr>
        <w:t xml:space="preserve">Policy </w:t>
      </w:r>
      <w:r w:rsidR="006C1D4A">
        <w:rPr>
          <w:rFonts w:ascii="Verdana" w:hAnsi="Verdana"/>
          <w:sz w:val="20"/>
          <w:szCs w:val="20"/>
        </w:rPr>
        <w:t>Manager</w:t>
      </w:r>
      <w:r w:rsidR="006C1D4A" w:rsidRPr="00DD4495">
        <w:rPr>
          <w:rFonts w:ascii="Verdana" w:hAnsi="Verdana"/>
          <w:sz w:val="20"/>
          <w:szCs w:val="20"/>
        </w:rPr>
        <w:t xml:space="preserve"> </w:t>
      </w:r>
      <w:r w:rsidRPr="00DD4495">
        <w:rPr>
          <w:rFonts w:ascii="Verdana" w:hAnsi="Verdana"/>
          <w:sz w:val="20"/>
          <w:szCs w:val="20"/>
        </w:rPr>
        <w:t xml:space="preserve">Business Regulations and Economics, NSW Business Chamber Limited mark.frost@nswbc.com.au </w:t>
      </w:r>
      <w:r w:rsidR="00A83AB8" w:rsidRPr="00DD4495">
        <w:rPr>
          <w:rFonts w:ascii="Verdana" w:hAnsi="Verdana"/>
          <w:sz w:val="20"/>
          <w:szCs w:val="20"/>
        </w:rPr>
        <w:t xml:space="preserve">  </w:t>
      </w:r>
      <w:r w:rsidRPr="00DD4495">
        <w:rPr>
          <w:rFonts w:ascii="Verdana" w:hAnsi="Verdana"/>
          <w:sz w:val="20"/>
          <w:szCs w:val="20"/>
        </w:rPr>
        <w:t xml:space="preserve">+612 9458 7259 </w:t>
      </w:r>
    </w:p>
    <w:p w:rsidR="003E6CD7" w:rsidRPr="00DD4495" w:rsidRDefault="003E6CD7" w:rsidP="003E6CD7">
      <w:pPr>
        <w:spacing w:after="0" w:line="240" w:lineRule="auto"/>
        <w:rPr>
          <w:rFonts w:ascii="Verdana" w:hAnsi="Verdana"/>
          <w:sz w:val="20"/>
          <w:szCs w:val="20"/>
        </w:rPr>
      </w:pPr>
    </w:p>
    <w:p w:rsidR="003E6CD7" w:rsidRPr="00DD4495" w:rsidRDefault="003E6CD7" w:rsidP="003E6CD7">
      <w:pPr>
        <w:spacing w:after="0" w:line="240" w:lineRule="auto"/>
        <w:rPr>
          <w:rFonts w:ascii="Verdana" w:hAnsi="Verdana"/>
          <w:b/>
          <w:sz w:val="20"/>
          <w:szCs w:val="20"/>
        </w:rPr>
      </w:pPr>
      <w:r w:rsidRPr="00DD4495">
        <w:rPr>
          <w:rFonts w:ascii="Verdana" w:hAnsi="Verdana"/>
          <w:b/>
          <w:sz w:val="20"/>
          <w:szCs w:val="20"/>
        </w:rPr>
        <w:t xml:space="preserve">Dick Grozier </w:t>
      </w:r>
    </w:p>
    <w:p w:rsidR="003E6CD7" w:rsidRPr="00DD4495" w:rsidRDefault="003E6CD7" w:rsidP="003E6CD7">
      <w:pPr>
        <w:spacing w:after="0" w:line="240" w:lineRule="auto"/>
        <w:rPr>
          <w:rFonts w:ascii="Verdana" w:hAnsi="Verdana"/>
          <w:sz w:val="20"/>
          <w:szCs w:val="20"/>
        </w:rPr>
      </w:pPr>
      <w:r w:rsidRPr="00DD4495">
        <w:rPr>
          <w:rFonts w:ascii="Verdana" w:hAnsi="Verdana"/>
          <w:sz w:val="20"/>
          <w:szCs w:val="20"/>
        </w:rPr>
        <w:t xml:space="preserve">Director of Industrial Relations, Australian Business Industrial </w:t>
      </w:r>
    </w:p>
    <w:p w:rsidR="003E6CD7" w:rsidRPr="00DD4495" w:rsidRDefault="003E6CD7" w:rsidP="003E6CD7">
      <w:pPr>
        <w:spacing w:after="0" w:line="240" w:lineRule="auto"/>
        <w:rPr>
          <w:rFonts w:ascii="Verdana" w:hAnsi="Verdana"/>
          <w:sz w:val="20"/>
          <w:szCs w:val="20"/>
        </w:rPr>
      </w:pPr>
      <w:r w:rsidRPr="00DD4495">
        <w:rPr>
          <w:rFonts w:ascii="Verdana" w:hAnsi="Verdana"/>
          <w:sz w:val="20"/>
          <w:szCs w:val="20"/>
        </w:rPr>
        <w:t xml:space="preserve">dick.grozier@nswbc.com.au </w:t>
      </w:r>
      <w:r w:rsidR="00A83AB8" w:rsidRPr="00DD4495">
        <w:rPr>
          <w:rFonts w:ascii="Verdana" w:hAnsi="Verdana"/>
          <w:sz w:val="20"/>
          <w:szCs w:val="20"/>
        </w:rPr>
        <w:t xml:space="preserve">  </w:t>
      </w:r>
      <w:r w:rsidRPr="00DD4495">
        <w:rPr>
          <w:rFonts w:ascii="Verdana" w:hAnsi="Verdana"/>
          <w:sz w:val="20"/>
          <w:szCs w:val="20"/>
        </w:rPr>
        <w:t>+612 9458 7574</w:t>
      </w:r>
    </w:p>
    <w:p w:rsidR="008729FB" w:rsidRDefault="008729FB" w:rsidP="001F3D6D">
      <w:pPr>
        <w:spacing w:after="0" w:line="240" w:lineRule="auto"/>
      </w:pPr>
      <w:r>
        <w:br w:type="page"/>
      </w:r>
    </w:p>
    <w:p w:rsidR="00997BBA" w:rsidRPr="000E340A" w:rsidRDefault="00F85003" w:rsidP="00997BBA">
      <w:pPr>
        <w:pStyle w:val="Heading1"/>
      </w:pPr>
      <w:r>
        <w:lastRenderedPageBreak/>
        <w:t xml:space="preserve">Part I — </w:t>
      </w:r>
      <w:r w:rsidR="00EE06A8">
        <w:t>Introduction</w:t>
      </w:r>
    </w:p>
    <w:p w:rsidR="009455B2" w:rsidRDefault="009455B2" w:rsidP="009455B2">
      <w:pPr>
        <w:spacing w:after="0"/>
        <w:rPr>
          <w:rFonts w:ascii="Verdana" w:hAnsi="Verdana"/>
          <w:sz w:val="20"/>
          <w:szCs w:val="20"/>
        </w:rPr>
      </w:pPr>
      <w:r>
        <w:rPr>
          <w:rFonts w:ascii="Verdana" w:hAnsi="Verdana"/>
          <w:sz w:val="20"/>
          <w:szCs w:val="20"/>
        </w:rPr>
        <w:t>ABI</w:t>
      </w:r>
      <w:r w:rsidRPr="00DD4495">
        <w:rPr>
          <w:rFonts w:ascii="Verdana" w:hAnsi="Verdana"/>
          <w:sz w:val="20"/>
          <w:szCs w:val="20"/>
        </w:rPr>
        <w:t xml:space="preserve"> </w:t>
      </w:r>
      <w:r>
        <w:rPr>
          <w:rFonts w:ascii="Verdana" w:hAnsi="Verdana"/>
          <w:sz w:val="20"/>
          <w:szCs w:val="20"/>
        </w:rPr>
        <w:t xml:space="preserve">and the NSWBC </w:t>
      </w:r>
      <w:r w:rsidRPr="00DD4495">
        <w:rPr>
          <w:rFonts w:ascii="Verdana" w:hAnsi="Verdana"/>
          <w:sz w:val="20"/>
          <w:szCs w:val="20"/>
        </w:rPr>
        <w:t>(</w:t>
      </w:r>
      <w:r>
        <w:rPr>
          <w:rFonts w:ascii="Verdana" w:hAnsi="Verdana"/>
          <w:sz w:val="20"/>
          <w:szCs w:val="20"/>
        </w:rPr>
        <w:t xml:space="preserve">for brevity, collectively referred to as </w:t>
      </w:r>
      <w:r w:rsidRPr="00DD4495">
        <w:rPr>
          <w:rFonts w:ascii="Verdana" w:hAnsi="Verdana"/>
          <w:sz w:val="20"/>
          <w:szCs w:val="20"/>
        </w:rPr>
        <w:t>ABI) appreciate the opportunity to make a submission to the</w:t>
      </w:r>
      <w:r>
        <w:rPr>
          <w:rFonts w:ascii="Verdana" w:hAnsi="Verdana"/>
          <w:sz w:val="20"/>
          <w:szCs w:val="20"/>
        </w:rPr>
        <w:t xml:space="preserve"> </w:t>
      </w:r>
      <w:r w:rsidRPr="00DD4495">
        <w:rPr>
          <w:rFonts w:ascii="Verdana" w:hAnsi="Verdana"/>
          <w:sz w:val="20"/>
          <w:szCs w:val="20"/>
        </w:rPr>
        <w:t>201</w:t>
      </w:r>
      <w:r>
        <w:rPr>
          <w:rFonts w:ascii="Verdana" w:hAnsi="Verdana"/>
          <w:sz w:val="20"/>
          <w:szCs w:val="20"/>
        </w:rPr>
        <w:t>7</w:t>
      </w:r>
      <w:r w:rsidRPr="00DD4495">
        <w:rPr>
          <w:rFonts w:ascii="Verdana" w:hAnsi="Verdana"/>
          <w:sz w:val="20"/>
          <w:szCs w:val="20"/>
        </w:rPr>
        <w:t>-1</w:t>
      </w:r>
      <w:r>
        <w:rPr>
          <w:rFonts w:ascii="Verdana" w:hAnsi="Verdana"/>
          <w:sz w:val="20"/>
          <w:szCs w:val="20"/>
        </w:rPr>
        <w:t>8</w:t>
      </w:r>
      <w:r w:rsidRPr="00DD4495">
        <w:rPr>
          <w:rFonts w:ascii="Verdana" w:hAnsi="Verdana"/>
          <w:sz w:val="20"/>
          <w:szCs w:val="20"/>
        </w:rPr>
        <w:t xml:space="preserve"> Annual Wage Review.</w:t>
      </w:r>
      <w:r>
        <w:rPr>
          <w:rFonts w:ascii="Verdana" w:hAnsi="Verdana"/>
          <w:sz w:val="20"/>
          <w:szCs w:val="20"/>
        </w:rPr>
        <w:t xml:space="preserve">  </w:t>
      </w:r>
    </w:p>
    <w:p w:rsidR="009455B2" w:rsidRDefault="009455B2" w:rsidP="009455B2">
      <w:pPr>
        <w:spacing w:after="0"/>
        <w:rPr>
          <w:rFonts w:ascii="Verdana" w:hAnsi="Verdana"/>
          <w:sz w:val="20"/>
          <w:szCs w:val="20"/>
        </w:rPr>
      </w:pPr>
    </w:p>
    <w:p w:rsidR="009455B2" w:rsidRDefault="009455B2" w:rsidP="009455B2">
      <w:pPr>
        <w:rPr>
          <w:rFonts w:ascii="Verdana" w:hAnsi="Verdana"/>
          <w:sz w:val="20"/>
        </w:rPr>
      </w:pPr>
      <w:r w:rsidRPr="009F2F00">
        <w:rPr>
          <w:rFonts w:ascii="Verdana" w:hAnsi="Verdana"/>
          <w:sz w:val="20"/>
        </w:rPr>
        <w:t xml:space="preserve">Under the </w:t>
      </w:r>
      <w:r w:rsidRPr="009F2F00">
        <w:rPr>
          <w:rFonts w:ascii="Verdana" w:hAnsi="Verdana"/>
          <w:i/>
          <w:sz w:val="20"/>
        </w:rPr>
        <w:t>Fair Work Act 2009</w:t>
      </w:r>
      <w:r w:rsidRPr="009F2F00">
        <w:rPr>
          <w:rFonts w:ascii="Verdana" w:hAnsi="Verdana"/>
          <w:sz w:val="20"/>
        </w:rPr>
        <w:t xml:space="preserve"> (Act) the FWC</w:t>
      </w:r>
      <w:r w:rsidRPr="009F2F00">
        <w:rPr>
          <w:rFonts w:ascii="Verdana" w:hAnsi="Verdana"/>
          <w:sz w:val="20"/>
          <w:szCs w:val="20"/>
        </w:rPr>
        <w:t>, constituted by an expert panel (Panel), must undertake an annual wage review (AWR) each financial year.</w:t>
      </w:r>
      <w:r w:rsidRPr="009F2F00">
        <w:rPr>
          <w:rFonts w:ascii="Verdana" w:hAnsi="Verdana"/>
          <w:sz w:val="20"/>
        </w:rPr>
        <w:t xml:space="preserve"> </w:t>
      </w:r>
      <w:r>
        <w:rPr>
          <w:rFonts w:ascii="Verdana" w:hAnsi="Verdana"/>
          <w:sz w:val="20"/>
        </w:rPr>
        <w:t xml:space="preserve"> </w:t>
      </w:r>
      <w:r w:rsidRPr="009F2F00">
        <w:rPr>
          <w:rFonts w:ascii="Verdana" w:hAnsi="Verdana"/>
          <w:sz w:val="20"/>
        </w:rPr>
        <w:t xml:space="preserve">The Panel has as its statutory function the review of modern award minimum wages, which may or may not lead to their </w:t>
      </w:r>
      <w:r w:rsidRPr="009F2F00">
        <w:rPr>
          <w:rFonts w:ascii="Verdana" w:hAnsi="Verdana"/>
          <w:sz w:val="20"/>
          <w:szCs w:val="20"/>
        </w:rPr>
        <w:t xml:space="preserve">variation, and the national minimum wage order (NMWO). </w:t>
      </w:r>
      <w:r>
        <w:rPr>
          <w:rFonts w:ascii="Verdana" w:hAnsi="Verdana"/>
          <w:sz w:val="20"/>
          <w:szCs w:val="20"/>
        </w:rPr>
        <w:t xml:space="preserve"> </w:t>
      </w:r>
      <w:r w:rsidRPr="009F2F00">
        <w:rPr>
          <w:rFonts w:ascii="Verdana" w:hAnsi="Verdana"/>
          <w:sz w:val="20"/>
          <w:szCs w:val="20"/>
        </w:rPr>
        <w:t>The review must give rise to a new NMWO,</w:t>
      </w:r>
      <w:r w:rsidRPr="009F2F00">
        <w:rPr>
          <w:rFonts w:ascii="Verdana" w:hAnsi="Verdana"/>
          <w:sz w:val="20"/>
        </w:rPr>
        <w:t xml:space="preserve"> and the Panel must take account of the rate of the national minimum wage (NMW) it </w:t>
      </w:r>
      <w:r w:rsidRPr="009F2F00">
        <w:rPr>
          <w:rFonts w:ascii="Verdana" w:hAnsi="Verdana"/>
          <w:sz w:val="20"/>
          <w:szCs w:val="20"/>
        </w:rPr>
        <w:t>proposes to set in</w:t>
      </w:r>
      <w:r w:rsidRPr="009F2F00">
        <w:rPr>
          <w:rFonts w:ascii="Verdana" w:hAnsi="Verdana"/>
          <w:sz w:val="20"/>
        </w:rPr>
        <w:t xml:space="preserve"> the NMWO in any determination to vary (or set or revoke) modern award minimum wages.</w:t>
      </w:r>
    </w:p>
    <w:p w:rsidR="009455B2" w:rsidRDefault="009455B2" w:rsidP="009455B2">
      <w:pPr>
        <w:rPr>
          <w:rFonts w:ascii="Verdana" w:hAnsi="Verdana"/>
          <w:sz w:val="20"/>
          <w:szCs w:val="20"/>
        </w:rPr>
      </w:pPr>
      <w:r w:rsidRPr="009F2F00">
        <w:rPr>
          <w:rFonts w:ascii="Verdana" w:hAnsi="Verdana"/>
          <w:sz w:val="20"/>
          <w:szCs w:val="20"/>
        </w:rPr>
        <w:t>ABI considers that the 2016-17</w:t>
      </w:r>
      <w:r w:rsidRPr="009F2F00">
        <w:rPr>
          <w:rFonts w:ascii="Verdana" w:hAnsi="Verdana"/>
          <w:sz w:val="20"/>
        </w:rPr>
        <w:t xml:space="preserve"> increase</w:t>
      </w:r>
      <w:r w:rsidRPr="009F2F00">
        <w:rPr>
          <w:rFonts w:ascii="Verdana" w:hAnsi="Verdana"/>
          <w:sz w:val="20"/>
          <w:szCs w:val="20"/>
        </w:rPr>
        <w:t xml:space="preserve"> was beyond the magnitude of what could be viewed as modest and it would have </w:t>
      </w:r>
      <w:r>
        <w:rPr>
          <w:rFonts w:ascii="Verdana" w:hAnsi="Verdana"/>
          <w:sz w:val="20"/>
          <w:szCs w:val="20"/>
        </w:rPr>
        <w:t>contributed to</w:t>
      </w:r>
      <w:r w:rsidRPr="009F2F00">
        <w:rPr>
          <w:rFonts w:ascii="Verdana" w:hAnsi="Verdana"/>
          <w:sz w:val="20"/>
          <w:szCs w:val="20"/>
        </w:rPr>
        <w:t xml:space="preserve"> disemployment effects</w:t>
      </w:r>
      <w:r>
        <w:rPr>
          <w:rFonts w:ascii="Verdana" w:hAnsi="Verdana"/>
          <w:sz w:val="20"/>
          <w:szCs w:val="20"/>
        </w:rPr>
        <w:t xml:space="preserve">. </w:t>
      </w:r>
      <w:r w:rsidRPr="009F2F00">
        <w:rPr>
          <w:rFonts w:ascii="Verdana" w:hAnsi="Verdana"/>
          <w:sz w:val="20"/>
          <w:szCs w:val="20"/>
        </w:rPr>
        <w:t xml:space="preserve"> With this in mind, ABI emphasises</w:t>
      </w:r>
      <w:r>
        <w:rPr>
          <w:rFonts w:ascii="Verdana" w:hAnsi="Verdana"/>
          <w:sz w:val="20"/>
          <w:szCs w:val="20"/>
        </w:rPr>
        <w:t xml:space="preserve"> its recommendation for a more cautious approach than was taken in the 2016-17 decision and recommends an increase of not more than 1.9 per cent.</w:t>
      </w:r>
    </w:p>
    <w:p w:rsidR="009455B2" w:rsidRDefault="009455B2" w:rsidP="009455B2">
      <w:pPr>
        <w:rPr>
          <w:rFonts w:ascii="Verdana" w:hAnsi="Verdana"/>
          <w:sz w:val="20"/>
          <w:szCs w:val="20"/>
        </w:rPr>
      </w:pPr>
      <w:r>
        <w:rPr>
          <w:rFonts w:ascii="Verdana" w:hAnsi="Verdana"/>
          <w:sz w:val="20"/>
          <w:szCs w:val="20"/>
        </w:rPr>
        <w:t xml:space="preserve">The need for a cautious approach is heightened due to the </w:t>
      </w:r>
      <w:r w:rsidRPr="009F2F00">
        <w:rPr>
          <w:rFonts w:ascii="Verdana" w:hAnsi="Verdana"/>
          <w:sz w:val="20"/>
          <w:szCs w:val="20"/>
        </w:rPr>
        <w:t>cumulative impact of successive minimum wage increase</w:t>
      </w:r>
      <w:r>
        <w:rPr>
          <w:rFonts w:ascii="Verdana" w:hAnsi="Verdana"/>
          <w:sz w:val="20"/>
          <w:szCs w:val="20"/>
        </w:rPr>
        <w:t>s which have been</w:t>
      </w:r>
      <w:r w:rsidRPr="009F2F00">
        <w:rPr>
          <w:rFonts w:ascii="Verdana" w:hAnsi="Verdana"/>
          <w:sz w:val="20"/>
          <w:szCs w:val="20"/>
        </w:rPr>
        <w:t xml:space="preserve"> well in excess of broader wages growth</w:t>
      </w:r>
      <w:r>
        <w:rPr>
          <w:rFonts w:ascii="Verdana" w:hAnsi="Verdana"/>
          <w:sz w:val="20"/>
          <w:szCs w:val="20"/>
        </w:rPr>
        <w:t>.  E</w:t>
      </w:r>
      <w:r w:rsidRPr="009F2F00">
        <w:rPr>
          <w:rFonts w:ascii="Verdana" w:hAnsi="Verdana"/>
          <w:sz w:val="20"/>
          <w:szCs w:val="20"/>
        </w:rPr>
        <w:t>arly feedback from NSWBC members</w:t>
      </w:r>
      <w:r>
        <w:rPr>
          <w:rFonts w:ascii="Verdana" w:hAnsi="Verdana"/>
          <w:sz w:val="20"/>
          <w:szCs w:val="20"/>
        </w:rPr>
        <w:t xml:space="preserve"> indicates that the 2016-17 increase has resulted in reduced staffing levels with some reporting impacts to their viability</w:t>
      </w:r>
      <w:r w:rsidRPr="009F2F00">
        <w:rPr>
          <w:rFonts w:ascii="Verdana" w:hAnsi="Verdana"/>
          <w:sz w:val="20"/>
          <w:szCs w:val="20"/>
        </w:rPr>
        <w:t>.</w:t>
      </w:r>
      <w:r w:rsidRPr="009F2F00">
        <w:rPr>
          <w:rStyle w:val="FootnoteReference"/>
          <w:rFonts w:ascii="Verdana" w:hAnsi="Verdana"/>
          <w:sz w:val="20"/>
          <w:szCs w:val="20"/>
        </w:rPr>
        <w:footnoteReference w:id="2"/>
      </w:r>
      <w:r w:rsidRPr="009F2F00">
        <w:rPr>
          <w:rFonts w:ascii="Verdana" w:hAnsi="Verdana"/>
          <w:sz w:val="20"/>
          <w:szCs w:val="20"/>
        </w:rPr>
        <w:t xml:space="preserve">  </w:t>
      </w:r>
      <w:r>
        <w:rPr>
          <w:rFonts w:ascii="Verdana" w:hAnsi="Verdana"/>
          <w:sz w:val="20"/>
          <w:szCs w:val="20"/>
        </w:rPr>
        <w:t xml:space="preserve">This exacerbates the impact of earlier increases, which were also significantly higher than wages growth and inflation, such that real minimum wage increases of a similar magnitude would have even greater negative consequences than before. </w:t>
      </w:r>
    </w:p>
    <w:p w:rsidR="009455B2" w:rsidRDefault="009455B2" w:rsidP="009455B2">
      <w:pPr>
        <w:spacing w:after="0"/>
        <w:rPr>
          <w:rFonts w:ascii="Verdana" w:hAnsi="Verdana"/>
          <w:sz w:val="20"/>
          <w:szCs w:val="20"/>
        </w:rPr>
      </w:pPr>
      <w:r w:rsidRPr="009F2F00">
        <w:rPr>
          <w:rFonts w:ascii="Verdana" w:hAnsi="Verdana"/>
          <w:sz w:val="20"/>
          <w:szCs w:val="20"/>
        </w:rPr>
        <w:t>In this respect</w:t>
      </w:r>
      <w:r>
        <w:rPr>
          <w:rFonts w:ascii="Verdana" w:hAnsi="Verdana"/>
          <w:sz w:val="20"/>
          <w:szCs w:val="20"/>
        </w:rPr>
        <w:t>,</w:t>
      </w:r>
      <w:r w:rsidRPr="009F2F00">
        <w:rPr>
          <w:rFonts w:ascii="Verdana" w:hAnsi="Verdana"/>
          <w:sz w:val="20"/>
          <w:szCs w:val="20"/>
        </w:rPr>
        <w:t xml:space="preserve"> ABI recommends the Panel be guided by broad measures of price movements in the economy (including consumer prices, wages and other price measures) to minimise the risk that a</w:t>
      </w:r>
      <w:r>
        <w:rPr>
          <w:rFonts w:ascii="Verdana" w:hAnsi="Verdana"/>
          <w:sz w:val="20"/>
          <w:szCs w:val="20"/>
        </w:rPr>
        <w:t>ny determined</w:t>
      </w:r>
      <w:r w:rsidRPr="009F2F00">
        <w:rPr>
          <w:rFonts w:ascii="Verdana" w:hAnsi="Verdana"/>
          <w:sz w:val="20"/>
          <w:szCs w:val="20"/>
        </w:rPr>
        <w:t xml:space="preserve"> increase will sub-optimally balance the statutory considerations.</w:t>
      </w:r>
      <w:r>
        <w:rPr>
          <w:rFonts w:ascii="Verdana" w:hAnsi="Verdana"/>
          <w:sz w:val="20"/>
          <w:szCs w:val="20"/>
        </w:rPr>
        <w:t xml:space="preserve"> </w:t>
      </w:r>
    </w:p>
    <w:p w:rsidR="009455B2" w:rsidRDefault="009455B2" w:rsidP="009455B2">
      <w:pPr>
        <w:spacing w:after="0"/>
        <w:rPr>
          <w:rFonts w:ascii="Verdana" w:hAnsi="Verdana"/>
          <w:sz w:val="20"/>
          <w:szCs w:val="20"/>
        </w:rPr>
      </w:pPr>
    </w:p>
    <w:p w:rsidR="009455B2" w:rsidRDefault="009455B2" w:rsidP="009455B2">
      <w:pPr>
        <w:rPr>
          <w:rFonts w:ascii="Verdana" w:hAnsi="Verdana"/>
          <w:sz w:val="20"/>
          <w:szCs w:val="20"/>
        </w:rPr>
      </w:pPr>
      <w:r>
        <w:rPr>
          <w:rFonts w:ascii="Verdana" w:hAnsi="Verdana"/>
          <w:sz w:val="20"/>
          <w:szCs w:val="20"/>
        </w:rPr>
        <w:t>ABI also cautions the Panel from relying on improving macroeconomic variables as capable of underwriting minimum wage increases.  I</w:t>
      </w:r>
      <w:r w:rsidRPr="009F2F00">
        <w:rPr>
          <w:rFonts w:ascii="Verdana" w:hAnsi="Verdana"/>
          <w:sz w:val="20"/>
          <w:szCs w:val="20"/>
        </w:rPr>
        <w:t>mprovements in labour market conditions are not broad-based with four out of the five most award</w:t>
      </w:r>
      <w:r w:rsidRPr="009F2F00">
        <w:rPr>
          <w:rFonts w:ascii="Verdana" w:hAnsi="Verdana"/>
          <w:sz w:val="20"/>
          <w:szCs w:val="20"/>
        </w:rPr>
        <w:noBreakHyphen/>
        <w:t xml:space="preserve">reliant industries still exhibiting elevated levels </w:t>
      </w:r>
      <w:r w:rsidRPr="009F2F00">
        <w:rPr>
          <w:rFonts w:ascii="Verdana" w:hAnsi="Verdana"/>
          <w:sz w:val="20"/>
        </w:rPr>
        <w:t xml:space="preserve">of underutilisation.  </w:t>
      </w:r>
      <w:r>
        <w:rPr>
          <w:rFonts w:ascii="Verdana" w:hAnsi="Verdana"/>
          <w:sz w:val="20"/>
          <w:szCs w:val="20"/>
        </w:rPr>
        <w:t xml:space="preserve">This risks reducing the attractiveness of award-reliant employees, despite favourable labour market conditions overall, as firms become more attracted to higher-value added labour.  </w:t>
      </w:r>
    </w:p>
    <w:p w:rsidR="009455B2" w:rsidRDefault="009455B2" w:rsidP="009455B2">
      <w:pPr>
        <w:rPr>
          <w:rFonts w:ascii="Verdana" w:hAnsi="Verdana"/>
          <w:sz w:val="20"/>
          <w:szCs w:val="20"/>
        </w:rPr>
      </w:pPr>
      <w:r>
        <w:rPr>
          <w:rFonts w:ascii="Verdana" w:hAnsi="Verdana"/>
          <w:sz w:val="20"/>
          <w:szCs w:val="20"/>
        </w:rPr>
        <w:t>This is particularly important given sustained weakness in</w:t>
      </w:r>
      <w:r w:rsidRPr="009F2F00">
        <w:rPr>
          <w:rFonts w:ascii="Verdana" w:hAnsi="Verdana"/>
          <w:sz w:val="20"/>
          <w:szCs w:val="20"/>
        </w:rPr>
        <w:t xml:space="preserve"> labour productivity, including negative productivity growth in the most award-reliant industries</w:t>
      </w:r>
      <w:r>
        <w:rPr>
          <w:rFonts w:ascii="Verdana" w:hAnsi="Verdana"/>
          <w:sz w:val="20"/>
          <w:szCs w:val="20"/>
        </w:rPr>
        <w:t xml:space="preserve"> over the past decade and declining productivity growth over the past year (including a negative observation in the December quarter).  A low productivity environment requires more moderate wage increases to help maintain competitiveness and employment growth</w:t>
      </w:r>
      <w:r w:rsidRPr="009F2F00">
        <w:rPr>
          <w:rFonts w:ascii="Verdana" w:hAnsi="Verdana"/>
          <w:sz w:val="20"/>
          <w:szCs w:val="20"/>
        </w:rPr>
        <w:t>.</w:t>
      </w:r>
    </w:p>
    <w:p w:rsidR="009455B2" w:rsidRDefault="009455B2" w:rsidP="009455B2">
      <w:pPr>
        <w:spacing w:after="0"/>
        <w:rPr>
          <w:rFonts w:ascii="Verdana" w:hAnsi="Verdana"/>
          <w:sz w:val="20"/>
          <w:szCs w:val="20"/>
        </w:rPr>
      </w:pPr>
      <w:r>
        <w:rPr>
          <w:rFonts w:ascii="Verdana" w:hAnsi="Verdana"/>
          <w:sz w:val="20"/>
          <w:szCs w:val="20"/>
        </w:rPr>
        <w:lastRenderedPageBreak/>
        <w:t xml:space="preserve">ABI anticipates that the Panel will again consider disemployment effects associated with minimum wage increases.  </w:t>
      </w:r>
      <w:r w:rsidRPr="009F2F00">
        <w:rPr>
          <w:rFonts w:ascii="Verdana" w:hAnsi="Verdana"/>
          <w:sz w:val="20"/>
          <w:szCs w:val="20"/>
        </w:rPr>
        <w:t>The 2016-17 AWR decision noted, with reference to international research, a view that the Panel’s past assessment of what constitutes a ‘modest’ increase may have been overly cautious in terms of its assessed disemployment effects.</w:t>
      </w:r>
      <w:r w:rsidRPr="009F2F00">
        <w:rPr>
          <w:rStyle w:val="FootnoteReference"/>
          <w:rFonts w:ascii="Verdana" w:hAnsi="Verdana"/>
          <w:sz w:val="20"/>
          <w:szCs w:val="20"/>
        </w:rPr>
        <w:footnoteReference w:id="3"/>
      </w:r>
      <w:r w:rsidRPr="009F2F00">
        <w:rPr>
          <w:rFonts w:ascii="Verdana" w:hAnsi="Verdana"/>
          <w:sz w:val="20"/>
          <w:szCs w:val="20"/>
        </w:rPr>
        <w:t xml:space="preserve">  ABI is concerned about the extent to which this conclusion may have influenced the Panel’s decision given the magnitude of last year’s 3.3% increase relative to previous decisions with similar prevailing economic conditions. </w:t>
      </w:r>
      <w:r>
        <w:rPr>
          <w:rFonts w:ascii="Verdana" w:hAnsi="Verdana"/>
          <w:sz w:val="20"/>
          <w:szCs w:val="20"/>
        </w:rPr>
        <w:t xml:space="preserve"> </w:t>
      </w:r>
    </w:p>
    <w:p w:rsidR="009455B2" w:rsidRDefault="009455B2" w:rsidP="009455B2">
      <w:pPr>
        <w:spacing w:after="0"/>
        <w:rPr>
          <w:rFonts w:ascii="Verdana" w:hAnsi="Verdana"/>
          <w:sz w:val="20"/>
          <w:szCs w:val="20"/>
        </w:rPr>
      </w:pPr>
    </w:p>
    <w:p w:rsidR="009455B2" w:rsidRPr="009F2F00" w:rsidRDefault="009455B2" w:rsidP="009455B2">
      <w:pPr>
        <w:spacing w:after="0"/>
        <w:rPr>
          <w:rFonts w:ascii="Verdana" w:hAnsi="Verdana"/>
          <w:sz w:val="20"/>
          <w:szCs w:val="20"/>
        </w:rPr>
      </w:pPr>
      <w:r>
        <w:rPr>
          <w:rFonts w:ascii="Verdana" w:hAnsi="Verdana"/>
          <w:sz w:val="20"/>
          <w:szCs w:val="20"/>
        </w:rPr>
        <w:t>ABI contends that a continued focus on observing disemployment effects across the labour market as a whole fails to properly account for the more specific impacts on vulnerable groups such as part time employees, youth and the long-term unemployed.</w:t>
      </w:r>
    </w:p>
    <w:p w:rsidR="009455B2" w:rsidRPr="009F2F00" w:rsidRDefault="009455B2" w:rsidP="009455B2">
      <w:pPr>
        <w:spacing w:after="0"/>
        <w:rPr>
          <w:rFonts w:ascii="Verdana" w:hAnsi="Verdana"/>
          <w:sz w:val="20"/>
          <w:szCs w:val="20"/>
        </w:rPr>
      </w:pPr>
    </w:p>
    <w:p w:rsidR="009455B2" w:rsidRDefault="009455B2" w:rsidP="009455B2">
      <w:r>
        <w:rPr>
          <w:rFonts w:ascii="Verdana" w:hAnsi="Verdana"/>
          <w:sz w:val="20"/>
          <w:szCs w:val="20"/>
        </w:rPr>
        <w:t>ABI considers that an increase of not more than 1.9 per cent would contain detrimental impacts discussed in this submission while balancing the statutory considerations.</w:t>
      </w:r>
    </w:p>
    <w:p w:rsidR="00B36FBC" w:rsidRDefault="00B36FBC" w:rsidP="008551B7">
      <w:pPr>
        <w:spacing w:after="0"/>
        <w:rPr>
          <w:rFonts w:ascii="Verdana" w:eastAsiaTheme="majorEastAsia" w:hAnsi="Verdana" w:cstheme="majorBidi"/>
          <w:iCs/>
          <w:color w:val="808080" w:themeColor="background1" w:themeShade="80"/>
          <w:spacing w:val="15"/>
          <w:sz w:val="28"/>
          <w:szCs w:val="28"/>
        </w:rPr>
      </w:pPr>
      <w:r>
        <w:rPr>
          <w:rFonts w:ascii="Verdana" w:eastAsiaTheme="majorEastAsia" w:hAnsi="Verdana" w:cstheme="majorBidi"/>
          <w:iCs/>
          <w:color w:val="808080" w:themeColor="background1" w:themeShade="80"/>
          <w:spacing w:val="15"/>
          <w:sz w:val="28"/>
          <w:szCs w:val="28"/>
        </w:rPr>
        <w:br w:type="page"/>
      </w:r>
    </w:p>
    <w:p w:rsidR="00F8118D" w:rsidRPr="00FF078B" w:rsidRDefault="00F8118D" w:rsidP="00FF078B">
      <w:pPr>
        <w:numPr>
          <w:ilvl w:val="1"/>
          <w:numId w:val="0"/>
        </w:numPr>
        <w:spacing w:before="240"/>
        <w:rPr>
          <w:rFonts w:ascii="Verdana" w:eastAsiaTheme="majorEastAsia" w:hAnsi="Verdana" w:cstheme="majorBidi"/>
          <w:iCs/>
          <w:color w:val="808080" w:themeColor="background1" w:themeShade="80"/>
          <w:spacing w:val="15"/>
          <w:sz w:val="28"/>
          <w:szCs w:val="28"/>
        </w:rPr>
      </w:pPr>
      <w:r w:rsidRPr="00FF078B">
        <w:rPr>
          <w:rFonts w:ascii="Verdana" w:eastAsiaTheme="majorEastAsia" w:hAnsi="Verdana" w:cstheme="majorBidi"/>
          <w:iCs/>
          <w:color w:val="808080" w:themeColor="background1" w:themeShade="80"/>
          <w:spacing w:val="15"/>
          <w:sz w:val="28"/>
          <w:szCs w:val="28"/>
        </w:rPr>
        <w:lastRenderedPageBreak/>
        <w:t>The statutory scheme – this year’s AWR</w:t>
      </w:r>
    </w:p>
    <w:p w:rsidR="001B1F9D" w:rsidRPr="009F2F00" w:rsidRDefault="00A64280" w:rsidP="0036743C">
      <w:pPr>
        <w:rPr>
          <w:rFonts w:ascii="Verdana" w:hAnsi="Verdana"/>
          <w:sz w:val="20"/>
        </w:rPr>
      </w:pPr>
      <w:r w:rsidRPr="002F6647">
        <w:rPr>
          <w:rFonts w:ascii="Verdana" w:hAnsi="Verdana"/>
          <w:sz w:val="20"/>
        </w:rPr>
        <w:t>The Panel’s annual task is to review modern award minimum wages and the NMWO, upon which it may make determinations setting, revoking</w:t>
      </w:r>
      <w:r w:rsidR="001B1F9D" w:rsidRPr="002F6647">
        <w:rPr>
          <w:rFonts w:ascii="Verdana" w:hAnsi="Verdana"/>
          <w:sz w:val="20"/>
        </w:rPr>
        <w:t xml:space="preserve"> or varying modern award minimum wages </w:t>
      </w:r>
      <w:r w:rsidR="001B1F9D" w:rsidRPr="009F2F00">
        <w:rPr>
          <w:rFonts w:ascii="Verdana" w:hAnsi="Verdana"/>
          <w:sz w:val="20"/>
        </w:rPr>
        <w:t>having regard to the NMWO</w:t>
      </w:r>
      <w:r w:rsidR="00D721B4">
        <w:rPr>
          <w:rFonts w:ascii="Verdana" w:hAnsi="Verdana"/>
          <w:sz w:val="20"/>
        </w:rPr>
        <w:t>,</w:t>
      </w:r>
      <w:r w:rsidR="001B1F9D" w:rsidRPr="009F2F00">
        <w:rPr>
          <w:rFonts w:ascii="Verdana" w:hAnsi="Verdana"/>
          <w:sz w:val="20"/>
        </w:rPr>
        <w:t xml:space="preserve"> which it must make following its review.</w:t>
      </w:r>
    </w:p>
    <w:p w:rsidR="00CC1E48" w:rsidRPr="002F6647" w:rsidRDefault="00CC1E48" w:rsidP="00CC1E48">
      <w:pPr>
        <w:rPr>
          <w:rFonts w:ascii="Verdana" w:hAnsi="Verdana"/>
          <w:sz w:val="20"/>
        </w:rPr>
      </w:pPr>
      <w:r w:rsidRPr="009F2F00">
        <w:rPr>
          <w:rFonts w:ascii="Verdana" w:hAnsi="Verdana"/>
          <w:sz w:val="20"/>
        </w:rPr>
        <w:t xml:space="preserve">The review of modern award minimum wages </w:t>
      </w:r>
      <w:r w:rsidRPr="009F2F00">
        <w:rPr>
          <w:rFonts w:ascii="Verdana" w:hAnsi="Verdana"/>
          <w:sz w:val="20"/>
          <w:szCs w:val="20"/>
        </w:rPr>
        <w:t xml:space="preserve">and </w:t>
      </w:r>
      <w:r w:rsidR="00252E09" w:rsidRPr="009F2F00">
        <w:rPr>
          <w:rFonts w:ascii="Verdana" w:hAnsi="Verdana"/>
          <w:sz w:val="20"/>
          <w:szCs w:val="20"/>
        </w:rPr>
        <w:t>any variation</w:t>
      </w:r>
      <w:r w:rsidRPr="009F2F00">
        <w:rPr>
          <w:rFonts w:ascii="Verdana" w:hAnsi="Verdana"/>
          <w:sz w:val="20"/>
          <w:szCs w:val="20"/>
        </w:rPr>
        <w:t xml:space="preserve"> determinations</w:t>
      </w:r>
      <w:r w:rsidRPr="009F2F00">
        <w:rPr>
          <w:rFonts w:ascii="Verdana" w:hAnsi="Verdana"/>
          <w:sz w:val="20"/>
        </w:rPr>
        <w:t xml:space="preserve"> which follow are subject to the objects of the Act, the minimum wages objective and the modern </w:t>
      </w:r>
      <w:r w:rsidR="00252E09" w:rsidRPr="009F2F00">
        <w:rPr>
          <w:rFonts w:ascii="Verdana" w:hAnsi="Verdana"/>
          <w:sz w:val="20"/>
          <w:szCs w:val="20"/>
        </w:rPr>
        <w:t>awards</w:t>
      </w:r>
      <w:r w:rsidRPr="009F2F00">
        <w:rPr>
          <w:rFonts w:ascii="Verdana" w:hAnsi="Verdana"/>
          <w:sz w:val="20"/>
        </w:rPr>
        <w:t xml:space="preserve"> objective</w:t>
      </w:r>
      <w:r w:rsidRPr="009F2F00">
        <w:rPr>
          <w:rFonts w:ascii="Verdana" w:hAnsi="Verdana"/>
          <w:sz w:val="20"/>
          <w:szCs w:val="20"/>
        </w:rPr>
        <w:t>.  W</w:t>
      </w:r>
      <w:r w:rsidRPr="009F2F00">
        <w:rPr>
          <w:rFonts w:ascii="Verdana" w:hAnsi="Verdana"/>
          <w:sz w:val="20"/>
        </w:rPr>
        <w:t xml:space="preserve">hereas the modern awards objective applies to the Commission’s award powers generally the minimum wages objective only applies when the Commission is sitting as the Panel or when the Commission is </w:t>
      </w:r>
      <w:r w:rsidRPr="009F2F00">
        <w:rPr>
          <w:rFonts w:ascii="Verdana" w:hAnsi="Verdana"/>
          <w:sz w:val="20"/>
          <w:szCs w:val="20"/>
        </w:rPr>
        <w:t xml:space="preserve">determining </w:t>
      </w:r>
      <w:r w:rsidR="00252E09" w:rsidRPr="009F2F00">
        <w:rPr>
          <w:rFonts w:ascii="Verdana" w:hAnsi="Verdana"/>
          <w:sz w:val="20"/>
          <w:szCs w:val="20"/>
        </w:rPr>
        <w:t xml:space="preserve">to set, vary or revoke minimum wages in modern awards </w:t>
      </w:r>
      <w:r w:rsidR="009F2F00">
        <w:rPr>
          <w:rFonts w:ascii="Verdana" w:hAnsi="Verdana"/>
          <w:sz w:val="20"/>
          <w:szCs w:val="20"/>
        </w:rPr>
        <w:t>under Part 2-3 of the Act</w:t>
      </w:r>
      <w:r w:rsidR="00252E09" w:rsidRPr="009F2F00">
        <w:rPr>
          <w:rFonts w:ascii="Verdana" w:hAnsi="Verdana"/>
          <w:sz w:val="20"/>
          <w:szCs w:val="20"/>
        </w:rPr>
        <w:t>.  Broadly speaking the AWR is an annual review of minimum wages in the award system as a whole whereas processes under Part 2-3 of the Act are directed towards minimum wages in individual awards.</w:t>
      </w:r>
      <w:r w:rsidR="00252E09" w:rsidRPr="00106F08">
        <w:rPr>
          <w:rFonts w:ascii="Verdana" w:hAnsi="Verdana"/>
          <w:sz w:val="20"/>
          <w:szCs w:val="20"/>
        </w:rPr>
        <w:t xml:space="preserve">  </w:t>
      </w:r>
      <w:r w:rsidRPr="002F6647">
        <w:rPr>
          <w:rFonts w:ascii="Verdana" w:hAnsi="Verdana"/>
          <w:sz w:val="20"/>
        </w:rPr>
        <w:t xml:space="preserve"> </w:t>
      </w:r>
    </w:p>
    <w:p w:rsidR="00CC1E48" w:rsidRPr="002F6647" w:rsidRDefault="00CC1E48" w:rsidP="00CC1E48">
      <w:pPr>
        <w:rPr>
          <w:rFonts w:ascii="Verdana" w:hAnsi="Verdana"/>
          <w:sz w:val="20"/>
        </w:rPr>
      </w:pPr>
      <w:r w:rsidRPr="002F6647">
        <w:rPr>
          <w:rFonts w:ascii="Verdana" w:hAnsi="Verdana"/>
          <w:sz w:val="20"/>
        </w:rPr>
        <w:t xml:space="preserve">The objects of the Act include requiring the workplace relations framework </w:t>
      </w:r>
      <w:r w:rsidR="00C873FC" w:rsidRPr="002F6647">
        <w:rPr>
          <w:rFonts w:ascii="Verdana" w:hAnsi="Verdana"/>
          <w:sz w:val="20"/>
        </w:rPr>
        <w:t>to</w:t>
      </w:r>
      <w:r w:rsidRPr="002F6647">
        <w:rPr>
          <w:rFonts w:ascii="Verdana" w:hAnsi="Verdana"/>
          <w:sz w:val="20"/>
        </w:rPr>
        <w:t xml:space="preserve"> </w:t>
      </w:r>
      <w:r w:rsidR="00115CBD" w:rsidRPr="002F6647">
        <w:rPr>
          <w:rFonts w:ascii="Verdana" w:hAnsi="Verdana"/>
          <w:sz w:val="20"/>
        </w:rPr>
        <w:t>“…</w:t>
      </w:r>
      <w:r w:rsidRPr="002F6647">
        <w:rPr>
          <w:rFonts w:ascii="Verdana" w:hAnsi="Verdana"/>
          <w:i/>
          <w:sz w:val="20"/>
        </w:rPr>
        <w:t>ensur</w:t>
      </w:r>
      <w:r w:rsidR="00C873FC" w:rsidRPr="002F6647">
        <w:rPr>
          <w:rFonts w:ascii="Verdana" w:hAnsi="Verdana"/>
          <w:i/>
          <w:sz w:val="20"/>
        </w:rPr>
        <w:t>e[…] a</w:t>
      </w:r>
      <w:r w:rsidRPr="002F6647">
        <w:rPr>
          <w:rFonts w:ascii="Verdana" w:hAnsi="Verdana"/>
          <w:i/>
          <w:sz w:val="20"/>
        </w:rPr>
        <w:t xml:space="preserve"> safety net of fair, relevant […] minimum terms and conditions through the National Employment Standards, modern award and national minimum wage orders</w:t>
      </w:r>
      <w:r w:rsidR="00115CBD" w:rsidRPr="002F6647">
        <w:rPr>
          <w:rFonts w:ascii="Verdana" w:hAnsi="Verdana"/>
          <w:sz w:val="20"/>
        </w:rPr>
        <w:t>”</w:t>
      </w:r>
      <w:r w:rsidRPr="002F6647">
        <w:rPr>
          <w:rFonts w:ascii="Verdana" w:hAnsi="Verdana"/>
          <w:sz w:val="20"/>
        </w:rPr>
        <w:t xml:space="preserve"> [s 3</w:t>
      </w:r>
      <w:r w:rsidR="00115CBD" w:rsidRPr="002F6647">
        <w:rPr>
          <w:rFonts w:ascii="Verdana" w:hAnsi="Verdana"/>
          <w:sz w:val="20"/>
        </w:rPr>
        <w:t>(</w:t>
      </w:r>
      <w:r w:rsidRPr="002F6647">
        <w:rPr>
          <w:rFonts w:ascii="Verdana" w:hAnsi="Verdana"/>
          <w:sz w:val="20"/>
        </w:rPr>
        <w:t xml:space="preserve">b)] and the modern awards objective requires the </w:t>
      </w:r>
      <w:r w:rsidR="00C873FC" w:rsidRPr="002F6647">
        <w:rPr>
          <w:rFonts w:ascii="Verdana" w:hAnsi="Verdana"/>
          <w:sz w:val="20"/>
        </w:rPr>
        <w:t>C</w:t>
      </w:r>
      <w:r w:rsidRPr="002F6647">
        <w:rPr>
          <w:rFonts w:ascii="Verdana" w:hAnsi="Verdana"/>
          <w:sz w:val="20"/>
        </w:rPr>
        <w:t>ommission to “</w:t>
      </w:r>
      <w:r w:rsidR="00115CBD" w:rsidRPr="002F6647">
        <w:rPr>
          <w:rFonts w:ascii="Verdana" w:hAnsi="Verdana"/>
          <w:sz w:val="20"/>
        </w:rPr>
        <w:t>…</w:t>
      </w:r>
      <w:r w:rsidRPr="002F6647">
        <w:rPr>
          <w:rFonts w:ascii="Verdana" w:hAnsi="Verdana"/>
          <w:i/>
          <w:sz w:val="20"/>
        </w:rPr>
        <w:t xml:space="preserve">ensure that </w:t>
      </w:r>
      <w:r w:rsidR="00115CBD" w:rsidRPr="002F6647">
        <w:rPr>
          <w:rFonts w:ascii="Verdana" w:hAnsi="Verdana"/>
          <w:i/>
          <w:sz w:val="20"/>
        </w:rPr>
        <w:t>modern awards, together with the National Employment Standards,</w:t>
      </w:r>
      <w:r w:rsidRPr="002F6647">
        <w:rPr>
          <w:rFonts w:ascii="Verdana" w:hAnsi="Verdana"/>
          <w:i/>
          <w:sz w:val="20"/>
        </w:rPr>
        <w:t xml:space="preserve"> </w:t>
      </w:r>
      <w:r w:rsidR="00115CBD" w:rsidRPr="002F6647">
        <w:rPr>
          <w:rFonts w:ascii="Verdana" w:hAnsi="Verdana"/>
          <w:i/>
          <w:sz w:val="20"/>
        </w:rPr>
        <w:t>provide a fair and relevant minimum safety net of terms and conditions</w:t>
      </w:r>
      <w:r w:rsidR="00115CBD" w:rsidRPr="002F6647">
        <w:rPr>
          <w:rFonts w:ascii="Verdana" w:hAnsi="Verdana"/>
          <w:sz w:val="20"/>
        </w:rPr>
        <w:t>…” [s 134]</w:t>
      </w:r>
      <w:r w:rsidR="00C873FC" w:rsidRPr="002F6647">
        <w:rPr>
          <w:rFonts w:ascii="Verdana" w:hAnsi="Verdana"/>
          <w:sz w:val="20"/>
        </w:rPr>
        <w:t xml:space="preserve">.  </w:t>
      </w:r>
      <w:r w:rsidR="00115CBD" w:rsidRPr="002F6647">
        <w:rPr>
          <w:rFonts w:ascii="Verdana" w:hAnsi="Verdana"/>
          <w:sz w:val="20"/>
        </w:rPr>
        <w:t xml:space="preserve"> </w:t>
      </w:r>
      <w:r w:rsidR="00C873FC" w:rsidRPr="002F6647">
        <w:rPr>
          <w:rFonts w:ascii="Verdana" w:hAnsi="Verdana"/>
          <w:sz w:val="20"/>
        </w:rPr>
        <w:t>Of this, in the context of the 4 yearly review of modern awards</w:t>
      </w:r>
      <w:r w:rsidR="006B7E5E" w:rsidRPr="002F6647">
        <w:rPr>
          <w:rFonts w:ascii="Verdana" w:hAnsi="Verdana"/>
          <w:sz w:val="20"/>
        </w:rPr>
        <w:t>,</w:t>
      </w:r>
      <w:r w:rsidR="00C873FC" w:rsidRPr="002F6647">
        <w:rPr>
          <w:rFonts w:ascii="Verdana" w:hAnsi="Verdana"/>
          <w:sz w:val="20"/>
        </w:rPr>
        <w:t xml:space="preserve"> the Commission has said:</w:t>
      </w:r>
    </w:p>
    <w:p w:rsidR="00C873FC" w:rsidRPr="002F6647" w:rsidRDefault="00C873FC" w:rsidP="00367C7F">
      <w:pPr>
        <w:ind w:left="720"/>
        <w:rPr>
          <w:rFonts w:ascii="Verdana" w:hAnsi="Verdana"/>
          <w:sz w:val="20"/>
        </w:rPr>
      </w:pPr>
      <w:r w:rsidRPr="002F6647">
        <w:rPr>
          <w:rFonts w:ascii="Verdana" w:hAnsi="Verdana"/>
          <w:i/>
          <w:sz w:val="20"/>
        </w:rPr>
        <w:t>Fairness in this context is to be assessed from the perspective of the employees and employers covered by the modern award in question. ‘Relevant’ is intended to convey that a modern award should be suited to contemporary circumstances.</w:t>
      </w:r>
      <w:r w:rsidR="00A32A80" w:rsidRPr="002F6647">
        <w:rPr>
          <w:rStyle w:val="FootnoteReference"/>
          <w:rFonts w:ascii="Verdana" w:hAnsi="Verdana"/>
          <w:sz w:val="20"/>
        </w:rPr>
        <w:footnoteReference w:id="4"/>
      </w:r>
    </w:p>
    <w:p w:rsidR="00252E09" w:rsidRPr="009F2F00" w:rsidRDefault="001B1F9D" w:rsidP="00252E09">
      <w:pPr>
        <w:rPr>
          <w:rFonts w:ascii="Verdana" w:hAnsi="Verdana"/>
          <w:sz w:val="20"/>
          <w:szCs w:val="20"/>
        </w:rPr>
      </w:pPr>
      <w:r w:rsidRPr="002F6647">
        <w:rPr>
          <w:rFonts w:ascii="Verdana" w:hAnsi="Verdana"/>
          <w:sz w:val="20"/>
        </w:rPr>
        <w:t xml:space="preserve">Modern award minimum wages comprehend </w:t>
      </w:r>
      <w:r w:rsidRPr="009F2F00">
        <w:rPr>
          <w:rFonts w:ascii="Verdana" w:hAnsi="Verdana"/>
          <w:sz w:val="20"/>
        </w:rPr>
        <w:t xml:space="preserve">wage </w:t>
      </w:r>
      <w:r w:rsidRPr="009F2F00">
        <w:rPr>
          <w:rFonts w:ascii="Verdana" w:hAnsi="Verdana"/>
          <w:sz w:val="20"/>
          <w:szCs w:val="20"/>
        </w:rPr>
        <w:t>rates</w:t>
      </w:r>
      <w:r w:rsidR="00252E09" w:rsidRPr="009F2F00">
        <w:rPr>
          <w:rFonts w:ascii="Verdana" w:hAnsi="Verdana"/>
          <w:sz w:val="20"/>
          <w:szCs w:val="20"/>
        </w:rPr>
        <w:t xml:space="preserve"> in awards</w:t>
      </w:r>
      <w:r w:rsidRPr="009F2F00">
        <w:rPr>
          <w:rFonts w:ascii="Verdana" w:hAnsi="Verdana"/>
          <w:sz w:val="20"/>
        </w:rPr>
        <w:t xml:space="preserve">, casual loadings and piece rates [s 284(3)], but do not include other components of pay such as </w:t>
      </w:r>
      <w:r w:rsidR="00B77B0E" w:rsidRPr="009F2F00">
        <w:rPr>
          <w:rFonts w:ascii="Verdana" w:hAnsi="Verdana"/>
          <w:sz w:val="20"/>
        </w:rPr>
        <w:t xml:space="preserve">bonuses and commissions, nor other forms of remuneration permitted in modern awards such as overtime rates, penalty rates, allowances or loadings such as leave loadings [s 139]. </w:t>
      </w:r>
      <w:r w:rsidRPr="009F2F00">
        <w:rPr>
          <w:rFonts w:ascii="Verdana" w:hAnsi="Verdana"/>
          <w:sz w:val="20"/>
        </w:rPr>
        <w:t xml:space="preserve"> </w:t>
      </w:r>
      <w:r w:rsidR="00252E09" w:rsidRPr="009F2F00">
        <w:rPr>
          <w:rFonts w:ascii="Verdana" w:hAnsi="Verdana"/>
          <w:sz w:val="20"/>
          <w:szCs w:val="20"/>
        </w:rPr>
        <w:t>This definition is somewhat misleading, however, because it understates the labour cost consequences of increases to award minimum wages.  Apart from increases triggered to external costs such as superannuation guarantee contributions and workers’ compensation premium, it obscures the fact that allowances for responsibility or skills not captured within the award’s classifications and allowances for disabilities associated with the task, location or conditions increase with an increase to an award’s standard classification rate.  That movement also triggers the review of reimbursement allowances.</w:t>
      </w:r>
    </w:p>
    <w:p w:rsidR="00CC1E48" w:rsidRPr="002F6647" w:rsidRDefault="00252E09" w:rsidP="0036743C">
      <w:pPr>
        <w:rPr>
          <w:rFonts w:ascii="Verdana" w:hAnsi="Verdana"/>
          <w:sz w:val="20"/>
        </w:rPr>
      </w:pPr>
      <w:r w:rsidRPr="009F2F00">
        <w:rPr>
          <w:rFonts w:ascii="Verdana" w:hAnsi="Verdana"/>
          <w:sz w:val="20"/>
          <w:szCs w:val="20"/>
        </w:rPr>
        <w:t>Nonetheless</w:t>
      </w:r>
      <w:r w:rsidR="00D721B4">
        <w:rPr>
          <w:rFonts w:ascii="Verdana" w:hAnsi="Verdana"/>
          <w:sz w:val="20"/>
          <w:szCs w:val="20"/>
        </w:rPr>
        <w:t>,</w:t>
      </w:r>
      <w:r w:rsidRPr="009F2F00">
        <w:rPr>
          <w:rFonts w:ascii="Verdana" w:hAnsi="Verdana"/>
          <w:sz w:val="20"/>
          <w:szCs w:val="20"/>
        </w:rPr>
        <w:t xml:space="preserve"> the statutory position is that the</w:t>
      </w:r>
      <w:r w:rsidR="00A32A80" w:rsidRPr="009F2F00">
        <w:rPr>
          <w:rFonts w:ascii="Verdana" w:hAnsi="Verdana"/>
          <w:sz w:val="20"/>
        </w:rPr>
        <w:t xml:space="preserve"> AWR is a review of modern award minimum wages generally and it is confined to modern award minimum </w:t>
      </w:r>
      <w:r w:rsidR="00A32A80" w:rsidRPr="009F2F00">
        <w:rPr>
          <w:rFonts w:ascii="Verdana" w:hAnsi="Verdana"/>
          <w:sz w:val="20"/>
          <w:szCs w:val="20"/>
        </w:rPr>
        <w:t>wages</w:t>
      </w:r>
      <w:r w:rsidRPr="009F2F00">
        <w:rPr>
          <w:rFonts w:ascii="Verdana" w:hAnsi="Verdana"/>
          <w:sz w:val="20"/>
          <w:szCs w:val="20"/>
        </w:rPr>
        <w:t xml:space="preserve"> as defined</w:t>
      </w:r>
      <w:r w:rsidR="00A32A80" w:rsidRPr="009F2F00">
        <w:rPr>
          <w:rFonts w:ascii="Verdana" w:hAnsi="Verdana"/>
          <w:sz w:val="20"/>
        </w:rPr>
        <w:t>.</w:t>
      </w:r>
    </w:p>
    <w:p w:rsidR="00FF078B" w:rsidRPr="00FF078B" w:rsidRDefault="00FF078B" w:rsidP="00FF078B">
      <w:pPr>
        <w:rPr>
          <w:rStyle w:val="Heading1Char"/>
        </w:rPr>
      </w:pPr>
      <w:r>
        <w:rPr>
          <w:rStyle w:val="Heading1Char"/>
        </w:rPr>
        <w:lastRenderedPageBreak/>
        <w:t xml:space="preserve">Part </w:t>
      </w:r>
      <w:r w:rsidR="00F85003">
        <w:rPr>
          <w:rStyle w:val="Heading1Char"/>
        </w:rPr>
        <w:t>I</w:t>
      </w:r>
      <w:r>
        <w:rPr>
          <w:rStyle w:val="Heading1Char"/>
        </w:rPr>
        <w:t xml:space="preserve">I — </w:t>
      </w:r>
      <w:r w:rsidRPr="00FF078B">
        <w:rPr>
          <w:rStyle w:val="Heading1Char"/>
        </w:rPr>
        <w:t>A framework for examining economic conditions</w:t>
      </w:r>
    </w:p>
    <w:p w:rsidR="00021DF7" w:rsidRDefault="00021DF7" w:rsidP="00021DF7">
      <w:pPr>
        <w:spacing w:before="240"/>
        <w:rPr>
          <w:rFonts w:ascii="Verdana" w:hAnsi="Verdana"/>
          <w:sz w:val="20"/>
          <w:szCs w:val="20"/>
        </w:rPr>
      </w:pPr>
      <w:r>
        <w:rPr>
          <w:rFonts w:ascii="Verdana" w:hAnsi="Verdana"/>
          <w:sz w:val="20"/>
          <w:szCs w:val="20"/>
        </w:rPr>
        <w:t>ABI has previously endeavoured to review the underlying economic context of each year’s decision.  This submission will follow this same broad approach, however it will also endeavour to make some more acute statements on how ABI considers the Panel should approach its own assessment of the economic environment before addressing contemporary economic developments in Part III.</w:t>
      </w:r>
    </w:p>
    <w:p w:rsidR="00FF078B" w:rsidRDefault="00FF078B" w:rsidP="00FF078B">
      <w:pPr>
        <w:rPr>
          <w:rFonts w:ascii="Verdana" w:hAnsi="Verdana"/>
          <w:sz w:val="20"/>
          <w:szCs w:val="20"/>
        </w:rPr>
      </w:pPr>
      <w:r>
        <w:rPr>
          <w:rFonts w:ascii="Verdana" w:hAnsi="Verdana"/>
          <w:sz w:val="20"/>
          <w:szCs w:val="20"/>
        </w:rPr>
        <w:t xml:space="preserve">Economic conditions are relevant to the AWR process due to the statutory considerations that must be taken into account by the Panel.  </w:t>
      </w:r>
    </w:p>
    <w:p w:rsidR="00FF078B" w:rsidRDefault="00FF078B" w:rsidP="00FF078B">
      <w:pPr>
        <w:spacing w:before="240"/>
        <w:rPr>
          <w:rFonts w:ascii="Verdana" w:hAnsi="Verdana"/>
          <w:sz w:val="20"/>
          <w:szCs w:val="20"/>
        </w:rPr>
      </w:pPr>
      <w:r>
        <w:rPr>
          <w:rFonts w:ascii="Verdana" w:hAnsi="Verdana"/>
          <w:sz w:val="20"/>
          <w:szCs w:val="20"/>
        </w:rPr>
        <w:t>The economic context is relevant in a number of key ways.  When considering whether to vary (set or revoke) minimum award wages the e</w:t>
      </w:r>
      <w:r w:rsidRPr="00F87321">
        <w:rPr>
          <w:rFonts w:ascii="Verdana" w:hAnsi="Verdana"/>
          <w:sz w:val="20"/>
          <w:szCs w:val="20"/>
        </w:rPr>
        <w:t xml:space="preserve">conomic factors </w:t>
      </w:r>
      <w:r>
        <w:rPr>
          <w:rFonts w:ascii="Verdana" w:hAnsi="Verdana"/>
          <w:sz w:val="20"/>
          <w:szCs w:val="20"/>
        </w:rPr>
        <w:t xml:space="preserve">to be taken into account </w:t>
      </w:r>
      <w:r w:rsidRPr="00F87321">
        <w:rPr>
          <w:rFonts w:ascii="Verdana" w:hAnsi="Verdana"/>
          <w:sz w:val="20"/>
          <w:szCs w:val="20"/>
        </w:rPr>
        <w:t xml:space="preserve">are </w:t>
      </w:r>
      <w:r>
        <w:rPr>
          <w:rFonts w:ascii="Verdana" w:hAnsi="Verdana"/>
          <w:sz w:val="20"/>
          <w:szCs w:val="20"/>
        </w:rPr>
        <w:t xml:space="preserve">those </w:t>
      </w:r>
      <w:r w:rsidRPr="00F87321">
        <w:rPr>
          <w:rFonts w:ascii="Verdana" w:hAnsi="Verdana"/>
          <w:sz w:val="20"/>
          <w:szCs w:val="20"/>
        </w:rPr>
        <w:t xml:space="preserve">referenced under the minimum wages objective, the modern awards objective and the general matters </w:t>
      </w:r>
      <w:r>
        <w:rPr>
          <w:rFonts w:ascii="Verdana" w:hAnsi="Verdana"/>
          <w:sz w:val="20"/>
          <w:szCs w:val="20"/>
        </w:rPr>
        <w:t>prescribed</w:t>
      </w:r>
      <w:r w:rsidRPr="00F87321">
        <w:rPr>
          <w:rFonts w:ascii="Verdana" w:hAnsi="Verdana"/>
          <w:sz w:val="20"/>
          <w:szCs w:val="20"/>
        </w:rPr>
        <w:t xml:space="preserve"> under the object of the Act</w:t>
      </w:r>
      <w:r w:rsidRPr="00F87321">
        <w:rPr>
          <w:rFonts w:ascii="Verdana" w:hAnsi="Verdana"/>
          <w:i/>
          <w:sz w:val="20"/>
          <w:szCs w:val="20"/>
        </w:rPr>
        <w:t xml:space="preserve">.  </w:t>
      </w:r>
      <w:r w:rsidRPr="00F87321">
        <w:rPr>
          <w:rFonts w:ascii="Verdana" w:hAnsi="Verdana"/>
          <w:sz w:val="20"/>
          <w:szCs w:val="20"/>
        </w:rPr>
        <w:t xml:space="preserve">To summarise, the Panel must take into </w:t>
      </w:r>
      <w:r>
        <w:rPr>
          <w:rFonts w:ascii="Verdana" w:hAnsi="Verdana"/>
          <w:sz w:val="20"/>
          <w:szCs w:val="20"/>
        </w:rPr>
        <w:t xml:space="preserve">account </w:t>
      </w:r>
      <w:r w:rsidRPr="00F87321">
        <w:rPr>
          <w:rFonts w:ascii="Verdana" w:hAnsi="Verdana"/>
          <w:sz w:val="20"/>
          <w:szCs w:val="20"/>
        </w:rPr>
        <w:t>the performance and competitiveness of the national economy and the likely impact of any exercise of modern award powers on business, while the broader object</w:t>
      </w:r>
      <w:r>
        <w:rPr>
          <w:rFonts w:ascii="Verdana" w:hAnsi="Verdana"/>
          <w:sz w:val="20"/>
          <w:szCs w:val="20"/>
        </w:rPr>
        <w:t>s</w:t>
      </w:r>
      <w:r w:rsidRPr="00F87321">
        <w:rPr>
          <w:rFonts w:ascii="Verdana" w:hAnsi="Verdana"/>
          <w:sz w:val="20"/>
          <w:szCs w:val="20"/>
        </w:rPr>
        <w:t xml:space="preserve"> of the Act include the promotion of productivity and economic growth for Australia’s future economic prosperity.</w:t>
      </w:r>
    </w:p>
    <w:p w:rsidR="00FF078B" w:rsidRDefault="00FF078B" w:rsidP="00FF078B">
      <w:pPr>
        <w:rPr>
          <w:rFonts w:ascii="Verdana" w:hAnsi="Verdana"/>
          <w:sz w:val="20"/>
          <w:szCs w:val="20"/>
        </w:rPr>
      </w:pPr>
      <w:r w:rsidRPr="00F87321">
        <w:rPr>
          <w:rFonts w:ascii="Verdana" w:hAnsi="Verdana"/>
          <w:sz w:val="20"/>
          <w:szCs w:val="20"/>
        </w:rPr>
        <w:t>Similarly, social factors are also referenced under the minimum wages objective, the modern awards objective and the object</w:t>
      </w:r>
      <w:r>
        <w:rPr>
          <w:rFonts w:ascii="Verdana" w:hAnsi="Verdana"/>
          <w:sz w:val="20"/>
          <w:szCs w:val="20"/>
        </w:rPr>
        <w:t>s</w:t>
      </w:r>
      <w:r w:rsidRPr="00F87321">
        <w:rPr>
          <w:rFonts w:ascii="Verdana" w:hAnsi="Verdana"/>
          <w:sz w:val="20"/>
          <w:szCs w:val="20"/>
        </w:rPr>
        <w:t xml:space="preserve"> of the Act.  This includes, but is not limited to,</w:t>
      </w:r>
      <w:r w:rsidRPr="00F87321">
        <w:rPr>
          <w:rFonts w:ascii="Verdana" w:hAnsi="Verdana"/>
          <w:i/>
          <w:sz w:val="20"/>
          <w:szCs w:val="20"/>
        </w:rPr>
        <w:t xml:space="preserve"> </w:t>
      </w:r>
      <w:r w:rsidRPr="00F87321">
        <w:rPr>
          <w:rFonts w:ascii="Verdana" w:hAnsi="Verdana"/>
          <w:sz w:val="20"/>
          <w:szCs w:val="20"/>
        </w:rPr>
        <w:t>taking into account the relative living standards and the needs of the low paid.  The need to encourage enterprise-level collective bargaining is also accommodated under the statutory framework provided for by the Act.</w:t>
      </w:r>
      <w:r w:rsidR="002D4D3E">
        <w:rPr>
          <w:rFonts w:ascii="Verdana" w:hAnsi="Verdana"/>
          <w:sz w:val="20"/>
          <w:szCs w:val="20"/>
        </w:rPr>
        <w:t xml:space="preserve">  Each of these </w:t>
      </w:r>
      <w:r w:rsidR="00E51EDA">
        <w:rPr>
          <w:rFonts w:ascii="Verdana" w:hAnsi="Verdana"/>
          <w:sz w:val="20"/>
          <w:szCs w:val="20"/>
        </w:rPr>
        <w:t>considerations is</w:t>
      </w:r>
      <w:r w:rsidR="002D4D3E">
        <w:rPr>
          <w:rFonts w:ascii="Verdana" w:hAnsi="Verdana"/>
          <w:sz w:val="20"/>
          <w:szCs w:val="20"/>
        </w:rPr>
        <w:t xml:space="preserve"> affected by or underpinned by economic circumstances existing within the entire economy or those that impact on particular sub groups.  The need to examine economic conditions is therefore both an explicit and implicit requirement borne out of the statutory framework.</w:t>
      </w:r>
    </w:p>
    <w:p w:rsidR="00FF078B" w:rsidRDefault="00FF078B" w:rsidP="00FF078B">
      <w:pPr>
        <w:rPr>
          <w:rFonts w:ascii="Verdana" w:hAnsi="Verdana"/>
          <w:sz w:val="20"/>
          <w:szCs w:val="20"/>
        </w:rPr>
      </w:pPr>
      <w:r>
        <w:rPr>
          <w:rFonts w:ascii="Verdana" w:hAnsi="Verdana"/>
          <w:sz w:val="20"/>
          <w:szCs w:val="20"/>
        </w:rPr>
        <w:t xml:space="preserve">Before examining contemporary economic conditions, ABI </w:t>
      </w:r>
      <w:r w:rsidR="008329A5">
        <w:rPr>
          <w:rFonts w:ascii="Verdana" w:hAnsi="Verdana"/>
          <w:sz w:val="20"/>
          <w:szCs w:val="20"/>
        </w:rPr>
        <w:t>seeks to make a number of</w:t>
      </w:r>
      <w:r>
        <w:rPr>
          <w:rFonts w:ascii="Verdana" w:hAnsi="Verdana"/>
          <w:sz w:val="20"/>
          <w:szCs w:val="20"/>
        </w:rPr>
        <w:t xml:space="preserve"> observations about how </w:t>
      </w:r>
      <w:r w:rsidR="008329A5">
        <w:rPr>
          <w:rFonts w:ascii="Verdana" w:hAnsi="Verdana"/>
          <w:sz w:val="20"/>
          <w:szCs w:val="20"/>
        </w:rPr>
        <w:t>economic conditions should</w:t>
      </w:r>
      <w:r>
        <w:rPr>
          <w:rFonts w:ascii="Verdana" w:hAnsi="Verdana"/>
          <w:sz w:val="20"/>
          <w:szCs w:val="20"/>
        </w:rPr>
        <w:t xml:space="preserve"> be reconciled with the statutory considerations.</w:t>
      </w:r>
    </w:p>
    <w:p w:rsidR="00FF078B" w:rsidRPr="00695827" w:rsidRDefault="00FF078B" w:rsidP="00695827">
      <w:pPr>
        <w:numPr>
          <w:ilvl w:val="1"/>
          <w:numId w:val="0"/>
        </w:numPr>
        <w:rPr>
          <w:rFonts w:ascii="Verdana" w:eastAsiaTheme="majorEastAsia" w:hAnsi="Verdana" w:cstheme="majorBidi"/>
          <w:iCs/>
          <w:color w:val="808080" w:themeColor="background1" w:themeShade="80"/>
          <w:spacing w:val="15"/>
          <w:sz w:val="28"/>
          <w:szCs w:val="28"/>
        </w:rPr>
      </w:pPr>
      <w:r w:rsidRPr="00695827">
        <w:rPr>
          <w:rFonts w:ascii="Verdana" w:eastAsiaTheme="majorEastAsia" w:hAnsi="Verdana" w:cstheme="majorBidi"/>
          <w:iCs/>
          <w:color w:val="808080" w:themeColor="background1" w:themeShade="80"/>
          <w:spacing w:val="15"/>
          <w:sz w:val="28"/>
          <w:szCs w:val="28"/>
        </w:rPr>
        <w:t xml:space="preserve">Treating award-reliant </w:t>
      </w:r>
      <w:r w:rsidR="00180DF1">
        <w:rPr>
          <w:rFonts w:ascii="Verdana" w:eastAsiaTheme="majorEastAsia" w:hAnsi="Verdana" w:cstheme="majorBidi"/>
          <w:iCs/>
          <w:color w:val="808080" w:themeColor="background1" w:themeShade="80"/>
          <w:spacing w:val="15"/>
          <w:sz w:val="28"/>
          <w:szCs w:val="28"/>
        </w:rPr>
        <w:t>employee</w:t>
      </w:r>
      <w:r w:rsidR="00180DF1" w:rsidRPr="00695827">
        <w:rPr>
          <w:rFonts w:ascii="Verdana" w:eastAsiaTheme="majorEastAsia" w:hAnsi="Verdana" w:cstheme="majorBidi"/>
          <w:iCs/>
          <w:color w:val="808080" w:themeColor="background1" w:themeShade="80"/>
          <w:spacing w:val="15"/>
          <w:sz w:val="28"/>
          <w:szCs w:val="28"/>
        </w:rPr>
        <w:t>s</w:t>
      </w:r>
      <w:r w:rsidRPr="00695827">
        <w:rPr>
          <w:rFonts w:ascii="Verdana" w:eastAsiaTheme="majorEastAsia" w:hAnsi="Verdana" w:cstheme="majorBidi"/>
          <w:iCs/>
          <w:color w:val="808080" w:themeColor="background1" w:themeShade="80"/>
          <w:spacing w:val="15"/>
          <w:sz w:val="28"/>
          <w:szCs w:val="28"/>
        </w:rPr>
        <w:t xml:space="preserve"> as a sub-group within the broader economy</w:t>
      </w:r>
    </w:p>
    <w:p w:rsidR="004E7160" w:rsidRDefault="00FF078B" w:rsidP="00FF078B">
      <w:pPr>
        <w:rPr>
          <w:rFonts w:ascii="Verdana" w:hAnsi="Verdana"/>
          <w:sz w:val="20"/>
          <w:szCs w:val="20"/>
        </w:rPr>
      </w:pPr>
      <w:r w:rsidRPr="00D34135">
        <w:rPr>
          <w:rFonts w:ascii="Verdana" w:hAnsi="Verdana"/>
          <w:sz w:val="20"/>
          <w:szCs w:val="20"/>
        </w:rPr>
        <w:t xml:space="preserve">The </w:t>
      </w:r>
      <w:r w:rsidRPr="009F2F00">
        <w:rPr>
          <w:rFonts w:ascii="Verdana" w:hAnsi="Verdana"/>
          <w:sz w:val="20"/>
          <w:szCs w:val="20"/>
        </w:rPr>
        <w:t xml:space="preserve">award-reliant workforce makes up only a subset of the entire </w:t>
      </w:r>
      <w:r w:rsidRPr="009F2F00">
        <w:rPr>
          <w:rFonts w:ascii="Verdana" w:hAnsi="Verdana"/>
          <w:sz w:val="20"/>
        </w:rPr>
        <w:t>workforce</w:t>
      </w:r>
      <w:r w:rsidR="006974B5" w:rsidRPr="009F2F00">
        <w:rPr>
          <w:rFonts w:ascii="Verdana" w:hAnsi="Verdana"/>
          <w:sz w:val="20"/>
        </w:rPr>
        <w:t>.</w:t>
      </w:r>
      <w:r w:rsidRPr="009F2F00">
        <w:rPr>
          <w:rFonts w:ascii="Verdana" w:hAnsi="Verdana"/>
          <w:sz w:val="20"/>
        </w:rPr>
        <w:t xml:space="preserve">  </w:t>
      </w:r>
      <w:r w:rsidR="006974B5" w:rsidRPr="009F2F00">
        <w:rPr>
          <w:rFonts w:ascii="Verdana" w:hAnsi="Verdana"/>
          <w:sz w:val="20"/>
        </w:rPr>
        <w:t>T</w:t>
      </w:r>
      <w:r w:rsidRPr="009F2F00">
        <w:rPr>
          <w:rFonts w:ascii="Verdana" w:hAnsi="Verdana"/>
          <w:sz w:val="20"/>
        </w:rPr>
        <w:t>he</w:t>
      </w:r>
      <w:r w:rsidRPr="009F2F00">
        <w:rPr>
          <w:rFonts w:ascii="Verdana" w:hAnsi="Verdana"/>
          <w:sz w:val="20"/>
          <w:szCs w:val="20"/>
        </w:rPr>
        <w:t xml:space="preserve"> impact of minimum wage increases may be unobservable in macroeconomic data even though </w:t>
      </w:r>
      <w:r w:rsidR="006974B5" w:rsidRPr="009F2F00">
        <w:rPr>
          <w:rFonts w:ascii="Verdana" w:hAnsi="Verdana"/>
          <w:sz w:val="20"/>
        </w:rPr>
        <w:t>an increase to award minimum rates</w:t>
      </w:r>
      <w:r w:rsidR="006974B5" w:rsidRPr="009F2F00">
        <w:rPr>
          <w:rFonts w:ascii="Verdana" w:hAnsi="Verdana"/>
          <w:sz w:val="20"/>
          <w:szCs w:val="20"/>
        </w:rPr>
        <w:t xml:space="preserve"> </w:t>
      </w:r>
      <w:r w:rsidRPr="009F2F00">
        <w:rPr>
          <w:rFonts w:ascii="Verdana" w:hAnsi="Verdana"/>
          <w:sz w:val="20"/>
          <w:szCs w:val="20"/>
        </w:rPr>
        <w:t xml:space="preserve">may have a significant impact on </w:t>
      </w:r>
      <w:r w:rsidR="006974B5" w:rsidRPr="009F2F00">
        <w:rPr>
          <w:rFonts w:ascii="Verdana" w:hAnsi="Verdana"/>
          <w:sz w:val="20"/>
        </w:rPr>
        <w:t>the</w:t>
      </w:r>
      <w:r w:rsidR="006974B5" w:rsidRPr="009F2F00">
        <w:rPr>
          <w:rFonts w:ascii="Verdana" w:hAnsi="Verdana"/>
          <w:sz w:val="20"/>
          <w:szCs w:val="20"/>
        </w:rPr>
        <w:t xml:space="preserve"> </w:t>
      </w:r>
      <w:r w:rsidRPr="009F2F00">
        <w:rPr>
          <w:rFonts w:ascii="Verdana" w:hAnsi="Verdana"/>
          <w:sz w:val="20"/>
          <w:szCs w:val="20"/>
        </w:rPr>
        <w:t>award-reliant workforce or parts of the economy.</w:t>
      </w:r>
      <w:r w:rsidR="00234FFC" w:rsidRPr="009F2F00">
        <w:rPr>
          <w:rFonts w:ascii="Verdana" w:hAnsi="Verdana"/>
          <w:sz w:val="20"/>
          <w:szCs w:val="20"/>
        </w:rPr>
        <w:t xml:space="preserve">  This is a challenge that empirical methodologies have </w:t>
      </w:r>
      <w:r w:rsidR="007158CE" w:rsidRPr="009F2F00">
        <w:rPr>
          <w:rFonts w:ascii="Verdana" w:hAnsi="Verdana"/>
          <w:sz w:val="20"/>
          <w:szCs w:val="20"/>
        </w:rPr>
        <w:t>largely been unable</w:t>
      </w:r>
      <w:r w:rsidR="00762DE2" w:rsidRPr="009F2F00">
        <w:rPr>
          <w:rFonts w:ascii="Verdana" w:hAnsi="Verdana"/>
          <w:sz w:val="20"/>
          <w:szCs w:val="20"/>
        </w:rPr>
        <w:t xml:space="preserve"> to overcome, though it does suggest that the Panel ought </w:t>
      </w:r>
      <w:r w:rsidR="00762DE2" w:rsidRPr="009F2F00">
        <w:rPr>
          <w:rFonts w:ascii="Verdana" w:hAnsi="Verdana"/>
          <w:sz w:val="20"/>
        </w:rPr>
        <w:t xml:space="preserve">to </w:t>
      </w:r>
      <w:r w:rsidR="006974B5" w:rsidRPr="009F2F00">
        <w:rPr>
          <w:rFonts w:ascii="Verdana" w:hAnsi="Verdana"/>
          <w:sz w:val="20"/>
        </w:rPr>
        <w:t>the extent possible</w:t>
      </w:r>
      <w:r w:rsidR="006974B5" w:rsidRPr="009F2F00">
        <w:rPr>
          <w:rFonts w:ascii="Verdana" w:hAnsi="Verdana"/>
          <w:sz w:val="20"/>
          <w:szCs w:val="20"/>
        </w:rPr>
        <w:t xml:space="preserve"> </w:t>
      </w:r>
      <w:r w:rsidR="00762DE2" w:rsidRPr="009F2F00">
        <w:rPr>
          <w:rFonts w:ascii="Verdana" w:hAnsi="Verdana"/>
          <w:sz w:val="20"/>
          <w:szCs w:val="20"/>
        </w:rPr>
        <w:t xml:space="preserve">be focussing attention where data is more likely to offer insight (such as industries with higher rates of </w:t>
      </w:r>
      <w:r w:rsidR="00E51EDA" w:rsidRPr="009F2F00">
        <w:rPr>
          <w:rFonts w:ascii="Verdana" w:hAnsi="Verdana"/>
          <w:sz w:val="20"/>
          <w:szCs w:val="20"/>
        </w:rPr>
        <w:t>award</w:t>
      </w:r>
      <w:r w:rsidR="00E51EDA">
        <w:rPr>
          <w:rFonts w:ascii="Verdana" w:hAnsi="Verdana"/>
          <w:sz w:val="20"/>
          <w:szCs w:val="20"/>
        </w:rPr>
        <w:t>-</w:t>
      </w:r>
      <w:r w:rsidR="00762DE2" w:rsidRPr="009F2F00">
        <w:rPr>
          <w:rFonts w:ascii="Verdana" w:hAnsi="Verdana"/>
          <w:sz w:val="20"/>
          <w:szCs w:val="20"/>
        </w:rPr>
        <w:t>reliance) instead of macr</w:t>
      </w:r>
      <w:r w:rsidR="00620193" w:rsidRPr="009F2F00">
        <w:rPr>
          <w:rFonts w:ascii="Verdana" w:hAnsi="Verdana"/>
          <w:sz w:val="20"/>
          <w:szCs w:val="20"/>
        </w:rPr>
        <w:t xml:space="preserve">oeconomic </w:t>
      </w:r>
      <w:r w:rsidR="00762DE2" w:rsidRPr="009F2F00">
        <w:rPr>
          <w:rFonts w:ascii="Verdana" w:hAnsi="Verdana"/>
          <w:sz w:val="20"/>
          <w:szCs w:val="20"/>
        </w:rPr>
        <w:t>data that is diluted by developments unrelated to the AWR</w:t>
      </w:r>
      <w:r w:rsidR="00762DE2" w:rsidRPr="009F2F00">
        <w:rPr>
          <w:rFonts w:ascii="Verdana" w:hAnsi="Verdana"/>
          <w:sz w:val="20"/>
        </w:rPr>
        <w:t>.</w:t>
      </w:r>
      <w:r w:rsidR="004E7160">
        <w:rPr>
          <w:rFonts w:ascii="Verdana" w:hAnsi="Verdana"/>
          <w:sz w:val="20"/>
          <w:szCs w:val="20"/>
        </w:rPr>
        <w:t xml:space="preserve">  </w:t>
      </w:r>
    </w:p>
    <w:p w:rsidR="00BF1603" w:rsidRPr="009F2F00" w:rsidRDefault="00BF1603" w:rsidP="002F7BB1">
      <w:pPr>
        <w:rPr>
          <w:rFonts w:ascii="Verdana" w:hAnsi="Verdana"/>
          <w:sz w:val="20"/>
          <w:szCs w:val="20"/>
        </w:rPr>
      </w:pPr>
      <w:r>
        <w:rPr>
          <w:rFonts w:ascii="Verdana" w:hAnsi="Verdana"/>
          <w:sz w:val="20"/>
          <w:szCs w:val="20"/>
        </w:rPr>
        <w:lastRenderedPageBreak/>
        <w:t xml:space="preserve">Macroeconomic data (such as GDP and labour force indicators) take a high-level view of the economy and are unlikely to be particularly useful in assessing the impact of a change to the NMW.  </w:t>
      </w:r>
      <w:r w:rsidRPr="009F2F00">
        <w:rPr>
          <w:rFonts w:ascii="Verdana" w:hAnsi="Verdana"/>
          <w:sz w:val="20"/>
          <w:szCs w:val="20"/>
        </w:rPr>
        <w:t xml:space="preserve">While they are instructive on broader risks that may face award-reliant </w:t>
      </w:r>
      <w:r w:rsidR="00180DF1">
        <w:rPr>
          <w:rFonts w:ascii="Verdana" w:hAnsi="Verdana"/>
          <w:sz w:val="20"/>
          <w:szCs w:val="20"/>
        </w:rPr>
        <w:t>employee</w:t>
      </w:r>
      <w:r w:rsidR="00180DF1" w:rsidRPr="009F2F00">
        <w:rPr>
          <w:rFonts w:ascii="Verdana" w:hAnsi="Verdana"/>
          <w:sz w:val="20"/>
          <w:szCs w:val="20"/>
        </w:rPr>
        <w:t>s</w:t>
      </w:r>
      <w:r w:rsidRPr="009F2F00">
        <w:rPr>
          <w:rFonts w:ascii="Verdana" w:hAnsi="Verdana"/>
          <w:sz w:val="20"/>
          <w:szCs w:val="20"/>
        </w:rPr>
        <w:t>, they cannot describe specific impacts.</w:t>
      </w:r>
    </w:p>
    <w:p w:rsidR="00FF078B" w:rsidRPr="009F2F00" w:rsidRDefault="006974B5" w:rsidP="002F7BB1">
      <w:pPr>
        <w:rPr>
          <w:rFonts w:ascii="Verdana" w:hAnsi="Verdana"/>
          <w:sz w:val="20"/>
          <w:szCs w:val="20"/>
        </w:rPr>
      </w:pPr>
      <w:r w:rsidRPr="009F2F00">
        <w:rPr>
          <w:rFonts w:ascii="Verdana" w:hAnsi="Verdana"/>
          <w:sz w:val="20"/>
        </w:rPr>
        <w:t>ABI accepts that</w:t>
      </w:r>
      <w:r w:rsidRPr="009F2F00">
        <w:rPr>
          <w:rFonts w:ascii="Verdana" w:hAnsi="Verdana"/>
          <w:sz w:val="20"/>
          <w:szCs w:val="20"/>
        </w:rPr>
        <w:t xml:space="preserve"> </w:t>
      </w:r>
      <w:r w:rsidR="00FF078B" w:rsidRPr="009F2F00">
        <w:rPr>
          <w:rFonts w:ascii="Verdana" w:hAnsi="Verdana"/>
          <w:sz w:val="20"/>
          <w:szCs w:val="20"/>
        </w:rPr>
        <w:t xml:space="preserve">the Panel must consider the impact of minimum wages on the national economy, </w:t>
      </w:r>
      <w:r w:rsidRPr="009F2F00">
        <w:rPr>
          <w:rFonts w:ascii="Verdana" w:hAnsi="Verdana"/>
          <w:sz w:val="20"/>
        </w:rPr>
        <w:t xml:space="preserve">but </w:t>
      </w:r>
      <w:r w:rsidR="00FF078B" w:rsidRPr="009F2F00">
        <w:rPr>
          <w:rFonts w:ascii="Verdana" w:hAnsi="Verdana"/>
          <w:sz w:val="20"/>
          <w:szCs w:val="20"/>
        </w:rPr>
        <w:t xml:space="preserve">contends the Panel ought to consider the performance of parts of the economy most affected by changes in </w:t>
      </w:r>
      <w:r w:rsidR="00053F46" w:rsidRPr="009F2F00">
        <w:rPr>
          <w:rFonts w:ascii="Verdana" w:hAnsi="Verdana"/>
          <w:sz w:val="20"/>
          <w:szCs w:val="20"/>
        </w:rPr>
        <w:t>minimum wages</w:t>
      </w:r>
      <w:r w:rsidR="00FF078B" w:rsidRPr="009F2F00">
        <w:rPr>
          <w:rFonts w:ascii="Verdana" w:hAnsi="Verdana"/>
          <w:sz w:val="20"/>
          <w:szCs w:val="20"/>
        </w:rPr>
        <w:t xml:space="preserve"> as its primary consideration.</w:t>
      </w:r>
      <w:r w:rsidR="009F0EFF">
        <w:rPr>
          <w:rFonts w:ascii="Verdana" w:hAnsi="Verdana"/>
          <w:sz w:val="20"/>
          <w:szCs w:val="20"/>
        </w:rPr>
        <w:t xml:space="preserve"> </w:t>
      </w:r>
      <w:r w:rsidRPr="009F2F00">
        <w:rPr>
          <w:rFonts w:ascii="Verdana" w:hAnsi="Verdana"/>
          <w:sz w:val="20"/>
        </w:rPr>
        <w:t>These impacts not only better identify the “economic” impact of Panel decisions but also its “social” effects (such as social inclusion) as well</w:t>
      </w:r>
      <w:r w:rsidRPr="009F2F00">
        <w:rPr>
          <w:rFonts w:ascii="Verdana" w:hAnsi="Verdana"/>
          <w:sz w:val="20"/>
          <w:szCs w:val="20"/>
        </w:rPr>
        <w:t>.</w:t>
      </w:r>
      <w:r w:rsidR="00FF078B" w:rsidRPr="009F2F00">
        <w:rPr>
          <w:rFonts w:ascii="Verdana" w:hAnsi="Verdana"/>
          <w:sz w:val="20"/>
          <w:szCs w:val="20"/>
        </w:rPr>
        <w:t xml:space="preserve">  For example, if award</w:t>
      </w:r>
      <w:r w:rsidR="00053F46" w:rsidRPr="009F2F00">
        <w:rPr>
          <w:rFonts w:ascii="Verdana" w:hAnsi="Verdana"/>
          <w:sz w:val="20"/>
          <w:szCs w:val="20"/>
        </w:rPr>
        <w:noBreakHyphen/>
      </w:r>
      <w:r w:rsidR="00FF078B" w:rsidRPr="009F2F00">
        <w:rPr>
          <w:rFonts w:ascii="Verdana" w:hAnsi="Verdana"/>
          <w:sz w:val="20"/>
          <w:szCs w:val="20"/>
        </w:rPr>
        <w:t>reliant segments of the economy were performing poorly, strong economic conditions in other parts of the economy ought to be of only limited influence to the Panel’s deliberations.</w:t>
      </w:r>
    </w:p>
    <w:p w:rsidR="00FF078B" w:rsidRPr="009F2F00" w:rsidRDefault="00FF078B" w:rsidP="002F7BB1">
      <w:pPr>
        <w:rPr>
          <w:rFonts w:ascii="Verdana" w:hAnsi="Verdana"/>
          <w:sz w:val="20"/>
          <w:szCs w:val="20"/>
        </w:rPr>
      </w:pPr>
      <w:r w:rsidRPr="009F2F00">
        <w:rPr>
          <w:rFonts w:ascii="Verdana" w:hAnsi="Verdana"/>
          <w:sz w:val="20"/>
          <w:szCs w:val="20"/>
        </w:rPr>
        <w:t xml:space="preserve">Similarly, if labour market conditions were strong among the broader labour force then this is only relevant if it delivers improved conditions to the award-reliant labour force.  While this may often be the case, </w:t>
      </w:r>
      <w:r w:rsidRPr="009F2F00">
        <w:rPr>
          <w:rFonts w:ascii="Verdana" w:hAnsi="Verdana"/>
          <w:sz w:val="20"/>
        </w:rPr>
        <w:t xml:space="preserve">employment </w:t>
      </w:r>
      <w:r w:rsidR="006974B5" w:rsidRPr="009F2F00">
        <w:rPr>
          <w:rFonts w:ascii="Verdana" w:hAnsi="Verdana"/>
          <w:sz w:val="20"/>
        </w:rPr>
        <w:t>demand (and supply) is very rarely uniform</w:t>
      </w:r>
      <w:r w:rsidR="006974B5" w:rsidRPr="009F2F00">
        <w:rPr>
          <w:rFonts w:ascii="Verdana" w:hAnsi="Verdana"/>
          <w:sz w:val="20"/>
          <w:szCs w:val="20"/>
        </w:rPr>
        <w:t xml:space="preserve"> </w:t>
      </w:r>
      <w:r w:rsidRPr="009F2F00">
        <w:rPr>
          <w:rFonts w:ascii="Verdana" w:hAnsi="Verdana"/>
          <w:sz w:val="20"/>
          <w:szCs w:val="20"/>
        </w:rPr>
        <w:t>across industries.</w:t>
      </w:r>
    </w:p>
    <w:p w:rsidR="00CC544B" w:rsidRPr="009F2F00" w:rsidRDefault="003A5B5E" w:rsidP="002F7BB1">
      <w:pPr>
        <w:rPr>
          <w:rFonts w:ascii="Verdana" w:hAnsi="Verdana"/>
          <w:sz w:val="20"/>
          <w:szCs w:val="20"/>
        </w:rPr>
      </w:pPr>
      <w:r w:rsidRPr="009F2F00">
        <w:rPr>
          <w:rFonts w:ascii="Verdana" w:hAnsi="Verdana"/>
          <w:sz w:val="20"/>
          <w:szCs w:val="20"/>
        </w:rPr>
        <w:t xml:space="preserve">Overreliance on </w:t>
      </w:r>
      <w:r w:rsidR="006974B5" w:rsidRPr="009F2F00">
        <w:rPr>
          <w:rFonts w:ascii="Verdana" w:hAnsi="Verdana"/>
          <w:sz w:val="20"/>
        </w:rPr>
        <w:t>national level</w:t>
      </w:r>
      <w:r w:rsidR="006974B5" w:rsidRPr="009F2F00">
        <w:rPr>
          <w:rFonts w:ascii="Verdana" w:hAnsi="Verdana"/>
          <w:sz w:val="20"/>
          <w:szCs w:val="20"/>
        </w:rPr>
        <w:t xml:space="preserve"> </w:t>
      </w:r>
      <w:r w:rsidRPr="009F2F00">
        <w:rPr>
          <w:rFonts w:ascii="Verdana" w:hAnsi="Verdana"/>
          <w:sz w:val="20"/>
          <w:szCs w:val="20"/>
        </w:rPr>
        <w:t>macroeconomic data leaves analysis vulnerable to logical fallacies</w:t>
      </w:r>
      <w:r w:rsidR="00323C8D" w:rsidRPr="009F2F00">
        <w:rPr>
          <w:rFonts w:ascii="Verdana" w:hAnsi="Verdana"/>
          <w:sz w:val="20"/>
          <w:szCs w:val="20"/>
        </w:rPr>
        <w:t xml:space="preserve"> such as a false equivalence</w:t>
      </w:r>
      <w:r w:rsidRPr="009F2F00">
        <w:rPr>
          <w:rFonts w:ascii="Verdana" w:hAnsi="Verdana"/>
          <w:sz w:val="20"/>
          <w:szCs w:val="20"/>
        </w:rPr>
        <w:t xml:space="preserve">.  </w:t>
      </w:r>
      <w:r w:rsidR="00323C8D" w:rsidRPr="009F2F00">
        <w:rPr>
          <w:rFonts w:ascii="Verdana" w:hAnsi="Verdana"/>
          <w:sz w:val="20"/>
          <w:szCs w:val="20"/>
        </w:rPr>
        <w:t>For example, the Panel noted in the 2016-17 AWR that the real value of the NMW and modern award rates grew by half the rate of labour productivity.</w:t>
      </w:r>
      <w:r w:rsidR="00323C8D" w:rsidRPr="009F2F00">
        <w:rPr>
          <w:rStyle w:val="FootnoteReference"/>
          <w:rFonts w:ascii="Verdana" w:hAnsi="Verdana"/>
          <w:sz w:val="20"/>
          <w:szCs w:val="20"/>
        </w:rPr>
        <w:footnoteReference w:id="5"/>
      </w:r>
      <w:r w:rsidR="00323C8D" w:rsidRPr="009F2F00">
        <w:rPr>
          <w:rFonts w:ascii="Verdana" w:hAnsi="Verdana"/>
          <w:sz w:val="20"/>
          <w:szCs w:val="20"/>
        </w:rPr>
        <w:t xml:space="preserve">  This was </w:t>
      </w:r>
      <w:r w:rsidR="00323C8D" w:rsidRPr="009F2F00">
        <w:rPr>
          <w:rFonts w:ascii="Verdana" w:hAnsi="Verdana"/>
          <w:sz w:val="20"/>
        </w:rPr>
        <w:t xml:space="preserve">presented </w:t>
      </w:r>
      <w:r w:rsidR="006974B5" w:rsidRPr="009F2F00">
        <w:rPr>
          <w:rFonts w:ascii="Verdana" w:hAnsi="Verdana"/>
          <w:sz w:val="20"/>
        </w:rPr>
        <w:t>as a factor supporting</w:t>
      </w:r>
      <w:r w:rsidR="00323C8D" w:rsidRPr="009F2F00">
        <w:rPr>
          <w:rFonts w:ascii="Verdana" w:hAnsi="Verdana"/>
          <w:sz w:val="20"/>
          <w:szCs w:val="20"/>
        </w:rPr>
        <w:t xml:space="preserve"> the appropriateness of the 3.3 per cent increase.  </w:t>
      </w:r>
      <w:r w:rsidR="00262C77" w:rsidRPr="009F2F00">
        <w:rPr>
          <w:rFonts w:ascii="Verdana" w:hAnsi="Verdana"/>
          <w:sz w:val="20"/>
          <w:szCs w:val="20"/>
        </w:rPr>
        <w:t xml:space="preserve">Comparing the wages growth of a subset of the labour force with the productivity performance of the entire labour force does not provide insight on the </w:t>
      </w:r>
      <w:r w:rsidR="00384DB1" w:rsidRPr="009F2F00">
        <w:rPr>
          <w:rFonts w:ascii="Verdana" w:hAnsi="Verdana"/>
          <w:sz w:val="20"/>
          <w:szCs w:val="20"/>
        </w:rPr>
        <w:t>sustainability</w:t>
      </w:r>
      <w:r w:rsidR="00B9613D" w:rsidRPr="009F2F00">
        <w:rPr>
          <w:rFonts w:ascii="Verdana" w:hAnsi="Verdana"/>
          <w:sz w:val="20"/>
          <w:szCs w:val="20"/>
        </w:rPr>
        <w:t xml:space="preserve"> of a minimum wage increase or the impact on labour</w:t>
      </w:r>
      <w:r w:rsidR="00262C77" w:rsidRPr="009F2F00">
        <w:rPr>
          <w:rFonts w:ascii="Verdana" w:hAnsi="Verdana"/>
          <w:sz w:val="20"/>
          <w:szCs w:val="20"/>
        </w:rPr>
        <w:t xml:space="preserve">. </w:t>
      </w:r>
    </w:p>
    <w:p w:rsidR="00EE544D" w:rsidRDefault="00EE544D" w:rsidP="002F7BB1">
      <w:pPr>
        <w:rPr>
          <w:rFonts w:ascii="Verdana" w:hAnsi="Verdana"/>
          <w:sz w:val="20"/>
          <w:szCs w:val="20"/>
        </w:rPr>
      </w:pPr>
      <w:r w:rsidRPr="009F2F00">
        <w:rPr>
          <w:rFonts w:ascii="Verdana" w:hAnsi="Verdana"/>
          <w:sz w:val="20"/>
          <w:szCs w:val="20"/>
        </w:rPr>
        <w:t>Similar observations can be made about how the Panel regards the importance of delivering higher minimum wage increases in order to satisfy social considerations and the needs of the low paid.  In this regard</w:t>
      </w:r>
      <w:r w:rsidR="009F0EFF">
        <w:rPr>
          <w:rFonts w:ascii="Verdana" w:hAnsi="Verdana"/>
          <w:sz w:val="20"/>
          <w:szCs w:val="20"/>
        </w:rPr>
        <w:t>,</w:t>
      </w:r>
      <w:r w:rsidRPr="009F2F00">
        <w:rPr>
          <w:rFonts w:ascii="Verdana" w:hAnsi="Verdana"/>
          <w:sz w:val="20"/>
          <w:szCs w:val="20"/>
        </w:rPr>
        <w:t xml:space="preserve"> it is important to temper the perceived</w:t>
      </w:r>
      <w:r>
        <w:rPr>
          <w:rFonts w:ascii="Verdana" w:hAnsi="Verdana"/>
          <w:sz w:val="20"/>
          <w:szCs w:val="20"/>
        </w:rPr>
        <w:t xml:space="preserve"> benefits of delivering higher </w:t>
      </w:r>
      <w:r w:rsidR="00322864">
        <w:rPr>
          <w:rFonts w:ascii="Verdana" w:hAnsi="Verdana"/>
          <w:sz w:val="20"/>
          <w:szCs w:val="20"/>
        </w:rPr>
        <w:t xml:space="preserve">increases </w:t>
      </w:r>
      <w:r>
        <w:rPr>
          <w:rFonts w:ascii="Verdana" w:hAnsi="Verdana"/>
          <w:sz w:val="20"/>
          <w:szCs w:val="20"/>
        </w:rPr>
        <w:t xml:space="preserve">in the minimum wage </w:t>
      </w:r>
      <w:r w:rsidR="00322864">
        <w:rPr>
          <w:rFonts w:ascii="Verdana" w:hAnsi="Verdana"/>
          <w:sz w:val="20"/>
          <w:szCs w:val="20"/>
        </w:rPr>
        <w:t>because of the</w:t>
      </w:r>
      <w:r>
        <w:rPr>
          <w:rFonts w:ascii="Verdana" w:hAnsi="Verdana"/>
          <w:sz w:val="20"/>
          <w:szCs w:val="20"/>
        </w:rPr>
        <w:t xml:space="preserve"> distribution of award-reliant employees </w:t>
      </w:r>
      <w:r w:rsidR="006974B5">
        <w:rPr>
          <w:rFonts w:ascii="Verdana" w:hAnsi="Verdana"/>
          <w:sz w:val="20"/>
          <w:szCs w:val="20"/>
        </w:rPr>
        <w:t xml:space="preserve">who </w:t>
      </w:r>
      <w:r>
        <w:rPr>
          <w:rFonts w:ascii="Verdana" w:hAnsi="Verdana"/>
          <w:sz w:val="20"/>
          <w:szCs w:val="20"/>
        </w:rPr>
        <w:t>are not in low income households.  When viewed through a cost-benefit lens, the marginal gains from delivering even bigger minimum wage increases may be offset by more substantial economic costs, including the potential for disemployment effects that harm award-reliant labour (including individuals not currently in employment).</w:t>
      </w:r>
    </w:p>
    <w:p w:rsidR="002F7BB1" w:rsidRDefault="002F7BB1">
      <w:pPr>
        <w:rPr>
          <w:rFonts w:ascii="Verdana" w:eastAsiaTheme="majorEastAsia" w:hAnsi="Verdana" w:cstheme="majorBidi"/>
          <w:iCs/>
          <w:color w:val="808080" w:themeColor="background1" w:themeShade="80"/>
          <w:spacing w:val="15"/>
          <w:sz w:val="28"/>
          <w:szCs w:val="28"/>
        </w:rPr>
      </w:pPr>
      <w:r>
        <w:rPr>
          <w:rFonts w:ascii="Verdana" w:eastAsiaTheme="majorEastAsia" w:hAnsi="Verdana" w:cstheme="majorBidi"/>
          <w:iCs/>
          <w:color w:val="808080" w:themeColor="background1" w:themeShade="80"/>
          <w:spacing w:val="15"/>
          <w:sz w:val="28"/>
          <w:szCs w:val="28"/>
        </w:rPr>
        <w:br w:type="page"/>
      </w:r>
    </w:p>
    <w:p w:rsidR="00FF078B" w:rsidRPr="00695827" w:rsidRDefault="00FF078B" w:rsidP="00695827">
      <w:pPr>
        <w:numPr>
          <w:ilvl w:val="1"/>
          <w:numId w:val="0"/>
        </w:numPr>
        <w:rPr>
          <w:rFonts w:ascii="Verdana" w:eastAsiaTheme="majorEastAsia" w:hAnsi="Verdana" w:cstheme="majorBidi"/>
          <w:iCs/>
          <w:color w:val="808080" w:themeColor="background1" w:themeShade="80"/>
          <w:spacing w:val="15"/>
          <w:sz w:val="28"/>
          <w:szCs w:val="28"/>
        </w:rPr>
      </w:pPr>
      <w:r w:rsidRPr="00695827">
        <w:rPr>
          <w:rFonts w:ascii="Verdana" w:eastAsiaTheme="majorEastAsia" w:hAnsi="Verdana" w:cstheme="majorBidi"/>
          <w:iCs/>
          <w:color w:val="808080" w:themeColor="background1" w:themeShade="80"/>
          <w:spacing w:val="15"/>
          <w:sz w:val="28"/>
          <w:szCs w:val="28"/>
        </w:rPr>
        <w:lastRenderedPageBreak/>
        <w:t>Prices growth in the economy</w:t>
      </w:r>
    </w:p>
    <w:p w:rsidR="006974B5" w:rsidRDefault="006974B5" w:rsidP="002F7BB1">
      <w:pPr>
        <w:rPr>
          <w:rFonts w:ascii="Verdana" w:hAnsi="Verdana"/>
          <w:sz w:val="20"/>
          <w:szCs w:val="20"/>
        </w:rPr>
      </w:pPr>
      <w:r w:rsidRPr="009F2F00">
        <w:rPr>
          <w:rFonts w:ascii="Verdana" w:hAnsi="Verdana"/>
          <w:sz w:val="20"/>
        </w:rPr>
        <w:t xml:space="preserve">It is noteworthy that what are by historical standards low rates of wages growth are not confined to Australia.  “Low wages” growth is an international phenomenon in </w:t>
      </w:r>
      <w:r w:rsidRPr="002F6647">
        <w:rPr>
          <w:rFonts w:ascii="Verdana" w:hAnsi="Verdana"/>
          <w:sz w:val="20"/>
        </w:rPr>
        <w:t xml:space="preserve">part driven by the earlier expansion of productive capacity which fuelled Australian economic growth.  Indeed, Australian wages growth over the last </w:t>
      </w:r>
      <w:r w:rsidR="004E7160">
        <w:rPr>
          <w:rFonts w:ascii="Verdana" w:hAnsi="Verdana"/>
          <w:sz w:val="20"/>
          <w:szCs w:val="20"/>
        </w:rPr>
        <w:t>decade</w:t>
      </w:r>
      <w:r>
        <w:rPr>
          <w:rFonts w:ascii="Verdana" w:hAnsi="Verdana"/>
          <w:sz w:val="20"/>
          <w:szCs w:val="20"/>
        </w:rPr>
        <w:t xml:space="preserve"> </w:t>
      </w:r>
      <w:r w:rsidRPr="002F6647">
        <w:rPr>
          <w:rFonts w:ascii="Verdana" w:hAnsi="Verdana"/>
          <w:sz w:val="20"/>
        </w:rPr>
        <w:t>has been at the high end</w:t>
      </w:r>
      <w:r w:rsidR="004E7160" w:rsidRPr="002F6647">
        <w:rPr>
          <w:rFonts w:ascii="Verdana" w:hAnsi="Verdana"/>
          <w:sz w:val="20"/>
        </w:rPr>
        <w:t xml:space="preserve"> </w:t>
      </w:r>
      <w:r w:rsidR="004E7160">
        <w:rPr>
          <w:rFonts w:ascii="Verdana" w:hAnsi="Verdana"/>
          <w:sz w:val="20"/>
          <w:szCs w:val="20"/>
        </w:rPr>
        <w:t>among comparable countries</w:t>
      </w:r>
      <w:r>
        <w:rPr>
          <w:rFonts w:ascii="Verdana" w:hAnsi="Verdana"/>
          <w:sz w:val="20"/>
          <w:szCs w:val="20"/>
        </w:rPr>
        <w:t xml:space="preserve"> </w:t>
      </w:r>
      <w:r w:rsidRPr="002F6647">
        <w:rPr>
          <w:rFonts w:ascii="Verdana" w:hAnsi="Verdana"/>
          <w:sz w:val="20"/>
        </w:rPr>
        <w:t>internationally.</w:t>
      </w:r>
      <w:r>
        <w:rPr>
          <w:rFonts w:ascii="Verdana" w:hAnsi="Verdana"/>
          <w:sz w:val="20"/>
          <w:szCs w:val="20"/>
        </w:rPr>
        <w:t xml:space="preserve"> </w:t>
      </w:r>
    </w:p>
    <w:p w:rsidR="0063311B" w:rsidRDefault="0063311B" w:rsidP="002F7BB1">
      <w:pPr>
        <w:rPr>
          <w:rFonts w:ascii="Verdana" w:hAnsi="Verdana"/>
          <w:sz w:val="20"/>
          <w:szCs w:val="20"/>
        </w:rPr>
      </w:pPr>
      <w:r>
        <w:rPr>
          <w:rFonts w:ascii="Verdana" w:hAnsi="Verdana"/>
          <w:sz w:val="20"/>
          <w:szCs w:val="20"/>
        </w:rPr>
        <w:t xml:space="preserve">A low inflationary environment </w:t>
      </w:r>
      <w:r w:rsidRPr="002D2940">
        <w:rPr>
          <w:rFonts w:ascii="Verdana" w:hAnsi="Verdana"/>
          <w:sz w:val="20"/>
          <w:szCs w:val="20"/>
        </w:rPr>
        <w:t xml:space="preserve">suggests limited opportunity for firms to accommodate </w:t>
      </w:r>
      <w:r>
        <w:rPr>
          <w:rFonts w:ascii="Verdana" w:hAnsi="Verdana"/>
          <w:sz w:val="20"/>
          <w:szCs w:val="20"/>
        </w:rPr>
        <w:t>increasing labour costs</w:t>
      </w:r>
      <w:r w:rsidRPr="002D2940">
        <w:rPr>
          <w:rFonts w:ascii="Verdana" w:hAnsi="Verdana"/>
          <w:sz w:val="20"/>
          <w:szCs w:val="20"/>
        </w:rPr>
        <w:t xml:space="preserve">.  </w:t>
      </w:r>
      <w:r>
        <w:rPr>
          <w:rFonts w:ascii="Verdana" w:hAnsi="Verdana"/>
          <w:sz w:val="20"/>
          <w:szCs w:val="20"/>
        </w:rPr>
        <w:t xml:space="preserve">In this environment firm revenues cannot adjust as readily (such as through price increases that the market is able to bear) to fund wage increases.  Firms must absorb labour costs that increase at a faster pace than inflation leading to negative consequences for labour demand, business competitiveness and viability, and employment growth.  </w:t>
      </w:r>
    </w:p>
    <w:p w:rsidR="0063311B" w:rsidRPr="00BB19B2" w:rsidRDefault="0063311B" w:rsidP="002F7BB1">
      <w:pPr>
        <w:rPr>
          <w:rFonts w:ascii="Verdana" w:hAnsi="Verdana"/>
          <w:sz w:val="20"/>
          <w:szCs w:val="20"/>
        </w:rPr>
      </w:pPr>
      <w:r>
        <w:rPr>
          <w:rFonts w:ascii="Verdana" w:hAnsi="Verdana"/>
          <w:sz w:val="20"/>
          <w:szCs w:val="20"/>
        </w:rPr>
        <w:t>The RBA reports, via its liaison with the business community, that businesses are reluctant to raise prices due to the competitive landscape and are therefore reluctant to grant wage rises given this is one of their most important costs.</w:t>
      </w:r>
      <w:r w:rsidRPr="00E46A51">
        <w:rPr>
          <w:rStyle w:val="FootnoteReference"/>
          <w:rFonts w:ascii="Verdana" w:hAnsi="Verdana"/>
          <w:sz w:val="20"/>
          <w:szCs w:val="20"/>
        </w:rPr>
        <w:footnoteReference w:id="6"/>
      </w:r>
      <w:r>
        <w:rPr>
          <w:rFonts w:ascii="Verdana" w:hAnsi="Verdana"/>
          <w:sz w:val="20"/>
          <w:szCs w:val="20"/>
        </w:rPr>
        <w:t xml:space="preserve">  ABI notes that this consistent with feedback from NSW Business Chamber members. As the RBA has observed, firms are instead relying on non-wage measures to attract and retain staff.</w:t>
      </w:r>
      <w:r w:rsidRPr="00E46A51">
        <w:rPr>
          <w:rStyle w:val="FootnoteReference"/>
          <w:rFonts w:ascii="Verdana" w:hAnsi="Verdana"/>
          <w:sz w:val="20"/>
          <w:szCs w:val="20"/>
        </w:rPr>
        <w:footnoteReference w:id="7"/>
      </w:r>
      <w:r>
        <w:rPr>
          <w:rFonts w:ascii="Verdana" w:hAnsi="Verdana"/>
          <w:sz w:val="20"/>
          <w:szCs w:val="20"/>
        </w:rPr>
        <w:t xml:space="preserve"> </w:t>
      </w:r>
      <w:r w:rsidR="005D6817">
        <w:rPr>
          <w:rFonts w:ascii="Verdana" w:hAnsi="Verdana"/>
          <w:sz w:val="20"/>
          <w:szCs w:val="20"/>
        </w:rPr>
        <w:t xml:space="preserve"> This is a consequence of the competitive dynamics faced by firms.</w:t>
      </w:r>
    </w:p>
    <w:p w:rsidR="009F2F00" w:rsidRPr="00E51EDA" w:rsidRDefault="0063311B" w:rsidP="00AE32C0">
      <w:r>
        <w:rPr>
          <w:rFonts w:ascii="Verdana" w:hAnsi="Verdana"/>
          <w:sz w:val="20"/>
          <w:szCs w:val="20"/>
        </w:rPr>
        <w:t>A low inflationary environment also has implications for relative standards of living and the needs of the low paid.  Where broader wages growth is relatively slow — at</w:t>
      </w:r>
      <w:r w:rsidR="005D6817">
        <w:rPr>
          <w:rFonts w:ascii="Verdana" w:hAnsi="Verdana"/>
          <w:sz w:val="20"/>
          <w:szCs w:val="20"/>
        </w:rPr>
        <w:t xml:space="preserve"> near</w:t>
      </w:r>
      <w:r>
        <w:rPr>
          <w:rFonts w:ascii="Verdana" w:hAnsi="Verdana"/>
          <w:sz w:val="20"/>
          <w:szCs w:val="20"/>
        </w:rPr>
        <w:t xml:space="preserve"> record lows when measured by the W</w:t>
      </w:r>
      <w:r w:rsidR="00AD670E">
        <w:rPr>
          <w:rFonts w:ascii="Verdana" w:hAnsi="Verdana"/>
          <w:sz w:val="20"/>
          <w:szCs w:val="20"/>
        </w:rPr>
        <w:t xml:space="preserve">age </w:t>
      </w:r>
      <w:r>
        <w:rPr>
          <w:rFonts w:ascii="Verdana" w:hAnsi="Verdana"/>
          <w:sz w:val="20"/>
          <w:szCs w:val="20"/>
        </w:rPr>
        <w:t>P</w:t>
      </w:r>
      <w:r w:rsidR="00AD670E">
        <w:rPr>
          <w:rFonts w:ascii="Verdana" w:hAnsi="Verdana"/>
          <w:sz w:val="20"/>
          <w:szCs w:val="20"/>
        </w:rPr>
        <w:t xml:space="preserve">rice </w:t>
      </w:r>
      <w:r>
        <w:rPr>
          <w:rFonts w:ascii="Verdana" w:hAnsi="Verdana"/>
          <w:sz w:val="20"/>
          <w:szCs w:val="20"/>
        </w:rPr>
        <w:t>I</w:t>
      </w:r>
      <w:r w:rsidR="00AD670E">
        <w:rPr>
          <w:rFonts w:ascii="Verdana" w:hAnsi="Verdana"/>
          <w:sz w:val="20"/>
          <w:szCs w:val="20"/>
        </w:rPr>
        <w:t>ndex (WPI)</w:t>
      </w:r>
      <w:r>
        <w:rPr>
          <w:rFonts w:ascii="Verdana" w:hAnsi="Verdana"/>
          <w:sz w:val="20"/>
          <w:szCs w:val="20"/>
        </w:rPr>
        <w:t xml:space="preserve"> — the minimum wage does not need to increase to the same extent to maintain (or improve) relative living standards.  Stable prices </w:t>
      </w:r>
      <w:r w:rsidR="009F0EFF">
        <w:rPr>
          <w:rFonts w:ascii="Verdana" w:hAnsi="Verdana"/>
          <w:sz w:val="20"/>
          <w:szCs w:val="20"/>
        </w:rPr>
        <w:t>helps retain the</w:t>
      </w:r>
      <w:r>
        <w:rPr>
          <w:rFonts w:ascii="Verdana" w:hAnsi="Verdana"/>
          <w:sz w:val="20"/>
          <w:szCs w:val="20"/>
        </w:rPr>
        <w:t xml:space="preserve"> purchasing pow</w:t>
      </w:r>
      <w:r w:rsidR="005D6817">
        <w:rPr>
          <w:rFonts w:ascii="Verdana" w:hAnsi="Verdana"/>
          <w:sz w:val="20"/>
          <w:szCs w:val="20"/>
        </w:rPr>
        <w:t xml:space="preserve">er of award-reliant </w:t>
      </w:r>
      <w:r w:rsidR="00AE32C0">
        <w:rPr>
          <w:rFonts w:ascii="Verdana" w:hAnsi="Verdana"/>
          <w:sz w:val="20"/>
          <w:szCs w:val="20"/>
        </w:rPr>
        <w:t>with</w:t>
      </w:r>
      <w:r w:rsidR="005D6817">
        <w:rPr>
          <w:rFonts w:ascii="Verdana" w:hAnsi="Verdana"/>
          <w:sz w:val="20"/>
          <w:szCs w:val="20"/>
        </w:rPr>
        <w:t xml:space="preserve"> </w:t>
      </w:r>
      <w:r>
        <w:rPr>
          <w:rFonts w:ascii="Verdana" w:hAnsi="Verdana"/>
          <w:sz w:val="20"/>
          <w:szCs w:val="20"/>
        </w:rPr>
        <w:t>smaller increases capable of delivering improved living standards.</w:t>
      </w:r>
      <w:r w:rsidR="004E7160">
        <w:rPr>
          <w:rFonts w:ascii="Verdana" w:hAnsi="Verdana"/>
          <w:sz w:val="20"/>
          <w:szCs w:val="20"/>
        </w:rPr>
        <w:t xml:space="preserve">  </w:t>
      </w:r>
    </w:p>
    <w:p w:rsidR="00CC544B" w:rsidRPr="00BC5876" w:rsidRDefault="005D2435">
      <w:pPr>
        <w:rPr>
          <w:rFonts w:ascii="Verdana" w:hAnsi="Verdana"/>
          <w:sz w:val="20"/>
          <w:szCs w:val="20"/>
        </w:rPr>
      </w:pPr>
      <w:r w:rsidRPr="00BC5876">
        <w:rPr>
          <w:rFonts w:ascii="Verdana" w:hAnsi="Verdana"/>
          <w:sz w:val="20"/>
          <w:szCs w:val="20"/>
        </w:rPr>
        <w:t>In previous decisions t</w:t>
      </w:r>
      <w:r w:rsidR="00CC544B" w:rsidRPr="00BC5876">
        <w:rPr>
          <w:rFonts w:ascii="Verdana" w:hAnsi="Verdana"/>
          <w:sz w:val="20"/>
          <w:szCs w:val="20"/>
        </w:rPr>
        <w:t>he Panel’s observations around</w:t>
      </w:r>
      <w:r w:rsidR="001D7F9D" w:rsidRPr="00BC5876">
        <w:rPr>
          <w:rFonts w:ascii="Verdana" w:hAnsi="Verdana"/>
          <w:sz w:val="20"/>
          <w:szCs w:val="20"/>
        </w:rPr>
        <w:t xml:space="preserve"> the link between</w:t>
      </w:r>
      <w:r w:rsidR="00CC544B" w:rsidRPr="00BC5876">
        <w:rPr>
          <w:rFonts w:ascii="Verdana" w:hAnsi="Verdana"/>
          <w:sz w:val="20"/>
          <w:szCs w:val="20"/>
        </w:rPr>
        <w:t xml:space="preserve"> subdued inflation </w:t>
      </w:r>
      <w:r w:rsidR="001D7F9D" w:rsidRPr="00BC5876">
        <w:rPr>
          <w:rFonts w:ascii="Verdana" w:hAnsi="Verdana"/>
          <w:sz w:val="20"/>
          <w:szCs w:val="20"/>
        </w:rPr>
        <w:t>and its decision</w:t>
      </w:r>
      <w:r w:rsidR="00FA4EA3" w:rsidRPr="00BC5876">
        <w:rPr>
          <w:rFonts w:ascii="Verdana" w:hAnsi="Verdana"/>
          <w:sz w:val="20"/>
          <w:szCs w:val="20"/>
        </w:rPr>
        <w:t xml:space="preserve"> about the magnitude by which to increase the NMW</w:t>
      </w:r>
      <w:r w:rsidR="001D7F9D" w:rsidRPr="00BC5876">
        <w:rPr>
          <w:rFonts w:ascii="Verdana" w:hAnsi="Verdana"/>
          <w:sz w:val="20"/>
          <w:szCs w:val="20"/>
        </w:rPr>
        <w:t xml:space="preserve"> </w:t>
      </w:r>
      <w:r w:rsidR="00CC544B" w:rsidRPr="00BC5876">
        <w:rPr>
          <w:rFonts w:ascii="Verdana" w:hAnsi="Verdana"/>
          <w:sz w:val="20"/>
          <w:szCs w:val="20"/>
        </w:rPr>
        <w:t>have been limited to statements around risk</w:t>
      </w:r>
      <w:r w:rsidRPr="00BC5876">
        <w:rPr>
          <w:rFonts w:ascii="Verdana" w:hAnsi="Verdana"/>
          <w:sz w:val="20"/>
          <w:szCs w:val="20"/>
        </w:rPr>
        <w:t>s</w:t>
      </w:r>
      <w:r w:rsidR="00CC544B" w:rsidRPr="00BC5876">
        <w:rPr>
          <w:rFonts w:ascii="Verdana" w:hAnsi="Verdana"/>
          <w:sz w:val="20"/>
          <w:szCs w:val="20"/>
        </w:rPr>
        <w:t xml:space="preserve"> to the macroeconomic inflationary environment.</w:t>
      </w:r>
      <w:r w:rsidR="00CC544B" w:rsidRPr="00BC5876">
        <w:rPr>
          <w:rStyle w:val="FootnoteReference"/>
          <w:rFonts w:ascii="Verdana" w:hAnsi="Verdana"/>
          <w:sz w:val="20"/>
          <w:szCs w:val="20"/>
        </w:rPr>
        <w:footnoteReference w:id="8"/>
      </w:r>
      <w:r w:rsidR="00CC544B" w:rsidRPr="00BC5876">
        <w:rPr>
          <w:rFonts w:ascii="Verdana" w:hAnsi="Verdana"/>
          <w:sz w:val="20"/>
          <w:szCs w:val="20"/>
        </w:rPr>
        <w:t xml:space="preserve">  While the Panel has foreshadowed the real impacts of minimum wage increases awarded,</w:t>
      </w:r>
      <w:r w:rsidR="00905FA3" w:rsidRPr="00BC5876">
        <w:rPr>
          <w:rStyle w:val="FootnoteReference"/>
          <w:rFonts w:ascii="Verdana" w:hAnsi="Verdana"/>
          <w:sz w:val="20"/>
          <w:szCs w:val="20"/>
        </w:rPr>
        <w:footnoteReference w:id="9"/>
      </w:r>
      <w:r w:rsidR="00CC544B" w:rsidRPr="00BC5876">
        <w:rPr>
          <w:rFonts w:ascii="Verdana" w:hAnsi="Verdana"/>
          <w:sz w:val="20"/>
          <w:szCs w:val="20"/>
        </w:rPr>
        <w:t xml:space="preserve"> this has not come with any </w:t>
      </w:r>
      <w:r w:rsidR="007C10CA" w:rsidRPr="00BC5876">
        <w:rPr>
          <w:rFonts w:ascii="Verdana" w:hAnsi="Verdana"/>
          <w:sz w:val="20"/>
        </w:rPr>
        <w:t xml:space="preserve">significant </w:t>
      </w:r>
      <w:r w:rsidR="00CC544B" w:rsidRPr="00BC5876">
        <w:rPr>
          <w:rFonts w:ascii="Verdana" w:hAnsi="Verdana"/>
          <w:sz w:val="20"/>
        </w:rPr>
        <w:t xml:space="preserve">discussion </w:t>
      </w:r>
      <w:r w:rsidR="007C10CA" w:rsidRPr="00BC5876">
        <w:rPr>
          <w:rFonts w:ascii="Verdana" w:hAnsi="Verdana"/>
          <w:sz w:val="20"/>
        </w:rPr>
        <w:t>about</w:t>
      </w:r>
      <w:r w:rsidR="00CC544B" w:rsidRPr="00BC5876">
        <w:rPr>
          <w:rFonts w:ascii="Verdana" w:hAnsi="Verdana"/>
          <w:sz w:val="20"/>
          <w:szCs w:val="20"/>
        </w:rPr>
        <w:t xml:space="preserve"> how it might have acted </w:t>
      </w:r>
      <w:r w:rsidR="001D7F9D" w:rsidRPr="00BC5876">
        <w:rPr>
          <w:rFonts w:ascii="Verdana" w:hAnsi="Verdana"/>
          <w:sz w:val="20"/>
          <w:szCs w:val="20"/>
        </w:rPr>
        <w:t xml:space="preserve">in </w:t>
      </w:r>
      <w:r w:rsidR="007C10CA" w:rsidRPr="00BC5876">
        <w:rPr>
          <w:rFonts w:ascii="Verdana" w:hAnsi="Verdana"/>
          <w:sz w:val="20"/>
          <w:szCs w:val="20"/>
        </w:rPr>
        <w:t>different</w:t>
      </w:r>
      <w:r w:rsidR="001D7F9D" w:rsidRPr="00BC5876">
        <w:rPr>
          <w:rFonts w:ascii="Verdana" w:hAnsi="Verdana"/>
          <w:sz w:val="20"/>
          <w:szCs w:val="20"/>
        </w:rPr>
        <w:t xml:space="preserve"> circumstances</w:t>
      </w:r>
      <w:r w:rsidR="00CC544B" w:rsidRPr="00BC5876">
        <w:rPr>
          <w:rFonts w:ascii="Verdana" w:hAnsi="Verdana"/>
          <w:sz w:val="20"/>
          <w:szCs w:val="20"/>
        </w:rPr>
        <w:t>.</w:t>
      </w:r>
      <w:r w:rsidRPr="00BC5876">
        <w:rPr>
          <w:rFonts w:ascii="Verdana" w:hAnsi="Verdana"/>
          <w:sz w:val="20"/>
          <w:szCs w:val="20"/>
        </w:rPr>
        <w:t xml:space="preserve">  </w:t>
      </w:r>
      <w:r w:rsidR="00FA4EA3" w:rsidRPr="00BC5876">
        <w:rPr>
          <w:rFonts w:ascii="Verdana" w:hAnsi="Verdana"/>
          <w:sz w:val="20"/>
          <w:szCs w:val="20"/>
        </w:rPr>
        <w:t>This is particularly striking because last year’s increase was the largest increase since 2011 when the Panel awarded a 3.4 per cent increase at time wh</w:t>
      </w:r>
      <w:r w:rsidR="007E5663" w:rsidRPr="00BC5876">
        <w:rPr>
          <w:rFonts w:ascii="Verdana" w:hAnsi="Verdana"/>
          <w:sz w:val="20"/>
          <w:szCs w:val="20"/>
        </w:rPr>
        <w:t xml:space="preserve">en </w:t>
      </w:r>
      <w:r w:rsidR="00FA4EA3" w:rsidRPr="00BC5876">
        <w:rPr>
          <w:rFonts w:ascii="Verdana" w:hAnsi="Verdana"/>
          <w:sz w:val="20"/>
          <w:szCs w:val="20"/>
        </w:rPr>
        <w:t>inflation was 3.3 per cent</w:t>
      </w:r>
      <w:r w:rsidR="00755FAC" w:rsidRPr="00BC5876">
        <w:rPr>
          <w:rFonts w:ascii="Verdana" w:hAnsi="Verdana"/>
          <w:sz w:val="20"/>
          <w:szCs w:val="20"/>
        </w:rPr>
        <w:t xml:space="preserve"> — far higher than today</w:t>
      </w:r>
      <w:r w:rsidR="00BC5876">
        <w:rPr>
          <w:rFonts w:ascii="Verdana" w:hAnsi="Verdana"/>
          <w:sz w:val="20"/>
          <w:szCs w:val="20"/>
        </w:rPr>
        <w:t>.</w:t>
      </w:r>
    </w:p>
    <w:p w:rsidR="002F7BB1" w:rsidRDefault="002F7BB1">
      <w:pPr>
        <w:rPr>
          <w:rStyle w:val="Heading1Char"/>
        </w:rPr>
      </w:pPr>
      <w:r>
        <w:rPr>
          <w:rStyle w:val="Heading1Char"/>
        </w:rPr>
        <w:br w:type="page"/>
      </w:r>
    </w:p>
    <w:p w:rsidR="008743C1" w:rsidRPr="002D2940" w:rsidRDefault="00FF078B" w:rsidP="00060CB6">
      <w:pPr>
        <w:rPr>
          <w:rStyle w:val="Heading1Char"/>
        </w:rPr>
      </w:pPr>
      <w:r>
        <w:rPr>
          <w:rStyle w:val="Heading1Char"/>
        </w:rPr>
        <w:lastRenderedPageBreak/>
        <w:t>Part II</w:t>
      </w:r>
      <w:r w:rsidR="00F85003">
        <w:rPr>
          <w:rStyle w:val="Heading1Char"/>
        </w:rPr>
        <w:t>I</w:t>
      </w:r>
      <w:r>
        <w:rPr>
          <w:rStyle w:val="Heading1Char"/>
        </w:rPr>
        <w:t xml:space="preserve"> </w:t>
      </w:r>
      <w:r w:rsidR="00F85003">
        <w:rPr>
          <w:rStyle w:val="Heading1Char"/>
        </w:rPr>
        <w:t>—</w:t>
      </w:r>
      <w:r>
        <w:rPr>
          <w:rStyle w:val="Heading1Char"/>
        </w:rPr>
        <w:t xml:space="preserve"> </w:t>
      </w:r>
      <w:r w:rsidR="008743C1" w:rsidRPr="002D2940">
        <w:rPr>
          <w:rStyle w:val="Heading1Char"/>
        </w:rPr>
        <w:t>The economic context of the 201</w:t>
      </w:r>
      <w:r w:rsidR="00540A18">
        <w:rPr>
          <w:rStyle w:val="Heading1Char"/>
        </w:rPr>
        <w:t>7</w:t>
      </w:r>
      <w:r w:rsidR="00367BEE">
        <w:rPr>
          <w:rStyle w:val="Heading1Char"/>
        </w:rPr>
        <w:noBreakHyphen/>
      </w:r>
      <w:r w:rsidR="008743C1" w:rsidRPr="002D2940">
        <w:rPr>
          <w:rStyle w:val="Heading1Char"/>
        </w:rPr>
        <w:t>1</w:t>
      </w:r>
      <w:r w:rsidR="00540A18">
        <w:rPr>
          <w:rStyle w:val="Heading1Char"/>
        </w:rPr>
        <w:t>8</w:t>
      </w:r>
      <w:r w:rsidR="008743C1" w:rsidRPr="002D2940">
        <w:rPr>
          <w:rStyle w:val="Heading1Char"/>
        </w:rPr>
        <w:t xml:space="preserve"> decision </w:t>
      </w:r>
    </w:p>
    <w:p w:rsidR="001E425A" w:rsidRPr="006C5498" w:rsidRDefault="00144BA4" w:rsidP="00144BA4">
      <w:pPr>
        <w:rPr>
          <w:rFonts w:ascii="Verdana" w:hAnsi="Verdana"/>
          <w:sz w:val="20"/>
          <w:szCs w:val="20"/>
        </w:rPr>
      </w:pPr>
      <w:r w:rsidRPr="00F87321">
        <w:rPr>
          <w:rFonts w:ascii="Verdana" w:hAnsi="Verdana"/>
          <w:sz w:val="20"/>
          <w:szCs w:val="20"/>
        </w:rPr>
        <w:t>Distilling the range of factors that must be considered by the Panel into a simple and clear strategy for approaching AWR decisions is no</w:t>
      </w:r>
      <w:r>
        <w:rPr>
          <w:rFonts w:ascii="Verdana" w:hAnsi="Verdana"/>
          <w:sz w:val="20"/>
          <w:szCs w:val="20"/>
        </w:rPr>
        <w:t>t an</w:t>
      </w:r>
      <w:r w:rsidRPr="00F87321">
        <w:rPr>
          <w:rFonts w:ascii="Verdana" w:hAnsi="Verdana"/>
          <w:sz w:val="20"/>
          <w:szCs w:val="20"/>
        </w:rPr>
        <w:t xml:space="preserve"> easy exercise</w:t>
      </w:r>
      <w:r>
        <w:rPr>
          <w:rFonts w:ascii="Verdana" w:hAnsi="Verdana"/>
          <w:sz w:val="20"/>
          <w:szCs w:val="20"/>
        </w:rPr>
        <w:t>.  T</w:t>
      </w:r>
      <w:r w:rsidRPr="00F87321">
        <w:rPr>
          <w:rFonts w:ascii="Verdana" w:hAnsi="Verdana"/>
          <w:sz w:val="20"/>
          <w:szCs w:val="20"/>
        </w:rPr>
        <w:t xml:space="preserve">he </w:t>
      </w:r>
      <w:r>
        <w:rPr>
          <w:rFonts w:ascii="Verdana" w:hAnsi="Verdana"/>
          <w:sz w:val="20"/>
          <w:szCs w:val="20"/>
        </w:rPr>
        <w:t xml:space="preserve">Act requires the </w:t>
      </w:r>
      <w:r w:rsidRPr="00F87321">
        <w:rPr>
          <w:rFonts w:ascii="Verdana" w:hAnsi="Verdana"/>
          <w:sz w:val="20"/>
          <w:szCs w:val="20"/>
        </w:rPr>
        <w:t xml:space="preserve">Panel </w:t>
      </w:r>
      <w:r>
        <w:rPr>
          <w:rFonts w:ascii="Verdana" w:hAnsi="Verdana"/>
          <w:sz w:val="20"/>
          <w:szCs w:val="20"/>
        </w:rPr>
        <w:t xml:space="preserve">to </w:t>
      </w:r>
      <w:r w:rsidRPr="00F87321">
        <w:rPr>
          <w:rFonts w:ascii="Verdana" w:hAnsi="Verdana"/>
          <w:sz w:val="20"/>
          <w:szCs w:val="20"/>
        </w:rPr>
        <w:t xml:space="preserve">weigh up the trade-offs presented by the </w:t>
      </w:r>
      <w:r>
        <w:rPr>
          <w:rFonts w:ascii="Verdana" w:hAnsi="Verdana"/>
          <w:sz w:val="20"/>
          <w:szCs w:val="20"/>
        </w:rPr>
        <w:t xml:space="preserve">inherent tensions in the </w:t>
      </w:r>
      <w:r w:rsidRPr="00F87321">
        <w:rPr>
          <w:rFonts w:ascii="Verdana" w:hAnsi="Verdana"/>
          <w:sz w:val="20"/>
          <w:szCs w:val="20"/>
        </w:rPr>
        <w:t>statutory factors that it must take into account</w:t>
      </w:r>
      <w:r>
        <w:rPr>
          <w:rFonts w:ascii="Verdana" w:hAnsi="Verdana"/>
          <w:sz w:val="20"/>
          <w:szCs w:val="20"/>
        </w:rPr>
        <w:t>.</w:t>
      </w:r>
      <w:r w:rsidRPr="00F87321">
        <w:rPr>
          <w:rFonts w:ascii="Verdana" w:hAnsi="Verdana"/>
          <w:sz w:val="20"/>
          <w:szCs w:val="20"/>
        </w:rPr>
        <w:t xml:space="preserve"> </w:t>
      </w:r>
      <w:r w:rsidR="006C5498">
        <w:rPr>
          <w:rFonts w:ascii="Verdana" w:hAnsi="Verdana"/>
          <w:sz w:val="20"/>
          <w:szCs w:val="20"/>
        </w:rPr>
        <w:t xml:space="preserve"> </w:t>
      </w:r>
    </w:p>
    <w:p w:rsidR="009072C8" w:rsidRDefault="00144BA4" w:rsidP="00E460B3">
      <w:pPr>
        <w:spacing w:before="100" w:beforeAutospacing="1" w:after="100" w:afterAutospacing="1"/>
        <w:rPr>
          <w:rFonts w:ascii="Verdana" w:eastAsia="Times New Roman" w:hAnsi="Verdana" w:cs="Times New Roman"/>
          <w:color w:val="000000"/>
          <w:sz w:val="20"/>
          <w:szCs w:val="20"/>
          <w:lang w:eastAsia="en-AU"/>
        </w:rPr>
      </w:pPr>
      <w:r>
        <w:rPr>
          <w:rFonts w:ascii="Verdana" w:hAnsi="Verdana"/>
          <w:sz w:val="20"/>
          <w:szCs w:val="20"/>
        </w:rPr>
        <w:t>ABI proposed</w:t>
      </w:r>
      <w:r w:rsidR="00C5286B">
        <w:rPr>
          <w:rFonts w:ascii="Verdana" w:hAnsi="Verdana"/>
          <w:sz w:val="20"/>
          <w:szCs w:val="20"/>
        </w:rPr>
        <w:t>,</w:t>
      </w:r>
      <w:r>
        <w:rPr>
          <w:rFonts w:ascii="Verdana" w:hAnsi="Verdana"/>
          <w:sz w:val="20"/>
          <w:szCs w:val="20"/>
        </w:rPr>
        <w:t xml:space="preserve"> in its submission</w:t>
      </w:r>
      <w:r w:rsidR="00FC0DEA">
        <w:rPr>
          <w:rFonts w:ascii="Verdana" w:hAnsi="Verdana"/>
          <w:sz w:val="20"/>
          <w:szCs w:val="20"/>
        </w:rPr>
        <w:t>s</w:t>
      </w:r>
      <w:r>
        <w:rPr>
          <w:rFonts w:ascii="Verdana" w:hAnsi="Verdana"/>
          <w:sz w:val="20"/>
          <w:szCs w:val="20"/>
        </w:rPr>
        <w:t xml:space="preserve"> to the 2015-16 </w:t>
      </w:r>
      <w:r w:rsidR="00FC0DEA">
        <w:rPr>
          <w:rFonts w:ascii="Verdana" w:hAnsi="Verdana"/>
          <w:sz w:val="20"/>
          <w:szCs w:val="20"/>
        </w:rPr>
        <w:t xml:space="preserve">and 2016-17 </w:t>
      </w:r>
      <w:r>
        <w:rPr>
          <w:rFonts w:ascii="Verdana" w:hAnsi="Verdana"/>
          <w:sz w:val="20"/>
          <w:szCs w:val="20"/>
        </w:rPr>
        <w:t>review</w:t>
      </w:r>
      <w:r w:rsidR="00FC0DEA">
        <w:rPr>
          <w:rFonts w:ascii="Verdana" w:hAnsi="Verdana"/>
          <w:sz w:val="20"/>
          <w:szCs w:val="20"/>
        </w:rPr>
        <w:t>s</w:t>
      </w:r>
      <w:r>
        <w:rPr>
          <w:rFonts w:ascii="Verdana" w:hAnsi="Verdana"/>
          <w:sz w:val="20"/>
          <w:szCs w:val="20"/>
        </w:rPr>
        <w:t>,</w:t>
      </w:r>
      <w:r w:rsidR="00C5286B">
        <w:rPr>
          <w:rFonts w:ascii="Verdana" w:hAnsi="Verdana"/>
          <w:sz w:val="20"/>
          <w:szCs w:val="20"/>
        </w:rPr>
        <w:t xml:space="preserve"> that</w:t>
      </w:r>
      <w:r>
        <w:rPr>
          <w:rFonts w:ascii="Verdana" w:hAnsi="Verdana"/>
          <w:sz w:val="20"/>
          <w:szCs w:val="20"/>
        </w:rPr>
        <w:t xml:space="preserve"> </w:t>
      </w:r>
      <w:r w:rsidRPr="00E2465B">
        <w:rPr>
          <w:rFonts w:ascii="Verdana" w:hAnsi="Verdana"/>
          <w:sz w:val="20"/>
          <w:szCs w:val="20"/>
        </w:rPr>
        <w:t xml:space="preserve">a reasonable starting point might be to compare contemporary economic indicators with the available data at the time of the </w:t>
      </w:r>
      <w:r>
        <w:rPr>
          <w:rFonts w:ascii="Verdana" w:hAnsi="Verdana"/>
          <w:sz w:val="20"/>
          <w:szCs w:val="20"/>
        </w:rPr>
        <w:t>previous decision</w:t>
      </w:r>
      <w:r w:rsidRPr="00E2465B">
        <w:rPr>
          <w:rFonts w:ascii="Verdana" w:hAnsi="Verdana"/>
          <w:sz w:val="20"/>
          <w:szCs w:val="20"/>
        </w:rPr>
        <w:t>.</w:t>
      </w:r>
      <w:r w:rsidR="00B17BC8">
        <w:rPr>
          <w:rStyle w:val="FootnoteReference"/>
          <w:rFonts w:ascii="Verdana" w:hAnsi="Verdana"/>
          <w:sz w:val="20"/>
          <w:szCs w:val="20"/>
        </w:rPr>
        <w:footnoteReference w:id="10"/>
      </w:r>
      <w:r w:rsidRPr="00E2465B">
        <w:rPr>
          <w:rFonts w:ascii="Verdana" w:hAnsi="Verdana"/>
          <w:sz w:val="20"/>
          <w:szCs w:val="20"/>
        </w:rPr>
        <w:t xml:space="preserve">  </w:t>
      </w:r>
      <w:r w:rsidR="00E460B3">
        <w:rPr>
          <w:rFonts w:ascii="Verdana" w:hAnsi="Verdana"/>
          <w:sz w:val="20"/>
          <w:szCs w:val="20"/>
        </w:rPr>
        <w:t xml:space="preserve">This proposition is reinforced by </w:t>
      </w:r>
      <w:r w:rsidR="00E460B3" w:rsidRPr="00E2465B">
        <w:rPr>
          <w:rFonts w:ascii="Verdana" w:hAnsi="Verdana"/>
          <w:sz w:val="20"/>
          <w:szCs w:val="20"/>
        </w:rPr>
        <w:t xml:space="preserve">the Panel’s </w:t>
      </w:r>
      <w:r w:rsidR="00E460B3">
        <w:rPr>
          <w:rFonts w:ascii="Verdana" w:hAnsi="Verdana"/>
          <w:sz w:val="20"/>
          <w:szCs w:val="20"/>
        </w:rPr>
        <w:t xml:space="preserve">earlier </w:t>
      </w:r>
      <w:r w:rsidR="00E460B3" w:rsidRPr="00E2465B">
        <w:rPr>
          <w:rFonts w:ascii="Verdana" w:hAnsi="Verdana"/>
          <w:sz w:val="20"/>
          <w:szCs w:val="20"/>
        </w:rPr>
        <w:t xml:space="preserve">confirmation </w:t>
      </w:r>
      <w:r w:rsidR="00E460B3">
        <w:rPr>
          <w:rFonts w:ascii="Verdana" w:hAnsi="Verdana"/>
          <w:sz w:val="20"/>
          <w:szCs w:val="20"/>
        </w:rPr>
        <w:t xml:space="preserve">that </w:t>
      </w:r>
      <w:r w:rsidR="00E460B3">
        <w:rPr>
          <w:rFonts w:ascii="Verdana" w:eastAsia="Times New Roman" w:hAnsi="Verdana" w:cs="Times New Roman"/>
          <w:i/>
          <w:color w:val="000000"/>
          <w:sz w:val="20"/>
          <w:szCs w:val="20"/>
          <w:lang w:eastAsia="en-AU"/>
        </w:rPr>
        <w:t>“…</w:t>
      </w:r>
      <w:r w:rsidR="00E460B3" w:rsidRPr="0036743C">
        <w:rPr>
          <w:rFonts w:ascii="Verdana" w:eastAsia="Times New Roman" w:hAnsi="Verdana" w:cs="Times New Roman"/>
          <w:i/>
          <w:color w:val="000000"/>
          <w:sz w:val="20"/>
          <w:szCs w:val="20"/>
          <w:lang w:eastAsia="en-AU"/>
        </w:rPr>
        <w:t>if there were no change in the relevant considerations from one year to the next then, all other things being equal, a similar outcome would result</w:t>
      </w:r>
      <w:r w:rsidR="00E460B3" w:rsidRPr="000C5F36">
        <w:rPr>
          <w:rFonts w:ascii="Verdana" w:eastAsia="Times New Roman" w:hAnsi="Verdana" w:cs="Times New Roman"/>
          <w:color w:val="000000"/>
          <w:sz w:val="20"/>
          <w:szCs w:val="20"/>
          <w:lang w:eastAsia="en-AU"/>
        </w:rPr>
        <w:t>.</w:t>
      </w:r>
      <w:r w:rsidR="00E460B3">
        <w:rPr>
          <w:rFonts w:ascii="Verdana" w:eastAsia="Times New Roman" w:hAnsi="Verdana" w:cs="Times New Roman"/>
          <w:color w:val="000000"/>
          <w:sz w:val="20"/>
          <w:szCs w:val="20"/>
          <w:lang w:eastAsia="en-AU"/>
        </w:rPr>
        <w:t>”</w:t>
      </w:r>
      <w:r w:rsidR="00E460B3">
        <w:rPr>
          <w:rStyle w:val="FootnoteReference"/>
          <w:rFonts w:ascii="Verdana" w:eastAsia="Times New Roman" w:hAnsi="Verdana" w:cs="Times New Roman"/>
          <w:color w:val="000000"/>
          <w:sz w:val="20"/>
          <w:szCs w:val="20"/>
          <w:lang w:eastAsia="en-AU"/>
        </w:rPr>
        <w:footnoteReference w:id="11"/>
      </w:r>
      <w:r w:rsidR="009072C8">
        <w:rPr>
          <w:rFonts w:ascii="Verdana" w:eastAsia="Times New Roman" w:hAnsi="Verdana" w:cs="Times New Roman"/>
          <w:color w:val="000000"/>
          <w:sz w:val="20"/>
          <w:szCs w:val="20"/>
          <w:lang w:eastAsia="en-AU"/>
        </w:rPr>
        <w:t xml:space="preserve">  The Panel has subsequently restated this approach.  </w:t>
      </w:r>
    </w:p>
    <w:p w:rsidR="00E460B3" w:rsidRPr="002F7BB1" w:rsidRDefault="009072C8" w:rsidP="009072C8">
      <w:pPr>
        <w:spacing w:before="100" w:beforeAutospacing="1" w:after="100" w:afterAutospacing="1"/>
        <w:rPr>
          <w:rFonts w:ascii="Verdana" w:eastAsia="Times New Roman" w:hAnsi="Verdana" w:cs="Times New Roman"/>
          <w:color w:val="000000"/>
          <w:sz w:val="20"/>
          <w:szCs w:val="20"/>
          <w:lang w:eastAsia="en-AU"/>
        </w:rPr>
      </w:pPr>
      <w:r>
        <w:rPr>
          <w:rFonts w:ascii="Verdana" w:eastAsia="Times New Roman" w:hAnsi="Verdana" w:cs="Times New Roman"/>
          <w:color w:val="000000"/>
          <w:sz w:val="20"/>
          <w:szCs w:val="20"/>
          <w:lang w:eastAsia="en-AU"/>
        </w:rPr>
        <w:t xml:space="preserve">However, in its 2016-17 decision the </w:t>
      </w:r>
      <w:r w:rsidRPr="002F7BB1">
        <w:rPr>
          <w:rFonts w:ascii="Verdana" w:eastAsia="Times New Roman" w:hAnsi="Verdana" w:cs="Times New Roman"/>
          <w:color w:val="000000"/>
          <w:sz w:val="20"/>
          <w:szCs w:val="20"/>
          <w:lang w:eastAsia="en-AU"/>
        </w:rPr>
        <w:t xml:space="preserve">Panel also said </w:t>
      </w:r>
      <w:r w:rsidRPr="002F7BB1">
        <w:rPr>
          <w:rFonts w:ascii="Verdana" w:hAnsi="Verdana"/>
          <w:color w:val="000000"/>
          <w:sz w:val="20"/>
          <w:szCs w:val="20"/>
        </w:rPr>
        <w:t>“…</w:t>
      </w:r>
      <w:r w:rsidRPr="002F7BB1">
        <w:rPr>
          <w:rFonts w:ascii="Verdana" w:hAnsi="Verdana"/>
          <w:i/>
          <w:color w:val="000000"/>
          <w:sz w:val="20"/>
          <w:szCs w:val="20"/>
        </w:rPr>
        <w:t>In conducting a review, the Panel is engaged in a constant process of evaluating past assumptions and findings on the basis of contemporary data and the available evidence</w:t>
      </w:r>
      <w:r w:rsidRPr="002F7BB1">
        <w:rPr>
          <w:rFonts w:ascii="Verdana" w:hAnsi="Verdana"/>
          <w:color w:val="000000"/>
          <w:sz w:val="20"/>
          <w:szCs w:val="20"/>
        </w:rPr>
        <w:t>.”</w:t>
      </w:r>
      <w:r w:rsidRPr="002F7BB1">
        <w:rPr>
          <w:rStyle w:val="FootnoteReference"/>
          <w:rFonts w:ascii="Verdana" w:hAnsi="Verdana"/>
          <w:color w:val="000000"/>
          <w:sz w:val="20"/>
          <w:szCs w:val="20"/>
        </w:rPr>
        <w:footnoteReference w:id="12"/>
      </w:r>
    </w:p>
    <w:p w:rsidR="009072C8" w:rsidRPr="003422F7" w:rsidRDefault="009072C8" w:rsidP="009072C8">
      <w:pPr>
        <w:jc w:val="both"/>
        <w:rPr>
          <w:rFonts w:ascii="Verdana" w:hAnsi="Verdana"/>
          <w:color w:val="000000"/>
          <w:sz w:val="20"/>
          <w:szCs w:val="20"/>
        </w:rPr>
      </w:pPr>
      <w:r>
        <w:rPr>
          <w:rFonts w:ascii="Verdana" w:hAnsi="Verdana"/>
          <w:sz w:val="20"/>
          <w:szCs w:val="20"/>
        </w:rPr>
        <w:t xml:space="preserve">In its discussion </w:t>
      </w:r>
      <w:r w:rsidRPr="003422F7">
        <w:rPr>
          <w:rFonts w:ascii="Verdana" w:hAnsi="Verdana"/>
          <w:color w:val="000000"/>
          <w:sz w:val="20"/>
          <w:szCs w:val="20"/>
        </w:rPr>
        <w:t>about modest increases the Panel said</w:t>
      </w:r>
    </w:p>
    <w:p w:rsidR="009072C8" w:rsidRPr="002F7BB1" w:rsidRDefault="009072C8" w:rsidP="00E712EC">
      <w:pPr>
        <w:ind w:left="720"/>
        <w:jc w:val="both"/>
        <w:rPr>
          <w:rFonts w:ascii="Verdana" w:hAnsi="Verdana"/>
          <w:i/>
          <w:color w:val="000000"/>
        </w:rPr>
      </w:pPr>
      <w:r w:rsidRPr="002F7BB1">
        <w:rPr>
          <w:rFonts w:ascii="Verdana" w:hAnsi="Verdana"/>
          <w:i/>
          <w:sz w:val="20"/>
        </w:rPr>
        <w:t>Despite some assertions to the contrary, we judge there to be a widespread view that regular, modest increases will have little or no impact on employment but that excessive increases would likely result in losses of jobs and/or hours. This leaves the definition of ‘modest’ and ‘excessive’ as a major issue of contention when considering the appropriate quantum of each year’s decision. It has been accepted that these will vary depending on economic conditions, although the empirical evidence for this belief is not strong. When unemployment is high and rising, smaller increases are seen to be appropriate. In stronger economic conditions, somewhat larger increases have been determined.</w:t>
      </w:r>
      <w:r w:rsidRPr="002F7BB1">
        <w:rPr>
          <w:rStyle w:val="FootnoteReference"/>
          <w:rFonts w:ascii="Verdana" w:hAnsi="Verdana"/>
          <w:i/>
          <w:sz w:val="20"/>
        </w:rPr>
        <w:footnoteReference w:id="13"/>
      </w:r>
      <w:r w:rsidRPr="002F7BB1">
        <w:rPr>
          <w:rFonts w:ascii="Verdana" w:hAnsi="Verdana"/>
          <w:i/>
          <w:color w:val="000000"/>
        </w:rPr>
        <w:t xml:space="preserve"> </w:t>
      </w:r>
    </w:p>
    <w:p w:rsidR="00FC0DEA" w:rsidRDefault="00C5286B" w:rsidP="00B61F49">
      <w:pPr>
        <w:spacing w:before="100" w:beforeAutospacing="1" w:after="100" w:afterAutospacing="1"/>
        <w:rPr>
          <w:rFonts w:ascii="Verdana" w:hAnsi="Verdana"/>
          <w:sz w:val="20"/>
          <w:szCs w:val="20"/>
        </w:rPr>
      </w:pPr>
      <w:r>
        <w:rPr>
          <w:rFonts w:ascii="Verdana" w:hAnsi="Verdana"/>
          <w:sz w:val="20"/>
          <w:szCs w:val="20"/>
        </w:rPr>
        <w:t xml:space="preserve">On this occasion, ABI considers </w:t>
      </w:r>
      <w:r w:rsidR="009072C8">
        <w:rPr>
          <w:rFonts w:ascii="Verdana" w:hAnsi="Verdana"/>
          <w:sz w:val="20"/>
          <w:szCs w:val="20"/>
        </w:rPr>
        <w:t xml:space="preserve">the </w:t>
      </w:r>
      <w:r>
        <w:rPr>
          <w:rFonts w:ascii="Verdana" w:hAnsi="Verdana"/>
          <w:sz w:val="20"/>
          <w:szCs w:val="20"/>
        </w:rPr>
        <w:t xml:space="preserve">approach </w:t>
      </w:r>
      <w:r w:rsidR="009072C8">
        <w:rPr>
          <w:rFonts w:ascii="Verdana" w:hAnsi="Verdana"/>
          <w:sz w:val="20"/>
          <w:szCs w:val="20"/>
        </w:rPr>
        <w:t xml:space="preserve">of identifying differences from the previous year’s prevailing factors </w:t>
      </w:r>
      <w:r w:rsidR="002D2103">
        <w:rPr>
          <w:rFonts w:ascii="Verdana" w:hAnsi="Verdana"/>
          <w:sz w:val="20"/>
          <w:szCs w:val="20"/>
        </w:rPr>
        <w:t xml:space="preserve">is compromised </w:t>
      </w:r>
      <w:r>
        <w:rPr>
          <w:rFonts w:ascii="Verdana" w:hAnsi="Verdana"/>
          <w:sz w:val="20"/>
          <w:szCs w:val="20"/>
        </w:rPr>
        <w:t xml:space="preserve">to a degree </w:t>
      </w:r>
      <w:r w:rsidR="002D2103">
        <w:rPr>
          <w:rFonts w:ascii="Verdana" w:hAnsi="Verdana"/>
          <w:sz w:val="20"/>
          <w:szCs w:val="20"/>
        </w:rPr>
        <w:t xml:space="preserve">because of </w:t>
      </w:r>
      <w:r>
        <w:rPr>
          <w:rFonts w:ascii="Verdana" w:hAnsi="Verdana"/>
          <w:sz w:val="20"/>
          <w:szCs w:val="20"/>
        </w:rPr>
        <w:t>the magnitude of the 2016</w:t>
      </w:r>
      <w:r w:rsidR="00AE32C0">
        <w:rPr>
          <w:rFonts w:ascii="Verdana" w:hAnsi="Verdana"/>
          <w:sz w:val="20"/>
          <w:szCs w:val="20"/>
        </w:rPr>
        <w:noBreakHyphen/>
      </w:r>
      <w:r>
        <w:rPr>
          <w:rFonts w:ascii="Verdana" w:hAnsi="Verdana"/>
          <w:sz w:val="20"/>
          <w:szCs w:val="20"/>
        </w:rPr>
        <w:t>17 AWR decision</w:t>
      </w:r>
      <w:r w:rsidR="002D2103">
        <w:rPr>
          <w:rFonts w:ascii="Verdana" w:hAnsi="Verdana"/>
          <w:sz w:val="20"/>
          <w:szCs w:val="20"/>
        </w:rPr>
        <w:t xml:space="preserve"> and the shift in analysis</w:t>
      </w:r>
      <w:r>
        <w:rPr>
          <w:rFonts w:ascii="Verdana" w:hAnsi="Verdana"/>
          <w:sz w:val="20"/>
          <w:szCs w:val="20"/>
        </w:rPr>
        <w:t xml:space="preserve">.  Specifically, ABI’s starting proposition is that the magnitude of the 2016-17 review did not sit consistently with the prevailing economic conditions at the time.  </w:t>
      </w:r>
    </w:p>
    <w:p w:rsidR="00867E08" w:rsidRDefault="008709AF" w:rsidP="0036743C">
      <w:pPr>
        <w:rPr>
          <w:rFonts w:ascii="Verdana" w:hAnsi="Verdana"/>
          <w:sz w:val="20"/>
          <w:szCs w:val="20"/>
        </w:rPr>
      </w:pPr>
      <w:r>
        <w:rPr>
          <w:rFonts w:ascii="Verdana" w:hAnsi="Verdana"/>
          <w:sz w:val="20"/>
          <w:szCs w:val="20"/>
        </w:rPr>
        <w:lastRenderedPageBreak/>
        <w:t xml:space="preserve">Nonetheless, ABI seeks to </w:t>
      </w:r>
      <w:r w:rsidR="00EF3646">
        <w:rPr>
          <w:rFonts w:ascii="Verdana" w:hAnsi="Verdana"/>
          <w:sz w:val="20"/>
          <w:szCs w:val="20"/>
        </w:rPr>
        <w:t>provide a foundation for</w:t>
      </w:r>
      <w:r>
        <w:rPr>
          <w:rFonts w:ascii="Verdana" w:hAnsi="Verdana"/>
          <w:sz w:val="20"/>
          <w:szCs w:val="20"/>
        </w:rPr>
        <w:t xml:space="preserve"> this submission by </w:t>
      </w:r>
      <w:r w:rsidR="007F7DA5">
        <w:rPr>
          <w:rFonts w:ascii="Verdana" w:hAnsi="Verdana"/>
          <w:sz w:val="20"/>
          <w:szCs w:val="20"/>
        </w:rPr>
        <w:t>examining broader economic trends with</w:t>
      </w:r>
      <w:r w:rsidR="00BB19B2">
        <w:rPr>
          <w:rFonts w:ascii="Verdana" w:hAnsi="Verdana"/>
          <w:sz w:val="20"/>
          <w:szCs w:val="20"/>
        </w:rPr>
        <w:t>in the context of where they were</w:t>
      </w:r>
      <w:r w:rsidR="007F7DA5">
        <w:rPr>
          <w:rFonts w:ascii="Verdana" w:hAnsi="Verdana"/>
          <w:sz w:val="20"/>
          <w:szCs w:val="20"/>
        </w:rPr>
        <w:t xml:space="preserve"> at the time of last year’s decision.</w:t>
      </w:r>
    </w:p>
    <w:p w:rsidR="004A058C" w:rsidRDefault="00175AC4" w:rsidP="0036743C">
      <w:pPr>
        <w:rPr>
          <w:rFonts w:ascii="Verdana" w:hAnsi="Verdana"/>
          <w:sz w:val="20"/>
          <w:szCs w:val="20"/>
        </w:rPr>
      </w:pPr>
      <w:r>
        <w:rPr>
          <w:rFonts w:ascii="Verdana" w:hAnsi="Verdana"/>
          <w:sz w:val="20"/>
          <w:szCs w:val="20"/>
        </w:rPr>
        <w:t>As is usually the case</w:t>
      </w:r>
      <w:r w:rsidR="000A206C">
        <w:rPr>
          <w:rFonts w:ascii="Verdana" w:hAnsi="Verdana"/>
          <w:sz w:val="20"/>
          <w:szCs w:val="20"/>
        </w:rPr>
        <w:t>,</w:t>
      </w:r>
      <w:r>
        <w:rPr>
          <w:rFonts w:ascii="Verdana" w:hAnsi="Verdana"/>
          <w:sz w:val="20"/>
          <w:szCs w:val="20"/>
        </w:rPr>
        <w:t xml:space="preserve"> some macroeconomic indicators become favourable relative to the previous year’s decision while others become less favourable.  </w:t>
      </w:r>
      <w:r w:rsidR="00E2465B" w:rsidRPr="002D2940">
        <w:rPr>
          <w:rFonts w:ascii="Verdana" w:hAnsi="Verdana"/>
          <w:sz w:val="20"/>
          <w:szCs w:val="20"/>
        </w:rPr>
        <w:t>Table 1</w:t>
      </w:r>
      <w:r w:rsidR="00E2465B" w:rsidRPr="00175AC4">
        <w:rPr>
          <w:rFonts w:ascii="Verdana" w:hAnsi="Verdana"/>
          <w:sz w:val="20"/>
          <w:szCs w:val="20"/>
        </w:rPr>
        <w:t xml:space="preserve"> benchmarks a range of contemporary macroeconomic indicators against </w:t>
      </w:r>
      <w:r w:rsidR="007F7DA5">
        <w:rPr>
          <w:rFonts w:ascii="Verdana" w:hAnsi="Verdana"/>
          <w:sz w:val="20"/>
          <w:szCs w:val="20"/>
        </w:rPr>
        <w:t xml:space="preserve">where they </w:t>
      </w:r>
      <w:r w:rsidR="009A6E93">
        <w:rPr>
          <w:rFonts w:ascii="Verdana" w:hAnsi="Verdana"/>
          <w:sz w:val="20"/>
          <w:szCs w:val="20"/>
        </w:rPr>
        <w:t>were at</w:t>
      </w:r>
      <w:r w:rsidR="007F7DA5">
        <w:rPr>
          <w:rFonts w:ascii="Verdana" w:hAnsi="Verdana"/>
          <w:sz w:val="20"/>
          <w:szCs w:val="20"/>
        </w:rPr>
        <w:t xml:space="preserve"> the time of </w:t>
      </w:r>
      <w:r w:rsidR="00E2465B" w:rsidRPr="00175AC4">
        <w:rPr>
          <w:rFonts w:ascii="Verdana" w:hAnsi="Verdana"/>
          <w:sz w:val="20"/>
          <w:szCs w:val="20"/>
        </w:rPr>
        <w:t xml:space="preserve">the </w:t>
      </w:r>
      <w:r w:rsidR="007F7DA5">
        <w:rPr>
          <w:rFonts w:ascii="Verdana" w:hAnsi="Verdana"/>
          <w:sz w:val="20"/>
          <w:szCs w:val="20"/>
        </w:rPr>
        <w:t>6</w:t>
      </w:r>
      <w:r w:rsidR="009A6E93">
        <w:rPr>
          <w:rFonts w:ascii="Verdana" w:hAnsi="Verdana"/>
          <w:sz w:val="20"/>
          <w:szCs w:val="20"/>
        </w:rPr>
        <w:t> </w:t>
      </w:r>
      <w:r w:rsidR="007F7DA5">
        <w:rPr>
          <w:rFonts w:ascii="Verdana" w:hAnsi="Verdana"/>
          <w:sz w:val="20"/>
          <w:szCs w:val="20"/>
        </w:rPr>
        <w:t>June</w:t>
      </w:r>
      <w:r w:rsidR="009A6E93">
        <w:rPr>
          <w:rFonts w:ascii="Verdana" w:hAnsi="Verdana"/>
          <w:sz w:val="20"/>
          <w:szCs w:val="20"/>
        </w:rPr>
        <w:t> </w:t>
      </w:r>
      <w:r w:rsidR="00E2465B" w:rsidRPr="00175AC4">
        <w:rPr>
          <w:rFonts w:ascii="Verdana" w:hAnsi="Verdana"/>
          <w:sz w:val="20"/>
          <w:szCs w:val="20"/>
        </w:rPr>
        <w:t>201</w:t>
      </w:r>
      <w:r w:rsidR="007F7DA5">
        <w:rPr>
          <w:rFonts w:ascii="Verdana" w:hAnsi="Verdana"/>
          <w:sz w:val="20"/>
          <w:szCs w:val="20"/>
        </w:rPr>
        <w:t>7</w:t>
      </w:r>
      <w:r w:rsidR="00E2465B" w:rsidRPr="00175AC4">
        <w:rPr>
          <w:rFonts w:ascii="Verdana" w:hAnsi="Verdana"/>
          <w:sz w:val="20"/>
          <w:szCs w:val="20"/>
        </w:rPr>
        <w:t xml:space="preserve"> decision.  </w:t>
      </w:r>
    </w:p>
    <w:p w:rsidR="00DD4495" w:rsidRPr="002D2940" w:rsidRDefault="00DD4495" w:rsidP="002D2940">
      <w:pPr>
        <w:jc w:val="center"/>
        <w:rPr>
          <w:rFonts w:ascii="Verdana" w:eastAsiaTheme="majorEastAsia" w:hAnsi="Verdana" w:cstheme="majorBidi"/>
          <w:b/>
          <w:iCs/>
          <w:spacing w:val="15"/>
          <w:sz w:val="16"/>
          <w:szCs w:val="16"/>
        </w:rPr>
      </w:pPr>
      <w:r w:rsidRPr="002D2940">
        <w:rPr>
          <w:rFonts w:ascii="Verdana" w:eastAsiaTheme="majorEastAsia" w:hAnsi="Verdana" w:cstheme="majorBidi"/>
          <w:b/>
          <w:iCs/>
          <w:spacing w:val="15"/>
          <w:sz w:val="16"/>
          <w:szCs w:val="16"/>
        </w:rPr>
        <w:t>Table 1 - Summary of selected macroeconomic indicators</w:t>
      </w:r>
    </w:p>
    <w:tbl>
      <w:tblPr>
        <w:tblStyle w:val="TableGrid5"/>
        <w:tblW w:w="9154" w:type="dxa"/>
        <w:tblLook w:val="04A0" w:firstRow="1" w:lastRow="0" w:firstColumn="1" w:lastColumn="0" w:noHBand="0" w:noVBand="1"/>
      </w:tblPr>
      <w:tblGrid>
        <w:gridCol w:w="5405"/>
        <w:gridCol w:w="1933"/>
        <w:gridCol w:w="1816"/>
      </w:tblGrid>
      <w:tr w:rsidR="00812B00" w:rsidRPr="008F42EC" w:rsidTr="009816F2">
        <w:tc>
          <w:tcPr>
            <w:tcW w:w="5405" w:type="dxa"/>
            <w:shd w:val="clear" w:color="auto" w:fill="E36C0A" w:themeFill="accent6" w:themeFillShade="BF"/>
          </w:tcPr>
          <w:p w:rsidR="00812B00" w:rsidRPr="00AC595F" w:rsidRDefault="00812B00" w:rsidP="00812B00">
            <w:pPr>
              <w:rPr>
                <w:b/>
                <w:color w:val="FFFFFF" w:themeColor="background1"/>
              </w:rPr>
            </w:pPr>
            <w:r w:rsidRPr="00AC595F">
              <w:rPr>
                <w:b/>
                <w:color w:val="FFFFFF" w:themeColor="background1"/>
              </w:rPr>
              <w:t>Indicator</w:t>
            </w:r>
          </w:p>
        </w:tc>
        <w:tc>
          <w:tcPr>
            <w:tcW w:w="1933" w:type="dxa"/>
            <w:shd w:val="clear" w:color="auto" w:fill="E36C0A" w:themeFill="accent6" w:themeFillShade="BF"/>
          </w:tcPr>
          <w:p w:rsidR="00812B00" w:rsidRPr="00AC595F" w:rsidRDefault="00812B00" w:rsidP="00812B00">
            <w:pPr>
              <w:jc w:val="center"/>
              <w:rPr>
                <w:b/>
                <w:color w:val="FFFFFF" w:themeColor="background1"/>
              </w:rPr>
            </w:pPr>
            <w:r w:rsidRPr="00AC595F">
              <w:rPr>
                <w:b/>
                <w:color w:val="FFFFFF" w:themeColor="background1"/>
              </w:rPr>
              <w:t>201</w:t>
            </w:r>
            <w:r w:rsidR="002D2103">
              <w:rPr>
                <w:b/>
                <w:color w:val="FFFFFF" w:themeColor="background1"/>
              </w:rPr>
              <w:t>7</w:t>
            </w:r>
            <w:r w:rsidRPr="00AC595F">
              <w:rPr>
                <w:b/>
                <w:color w:val="FFFFFF" w:themeColor="background1"/>
              </w:rPr>
              <w:t xml:space="preserve"> decision</w:t>
            </w:r>
          </w:p>
        </w:tc>
        <w:tc>
          <w:tcPr>
            <w:tcW w:w="1816" w:type="dxa"/>
            <w:shd w:val="clear" w:color="auto" w:fill="E36C0A" w:themeFill="accent6" w:themeFillShade="BF"/>
          </w:tcPr>
          <w:p w:rsidR="00812B00" w:rsidRPr="00AC595F" w:rsidRDefault="00812B00" w:rsidP="00812B00">
            <w:pPr>
              <w:jc w:val="center"/>
              <w:rPr>
                <w:b/>
                <w:color w:val="FFFFFF" w:themeColor="background1"/>
              </w:rPr>
            </w:pPr>
            <w:r w:rsidRPr="00AC595F">
              <w:rPr>
                <w:b/>
                <w:color w:val="FFFFFF" w:themeColor="background1"/>
              </w:rPr>
              <w:t>Contemporary</w:t>
            </w:r>
          </w:p>
        </w:tc>
      </w:tr>
      <w:tr w:rsidR="00812B00" w:rsidRPr="008F42EC" w:rsidTr="0097616B">
        <w:tc>
          <w:tcPr>
            <w:tcW w:w="5405" w:type="dxa"/>
          </w:tcPr>
          <w:p w:rsidR="00812B00" w:rsidRPr="00AC595F" w:rsidRDefault="00812B00" w:rsidP="00812B00">
            <w:r w:rsidRPr="00AC595F">
              <w:t>GDP growth (tty)</w:t>
            </w:r>
          </w:p>
          <w:p w:rsidR="00812B00" w:rsidRPr="00AC595F" w:rsidRDefault="00812B00" w:rsidP="00AC595F">
            <w:r w:rsidRPr="00AC595F">
              <w:rPr>
                <w:sz w:val="14"/>
              </w:rPr>
              <w:t>December quarter 201</w:t>
            </w:r>
            <w:r w:rsidR="00802D11" w:rsidRPr="00AC595F">
              <w:rPr>
                <w:sz w:val="14"/>
              </w:rPr>
              <w:t>6</w:t>
            </w:r>
            <w:r w:rsidRPr="00AC595F">
              <w:rPr>
                <w:sz w:val="14"/>
              </w:rPr>
              <w:t xml:space="preserve"> / </w:t>
            </w:r>
            <w:r w:rsidR="00AC595F" w:rsidRPr="00AC595F">
              <w:rPr>
                <w:sz w:val="14"/>
              </w:rPr>
              <w:t>December</w:t>
            </w:r>
            <w:r w:rsidR="00EA1951" w:rsidRPr="00AC595F">
              <w:rPr>
                <w:sz w:val="14"/>
              </w:rPr>
              <w:t xml:space="preserve"> </w:t>
            </w:r>
            <w:r w:rsidRPr="00AC595F">
              <w:rPr>
                <w:sz w:val="14"/>
              </w:rPr>
              <w:t>quarter 201</w:t>
            </w:r>
            <w:r w:rsidR="00EA1951" w:rsidRPr="00AC595F">
              <w:rPr>
                <w:sz w:val="14"/>
              </w:rPr>
              <w:t>7</w:t>
            </w:r>
          </w:p>
        </w:tc>
        <w:tc>
          <w:tcPr>
            <w:tcW w:w="1933" w:type="dxa"/>
          </w:tcPr>
          <w:p w:rsidR="00812B00" w:rsidRPr="00AC595F" w:rsidRDefault="00802D11" w:rsidP="00812B00">
            <w:pPr>
              <w:jc w:val="center"/>
            </w:pPr>
            <w:r w:rsidRPr="00AC595F">
              <w:t>2.4</w:t>
            </w:r>
            <w:r w:rsidR="00812B00" w:rsidRPr="00AC595F">
              <w:t xml:space="preserve"> per cent</w:t>
            </w:r>
          </w:p>
        </w:tc>
        <w:tc>
          <w:tcPr>
            <w:tcW w:w="1816" w:type="dxa"/>
          </w:tcPr>
          <w:p w:rsidR="00812B00" w:rsidRPr="00AC595F" w:rsidRDefault="00EA1951" w:rsidP="00AC595F">
            <w:pPr>
              <w:jc w:val="center"/>
              <w:rPr>
                <w:b/>
              </w:rPr>
            </w:pPr>
            <w:r w:rsidRPr="00AC595F">
              <w:t>2.</w:t>
            </w:r>
            <w:r w:rsidR="00AC595F" w:rsidRPr="00AC595F">
              <w:t>4</w:t>
            </w:r>
            <w:r w:rsidR="00812B00" w:rsidRPr="00AC595F">
              <w:t xml:space="preserve"> per cent</w:t>
            </w:r>
          </w:p>
        </w:tc>
      </w:tr>
      <w:tr w:rsidR="00812B00" w:rsidRPr="008F42EC" w:rsidTr="0097616B">
        <w:tc>
          <w:tcPr>
            <w:tcW w:w="5405" w:type="dxa"/>
          </w:tcPr>
          <w:p w:rsidR="00812B00" w:rsidRPr="008F42EC" w:rsidRDefault="00812B00" w:rsidP="00812B00">
            <w:r w:rsidRPr="008F42EC">
              <w:t>GDP growth forecast (RBA)</w:t>
            </w:r>
          </w:p>
          <w:p w:rsidR="00812B00" w:rsidRPr="008F42EC" w:rsidRDefault="00812B00" w:rsidP="002D2940">
            <w:r w:rsidRPr="008F42EC">
              <w:rPr>
                <w:sz w:val="14"/>
              </w:rPr>
              <w:t>year ending June 201</w:t>
            </w:r>
            <w:r w:rsidR="007B3E4C" w:rsidRPr="008F42EC">
              <w:rPr>
                <w:sz w:val="14"/>
              </w:rPr>
              <w:t>8</w:t>
            </w:r>
            <w:r w:rsidRPr="008F42EC">
              <w:rPr>
                <w:sz w:val="14"/>
              </w:rPr>
              <w:t xml:space="preserve"> / year ending June 201</w:t>
            </w:r>
            <w:r w:rsidR="007B3E4C" w:rsidRPr="008F42EC">
              <w:rPr>
                <w:sz w:val="14"/>
              </w:rPr>
              <w:t>9</w:t>
            </w:r>
          </w:p>
        </w:tc>
        <w:tc>
          <w:tcPr>
            <w:tcW w:w="1933" w:type="dxa"/>
          </w:tcPr>
          <w:p w:rsidR="007B3E4C" w:rsidRPr="008F42EC" w:rsidRDefault="00812B00" w:rsidP="007B3E4C">
            <w:pPr>
              <w:jc w:val="center"/>
            </w:pPr>
            <w:r w:rsidRPr="008F42EC">
              <w:t>2</w:t>
            </w:r>
            <w:r w:rsidR="007B3E4C" w:rsidRPr="008F42EC">
              <w:t>¾</w:t>
            </w:r>
            <w:r w:rsidRPr="008F42EC">
              <w:t>–3</w:t>
            </w:r>
            <w:r w:rsidR="007B3E4C" w:rsidRPr="008F42EC">
              <w:t>¾</w:t>
            </w:r>
          </w:p>
          <w:p w:rsidR="00812B00" w:rsidRPr="008F42EC" w:rsidRDefault="00812B00" w:rsidP="007B3E4C">
            <w:pPr>
              <w:jc w:val="center"/>
            </w:pPr>
            <w:r w:rsidRPr="008F42EC">
              <w:t>per cent</w:t>
            </w:r>
          </w:p>
        </w:tc>
        <w:tc>
          <w:tcPr>
            <w:tcW w:w="1816" w:type="dxa"/>
          </w:tcPr>
          <w:p w:rsidR="00812B00" w:rsidRPr="008F42EC" w:rsidRDefault="00B765D9" w:rsidP="00812B00">
            <w:pPr>
              <w:jc w:val="center"/>
            </w:pPr>
            <w:r w:rsidRPr="008F42EC">
              <w:t>3</w:t>
            </w:r>
            <w:r w:rsidR="000A206C">
              <w:t>.5</w:t>
            </w:r>
          </w:p>
          <w:p w:rsidR="00812B00" w:rsidRPr="008F42EC" w:rsidRDefault="00812B00" w:rsidP="00812B00">
            <w:pPr>
              <w:jc w:val="center"/>
            </w:pPr>
            <w:r w:rsidRPr="008F42EC">
              <w:t>per cent</w:t>
            </w:r>
          </w:p>
        </w:tc>
      </w:tr>
      <w:tr w:rsidR="00812B00" w:rsidRPr="008F42EC" w:rsidTr="0097616B">
        <w:tc>
          <w:tcPr>
            <w:tcW w:w="5405" w:type="dxa"/>
          </w:tcPr>
          <w:p w:rsidR="00812B00" w:rsidRPr="008F42EC" w:rsidRDefault="00812B00" w:rsidP="00812B00">
            <w:r w:rsidRPr="008F42EC">
              <w:t>GDP growth forecast (Treasury)</w:t>
            </w:r>
          </w:p>
          <w:p w:rsidR="00812B00" w:rsidRPr="008F42EC" w:rsidRDefault="00812B00" w:rsidP="007B3E4C">
            <w:r w:rsidRPr="008F42EC">
              <w:rPr>
                <w:sz w:val="14"/>
              </w:rPr>
              <w:t>year ending June 201</w:t>
            </w:r>
            <w:r w:rsidR="007B3E4C" w:rsidRPr="008F42EC">
              <w:rPr>
                <w:sz w:val="14"/>
              </w:rPr>
              <w:t>8</w:t>
            </w:r>
            <w:r w:rsidRPr="008F42EC">
              <w:rPr>
                <w:sz w:val="14"/>
              </w:rPr>
              <w:t xml:space="preserve"> / year ending June 201</w:t>
            </w:r>
            <w:r w:rsidR="007B3E4C" w:rsidRPr="008F42EC">
              <w:rPr>
                <w:sz w:val="14"/>
              </w:rPr>
              <w:t>9</w:t>
            </w:r>
          </w:p>
        </w:tc>
        <w:tc>
          <w:tcPr>
            <w:tcW w:w="1933" w:type="dxa"/>
          </w:tcPr>
          <w:p w:rsidR="00812B00" w:rsidRPr="008F42EC" w:rsidRDefault="00812B00" w:rsidP="000A206C">
            <w:pPr>
              <w:jc w:val="center"/>
            </w:pPr>
            <w:r w:rsidRPr="008F42EC">
              <w:t>2</w:t>
            </w:r>
            <w:r w:rsidR="007B3E4C" w:rsidRPr="008F42EC">
              <w:t xml:space="preserve"> ¾ </w:t>
            </w:r>
            <w:r w:rsidRPr="008F42EC">
              <w:t>per cent</w:t>
            </w:r>
          </w:p>
        </w:tc>
        <w:tc>
          <w:tcPr>
            <w:tcW w:w="1816" w:type="dxa"/>
          </w:tcPr>
          <w:p w:rsidR="00812B00" w:rsidRPr="008F42EC" w:rsidRDefault="00B765D9" w:rsidP="00812B00">
            <w:pPr>
              <w:jc w:val="center"/>
            </w:pPr>
            <w:r w:rsidRPr="008F42EC">
              <w:t>3</w:t>
            </w:r>
            <w:r w:rsidR="00812B00" w:rsidRPr="008F42EC">
              <w:t xml:space="preserve"> per cent</w:t>
            </w:r>
          </w:p>
        </w:tc>
      </w:tr>
      <w:tr w:rsidR="00812B00" w:rsidRPr="008F42EC" w:rsidTr="00AC595F">
        <w:tc>
          <w:tcPr>
            <w:tcW w:w="5405" w:type="dxa"/>
          </w:tcPr>
          <w:p w:rsidR="00812B00" w:rsidRPr="00AC595F" w:rsidRDefault="00812B00" w:rsidP="00812B00">
            <w:pPr>
              <w:ind w:right="-250"/>
            </w:pPr>
            <w:r w:rsidRPr="00AC595F">
              <w:t>GDP per hour worked (%chg, tty)</w:t>
            </w:r>
          </w:p>
          <w:p w:rsidR="00812B00" w:rsidRPr="00AC595F" w:rsidRDefault="00812B00" w:rsidP="00AC595F">
            <w:pPr>
              <w:ind w:right="-250"/>
            </w:pPr>
            <w:r w:rsidRPr="00AC595F">
              <w:rPr>
                <w:sz w:val="14"/>
              </w:rPr>
              <w:t>December quarter 201</w:t>
            </w:r>
            <w:r w:rsidR="008E0EDA" w:rsidRPr="00AC595F">
              <w:rPr>
                <w:sz w:val="14"/>
              </w:rPr>
              <w:t>6</w:t>
            </w:r>
            <w:r w:rsidR="003A7E86" w:rsidRPr="00AC595F">
              <w:rPr>
                <w:sz w:val="14"/>
              </w:rPr>
              <w:t xml:space="preserve"> / </w:t>
            </w:r>
            <w:r w:rsidR="00AC595F" w:rsidRPr="00AC595F">
              <w:rPr>
                <w:sz w:val="14"/>
              </w:rPr>
              <w:t xml:space="preserve">December </w:t>
            </w:r>
            <w:r w:rsidRPr="00AC595F">
              <w:rPr>
                <w:sz w:val="14"/>
              </w:rPr>
              <w:t>quarter 201</w:t>
            </w:r>
            <w:r w:rsidR="008E0EDA" w:rsidRPr="00AC595F">
              <w:rPr>
                <w:sz w:val="14"/>
              </w:rPr>
              <w:t>7</w:t>
            </w:r>
          </w:p>
        </w:tc>
        <w:tc>
          <w:tcPr>
            <w:tcW w:w="1933" w:type="dxa"/>
            <w:shd w:val="clear" w:color="auto" w:fill="auto"/>
          </w:tcPr>
          <w:p w:rsidR="00812B00" w:rsidRPr="00AC595F" w:rsidRDefault="008E0EDA" w:rsidP="002D2940">
            <w:pPr>
              <w:jc w:val="center"/>
            </w:pPr>
            <w:r w:rsidRPr="00AC595F">
              <w:t>1.9</w:t>
            </w:r>
            <w:r w:rsidR="00812B00" w:rsidRPr="00AC595F">
              <w:t xml:space="preserve"> per cent</w:t>
            </w:r>
          </w:p>
        </w:tc>
        <w:tc>
          <w:tcPr>
            <w:tcW w:w="1816" w:type="dxa"/>
            <w:shd w:val="clear" w:color="auto" w:fill="auto"/>
          </w:tcPr>
          <w:p w:rsidR="00812B00" w:rsidRPr="00AC595F" w:rsidRDefault="00AC595F" w:rsidP="00AC595F">
            <w:pPr>
              <w:jc w:val="center"/>
            </w:pPr>
            <w:r w:rsidRPr="00AC595F">
              <w:t>-</w:t>
            </w:r>
            <w:r w:rsidR="003A7E86" w:rsidRPr="00AC595F">
              <w:t>1</w:t>
            </w:r>
            <w:r w:rsidR="009073C4">
              <w:t>.0</w:t>
            </w:r>
            <w:r w:rsidR="00812B00" w:rsidRPr="00AC595F">
              <w:t xml:space="preserve"> per cent</w:t>
            </w:r>
          </w:p>
        </w:tc>
      </w:tr>
      <w:tr w:rsidR="00812B00" w:rsidRPr="008F42EC" w:rsidTr="00AC595F">
        <w:tc>
          <w:tcPr>
            <w:tcW w:w="5405" w:type="dxa"/>
          </w:tcPr>
          <w:p w:rsidR="00812B00" w:rsidRPr="00AC595F" w:rsidRDefault="00812B00" w:rsidP="00812B00">
            <w:pPr>
              <w:ind w:right="-250"/>
            </w:pPr>
            <w:r w:rsidRPr="00AC595F">
              <w:t>GVA per hour worked – market sector (%chg, tty)</w:t>
            </w:r>
          </w:p>
          <w:p w:rsidR="00812B00" w:rsidRPr="00AC595F" w:rsidRDefault="00812B00" w:rsidP="00AC595F">
            <w:pPr>
              <w:ind w:right="-250"/>
            </w:pPr>
            <w:r w:rsidRPr="00AC595F">
              <w:rPr>
                <w:sz w:val="14"/>
              </w:rPr>
              <w:t>December quarter 201</w:t>
            </w:r>
            <w:r w:rsidR="008E0EDA" w:rsidRPr="00AC595F">
              <w:rPr>
                <w:sz w:val="14"/>
              </w:rPr>
              <w:t>6</w:t>
            </w:r>
            <w:r w:rsidRPr="00AC595F">
              <w:rPr>
                <w:sz w:val="14"/>
              </w:rPr>
              <w:t xml:space="preserve"> / </w:t>
            </w:r>
            <w:r w:rsidR="00AC595F" w:rsidRPr="00AC595F">
              <w:rPr>
                <w:sz w:val="14"/>
              </w:rPr>
              <w:t>December</w:t>
            </w:r>
            <w:r w:rsidR="003A7E86" w:rsidRPr="00AC595F">
              <w:rPr>
                <w:sz w:val="14"/>
              </w:rPr>
              <w:t xml:space="preserve"> </w:t>
            </w:r>
            <w:r w:rsidRPr="00AC595F">
              <w:rPr>
                <w:sz w:val="14"/>
              </w:rPr>
              <w:t>quarter 201</w:t>
            </w:r>
            <w:r w:rsidR="008E0EDA" w:rsidRPr="00AC595F">
              <w:rPr>
                <w:sz w:val="14"/>
              </w:rPr>
              <w:t>7</w:t>
            </w:r>
          </w:p>
        </w:tc>
        <w:tc>
          <w:tcPr>
            <w:tcW w:w="1933" w:type="dxa"/>
            <w:shd w:val="clear" w:color="auto" w:fill="auto"/>
          </w:tcPr>
          <w:p w:rsidR="00812B00" w:rsidRPr="00AC595F" w:rsidRDefault="008E0EDA" w:rsidP="008E0EDA">
            <w:pPr>
              <w:jc w:val="center"/>
            </w:pPr>
            <w:r w:rsidRPr="00AC595F">
              <w:t>2.4</w:t>
            </w:r>
            <w:r w:rsidR="00812B00" w:rsidRPr="00AC595F">
              <w:t xml:space="preserve"> per cent</w:t>
            </w:r>
          </w:p>
        </w:tc>
        <w:tc>
          <w:tcPr>
            <w:tcW w:w="1816" w:type="dxa"/>
            <w:shd w:val="clear" w:color="auto" w:fill="auto"/>
          </w:tcPr>
          <w:p w:rsidR="00812B00" w:rsidRPr="00AC595F" w:rsidRDefault="00AC595F" w:rsidP="00812B00">
            <w:pPr>
              <w:jc w:val="center"/>
            </w:pPr>
            <w:r w:rsidRPr="00AC595F">
              <w:t>-0.9</w:t>
            </w:r>
            <w:r w:rsidR="00812B00" w:rsidRPr="00AC595F">
              <w:t xml:space="preserve"> per cent</w:t>
            </w:r>
          </w:p>
        </w:tc>
      </w:tr>
      <w:tr w:rsidR="00812B00" w:rsidRPr="008F42EC" w:rsidTr="0097616B">
        <w:tc>
          <w:tcPr>
            <w:tcW w:w="5405" w:type="dxa"/>
          </w:tcPr>
          <w:p w:rsidR="00812B00" w:rsidRPr="00C2409C" w:rsidRDefault="00812B00" w:rsidP="00812B00">
            <w:r w:rsidRPr="00C2409C">
              <w:t>real unit labour costs (%chg, tty)</w:t>
            </w:r>
          </w:p>
          <w:p w:rsidR="00812B00" w:rsidRPr="00C2409C" w:rsidRDefault="00812B00" w:rsidP="00C2409C">
            <w:pPr>
              <w:ind w:right="-250"/>
            </w:pPr>
            <w:r w:rsidRPr="00C2409C">
              <w:rPr>
                <w:sz w:val="14"/>
              </w:rPr>
              <w:t>December quarter 201</w:t>
            </w:r>
            <w:r w:rsidR="008F42EC" w:rsidRPr="00C2409C">
              <w:rPr>
                <w:sz w:val="14"/>
              </w:rPr>
              <w:t>6</w:t>
            </w:r>
            <w:r w:rsidRPr="00C2409C">
              <w:rPr>
                <w:sz w:val="14"/>
              </w:rPr>
              <w:t xml:space="preserve"> / </w:t>
            </w:r>
            <w:r w:rsidR="00C2409C" w:rsidRPr="00C2409C">
              <w:rPr>
                <w:sz w:val="14"/>
              </w:rPr>
              <w:t>December</w:t>
            </w:r>
            <w:r w:rsidRPr="00C2409C">
              <w:rPr>
                <w:sz w:val="14"/>
              </w:rPr>
              <w:t xml:space="preserve"> quarter 201</w:t>
            </w:r>
            <w:r w:rsidR="008F42EC" w:rsidRPr="00C2409C">
              <w:rPr>
                <w:sz w:val="14"/>
              </w:rPr>
              <w:t>7</w:t>
            </w:r>
          </w:p>
        </w:tc>
        <w:tc>
          <w:tcPr>
            <w:tcW w:w="1933" w:type="dxa"/>
          </w:tcPr>
          <w:p w:rsidR="00812B00" w:rsidRPr="00C2409C" w:rsidRDefault="008F42EC" w:rsidP="008F42EC">
            <w:pPr>
              <w:jc w:val="center"/>
            </w:pPr>
            <w:r w:rsidRPr="00C2409C">
              <w:t>-5.2</w:t>
            </w:r>
            <w:r w:rsidR="007F5447" w:rsidRPr="00C2409C">
              <w:t xml:space="preserve"> per cent</w:t>
            </w:r>
          </w:p>
        </w:tc>
        <w:tc>
          <w:tcPr>
            <w:tcW w:w="1816" w:type="dxa"/>
          </w:tcPr>
          <w:p w:rsidR="00812B00" w:rsidRPr="00C2409C" w:rsidRDefault="00C2409C" w:rsidP="00C2409C">
            <w:pPr>
              <w:jc w:val="center"/>
            </w:pPr>
            <w:r w:rsidRPr="00C2409C">
              <w:t>1</w:t>
            </w:r>
            <w:r w:rsidR="002B1DB2" w:rsidRPr="00C2409C">
              <w:t>.</w:t>
            </w:r>
            <w:r w:rsidRPr="00C2409C">
              <w:t>4</w:t>
            </w:r>
            <w:r w:rsidR="008F42EC" w:rsidRPr="00C2409C">
              <w:t xml:space="preserve"> </w:t>
            </w:r>
            <w:r w:rsidR="00C83A0E" w:rsidRPr="00C2409C">
              <w:t>per cent</w:t>
            </w:r>
          </w:p>
        </w:tc>
      </w:tr>
      <w:tr w:rsidR="00812B00" w:rsidRPr="008F42EC" w:rsidTr="0097616B">
        <w:trPr>
          <w:trHeight w:val="65"/>
        </w:trPr>
        <w:tc>
          <w:tcPr>
            <w:tcW w:w="5405" w:type="dxa"/>
          </w:tcPr>
          <w:p w:rsidR="00812B00" w:rsidRPr="008F42EC" w:rsidRDefault="00812B00" w:rsidP="008F42EC">
            <w:r w:rsidRPr="008F42EC">
              <w:t>business-related bankruptcies</w:t>
            </w:r>
            <w:r w:rsidRPr="008F42EC">
              <w:br/>
            </w:r>
            <w:r w:rsidRPr="008F42EC">
              <w:rPr>
                <w:sz w:val="14"/>
              </w:rPr>
              <w:t>year ending December 201</w:t>
            </w:r>
            <w:r w:rsidR="008F42EC" w:rsidRPr="008F42EC">
              <w:rPr>
                <w:sz w:val="14"/>
              </w:rPr>
              <w:t>6</w:t>
            </w:r>
            <w:r w:rsidRPr="008F42EC">
              <w:rPr>
                <w:sz w:val="14"/>
              </w:rPr>
              <w:t xml:space="preserve"> / year ending December 201</w:t>
            </w:r>
            <w:r w:rsidR="008F42EC" w:rsidRPr="008F42EC">
              <w:rPr>
                <w:sz w:val="14"/>
              </w:rPr>
              <w:t>7</w:t>
            </w:r>
          </w:p>
        </w:tc>
        <w:tc>
          <w:tcPr>
            <w:tcW w:w="1933" w:type="dxa"/>
          </w:tcPr>
          <w:p w:rsidR="00812B00" w:rsidRPr="008F42EC" w:rsidRDefault="008F42EC" w:rsidP="002D2940">
            <w:pPr>
              <w:jc w:val="center"/>
            </w:pPr>
            <w:r w:rsidRPr="008F42EC">
              <w:t>4,354</w:t>
            </w:r>
          </w:p>
        </w:tc>
        <w:tc>
          <w:tcPr>
            <w:tcW w:w="1816" w:type="dxa"/>
          </w:tcPr>
          <w:p w:rsidR="00812B00" w:rsidRPr="008F42EC" w:rsidRDefault="008F42EC" w:rsidP="00812B00">
            <w:pPr>
              <w:jc w:val="center"/>
            </w:pPr>
            <w:r w:rsidRPr="008F42EC">
              <w:t>4,172</w:t>
            </w:r>
          </w:p>
        </w:tc>
      </w:tr>
      <w:tr w:rsidR="00812B00" w:rsidRPr="008F42EC" w:rsidTr="0097616B">
        <w:trPr>
          <w:trHeight w:val="65"/>
        </w:trPr>
        <w:tc>
          <w:tcPr>
            <w:tcW w:w="5405" w:type="dxa"/>
          </w:tcPr>
          <w:p w:rsidR="00812B00" w:rsidRPr="001844E4" w:rsidRDefault="00812B00" w:rsidP="00812B00">
            <w:r w:rsidRPr="001844E4">
              <w:t>wages share of total factor income</w:t>
            </w:r>
          </w:p>
          <w:p w:rsidR="00812B00" w:rsidRPr="001844E4" w:rsidRDefault="00812B00" w:rsidP="003A7E86">
            <w:r w:rsidRPr="001844E4">
              <w:rPr>
                <w:sz w:val="14"/>
              </w:rPr>
              <w:t>December quarter 201</w:t>
            </w:r>
            <w:r w:rsidR="008E0EDA" w:rsidRPr="001844E4">
              <w:rPr>
                <w:sz w:val="14"/>
              </w:rPr>
              <w:t>6</w:t>
            </w:r>
            <w:r w:rsidRPr="001844E4">
              <w:rPr>
                <w:sz w:val="14"/>
              </w:rPr>
              <w:t xml:space="preserve"> / </w:t>
            </w:r>
            <w:r w:rsidR="003A7E86" w:rsidRPr="001844E4">
              <w:rPr>
                <w:sz w:val="14"/>
              </w:rPr>
              <w:t>September</w:t>
            </w:r>
            <w:r w:rsidRPr="001844E4">
              <w:rPr>
                <w:sz w:val="14"/>
              </w:rPr>
              <w:t xml:space="preserve"> quarter 201</w:t>
            </w:r>
            <w:r w:rsidR="008E0EDA" w:rsidRPr="001844E4">
              <w:rPr>
                <w:sz w:val="14"/>
              </w:rPr>
              <w:t>7</w:t>
            </w:r>
          </w:p>
        </w:tc>
        <w:tc>
          <w:tcPr>
            <w:tcW w:w="1933" w:type="dxa"/>
          </w:tcPr>
          <w:p w:rsidR="00812B00" w:rsidRPr="001844E4" w:rsidRDefault="00C83A0E" w:rsidP="00812B00">
            <w:pPr>
              <w:jc w:val="center"/>
            </w:pPr>
            <w:r w:rsidRPr="001844E4">
              <w:t>5</w:t>
            </w:r>
            <w:r w:rsidR="008E0EDA" w:rsidRPr="001844E4">
              <w:t>2.3</w:t>
            </w:r>
            <w:r w:rsidRPr="001844E4">
              <w:t xml:space="preserve"> per cent</w:t>
            </w:r>
          </w:p>
        </w:tc>
        <w:tc>
          <w:tcPr>
            <w:tcW w:w="1816" w:type="dxa"/>
          </w:tcPr>
          <w:p w:rsidR="00812B00" w:rsidRPr="001844E4" w:rsidRDefault="00812B00" w:rsidP="002B1DB2">
            <w:pPr>
              <w:jc w:val="center"/>
            </w:pPr>
            <w:r w:rsidRPr="001844E4">
              <w:t>5</w:t>
            </w:r>
            <w:r w:rsidR="006B12CE" w:rsidRPr="001844E4">
              <w:t>2</w:t>
            </w:r>
            <w:r w:rsidRPr="001844E4">
              <w:t>.</w:t>
            </w:r>
            <w:r w:rsidR="002B1DB2" w:rsidRPr="001844E4">
              <w:t>9</w:t>
            </w:r>
            <w:r w:rsidRPr="001844E4">
              <w:t xml:space="preserve"> per cent</w:t>
            </w:r>
          </w:p>
        </w:tc>
      </w:tr>
      <w:tr w:rsidR="00812B00" w:rsidRPr="008F42EC" w:rsidTr="0097616B">
        <w:trPr>
          <w:trHeight w:val="65"/>
        </w:trPr>
        <w:tc>
          <w:tcPr>
            <w:tcW w:w="5405" w:type="dxa"/>
          </w:tcPr>
          <w:p w:rsidR="00812B00" w:rsidRPr="001844E4" w:rsidRDefault="00812B00" w:rsidP="00812B00">
            <w:r w:rsidRPr="001844E4">
              <w:t>profits share of total factor income</w:t>
            </w:r>
          </w:p>
          <w:p w:rsidR="00812B00" w:rsidRPr="001844E4" w:rsidRDefault="00812B00" w:rsidP="003A7E86">
            <w:r w:rsidRPr="001844E4">
              <w:rPr>
                <w:sz w:val="14"/>
              </w:rPr>
              <w:t>December quarter 201</w:t>
            </w:r>
            <w:r w:rsidR="008E0EDA" w:rsidRPr="001844E4">
              <w:rPr>
                <w:sz w:val="14"/>
              </w:rPr>
              <w:t>6</w:t>
            </w:r>
            <w:r w:rsidRPr="001844E4">
              <w:rPr>
                <w:sz w:val="14"/>
              </w:rPr>
              <w:t xml:space="preserve"> / </w:t>
            </w:r>
            <w:r w:rsidR="003A7E86" w:rsidRPr="001844E4">
              <w:rPr>
                <w:sz w:val="14"/>
              </w:rPr>
              <w:t>September</w:t>
            </w:r>
            <w:r w:rsidRPr="001844E4">
              <w:rPr>
                <w:sz w:val="14"/>
              </w:rPr>
              <w:t xml:space="preserve"> quarter 201</w:t>
            </w:r>
            <w:r w:rsidR="008E0EDA" w:rsidRPr="001844E4">
              <w:rPr>
                <w:sz w:val="14"/>
              </w:rPr>
              <w:t>7</w:t>
            </w:r>
          </w:p>
        </w:tc>
        <w:tc>
          <w:tcPr>
            <w:tcW w:w="1933" w:type="dxa"/>
          </w:tcPr>
          <w:p w:rsidR="00812B00" w:rsidRPr="001844E4" w:rsidRDefault="00C83A0E" w:rsidP="008E0EDA">
            <w:pPr>
              <w:jc w:val="center"/>
            </w:pPr>
            <w:r w:rsidRPr="001844E4">
              <w:t>2</w:t>
            </w:r>
            <w:r w:rsidR="008E0EDA" w:rsidRPr="001844E4">
              <w:t>6</w:t>
            </w:r>
            <w:r w:rsidRPr="001844E4">
              <w:t>.</w:t>
            </w:r>
            <w:r w:rsidR="008E0EDA" w:rsidRPr="001844E4">
              <w:t>5</w:t>
            </w:r>
            <w:r w:rsidRPr="001844E4">
              <w:t xml:space="preserve"> per cent</w:t>
            </w:r>
          </w:p>
        </w:tc>
        <w:tc>
          <w:tcPr>
            <w:tcW w:w="1816" w:type="dxa"/>
          </w:tcPr>
          <w:p w:rsidR="00812B00" w:rsidRPr="001844E4" w:rsidRDefault="00812B00" w:rsidP="003A7E86">
            <w:pPr>
              <w:jc w:val="center"/>
            </w:pPr>
            <w:r w:rsidRPr="001844E4">
              <w:t>2</w:t>
            </w:r>
            <w:r w:rsidR="003A7E86" w:rsidRPr="001844E4">
              <w:t>7</w:t>
            </w:r>
            <w:r w:rsidRPr="001844E4">
              <w:t>.</w:t>
            </w:r>
            <w:r w:rsidR="001844E4" w:rsidRPr="001844E4">
              <w:t>0</w:t>
            </w:r>
            <w:r w:rsidRPr="001844E4">
              <w:t xml:space="preserve"> per cent</w:t>
            </w:r>
          </w:p>
        </w:tc>
      </w:tr>
      <w:tr w:rsidR="00812B00" w:rsidRPr="008F42EC" w:rsidTr="0097616B">
        <w:tc>
          <w:tcPr>
            <w:tcW w:w="5405" w:type="dxa"/>
          </w:tcPr>
          <w:p w:rsidR="00812B00" w:rsidRPr="002B1DB2" w:rsidRDefault="00812B00" w:rsidP="00812B00">
            <w:r w:rsidRPr="002B1DB2">
              <w:t>real net national disposable income (%chg, tty)</w:t>
            </w:r>
          </w:p>
          <w:p w:rsidR="00812B00" w:rsidRPr="002B1DB2" w:rsidRDefault="00812B00" w:rsidP="002B1DB2">
            <w:r w:rsidRPr="002B1DB2">
              <w:rPr>
                <w:sz w:val="14"/>
              </w:rPr>
              <w:t>December quarter 201</w:t>
            </w:r>
            <w:r w:rsidR="00802D11" w:rsidRPr="002B1DB2">
              <w:rPr>
                <w:sz w:val="14"/>
              </w:rPr>
              <w:t>6</w:t>
            </w:r>
            <w:r w:rsidRPr="002B1DB2">
              <w:rPr>
                <w:sz w:val="14"/>
              </w:rPr>
              <w:t xml:space="preserve"> / </w:t>
            </w:r>
            <w:r w:rsidR="002B1DB2">
              <w:rPr>
                <w:sz w:val="14"/>
              </w:rPr>
              <w:t>December</w:t>
            </w:r>
            <w:r w:rsidRPr="002B1DB2">
              <w:rPr>
                <w:sz w:val="14"/>
              </w:rPr>
              <w:t xml:space="preserve"> quarter 201</w:t>
            </w:r>
            <w:r w:rsidR="00EA1951" w:rsidRPr="002B1DB2">
              <w:rPr>
                <w:sz w:val="14"/>
              </w:rPr>
              <w:t>7</w:t>
            </w:r>
          </w:p>
        </w:tc>
        <w:tc>
          <w:tcPr>
            <w:tcW w:w="1933" w:type="dxa"/>
          </w:tcPr>
          <w:p w:rsidR="00812B00" w:rsidRPr="002B1DB2" w:rsidRDefault="00802D11" w:rsidP="00812B00">
            <w:pPr>
              <w:jc w:val="center"/>
            </w:pPr>
            <w:r w:rsidRPr="002B1DB2">
              <w:t>6.8</w:t>
            </w:r>
            <w:r w:rsidR="006B12CE" w:rsidRPr="002B1DB2">
              <w:t xml:space="preserve"> per cent</w:t>
            </w:r>
          </w:p>
        </w:tc>
        <w:tc>
          <w:tcPr>
            <w:tcW w:w="1816" w:type="dxa"/>
          </w:tcPr>
          <w:p w:rsidR="00812B00" w:rsidRPr="002B1DB2" w:rsidRDefault="002B1DB2" w:rsidP="00EA1951">
            <w:pPr>
              <w:jc w:val="center"/>
            </w:pPr>
            <w:r w:rsidRPr="002B1DB2">
              <w:t>1</w:t>
            </w:r>
            <w:r w:rsidR="00EA1951" w:rsidRPr="002B1DB2">
              <w:t>.5</w:t>
            </w:r>
            <w:r w:rsidR="00812B00" w:rsidRPr="002B1DB2">
              <w:t xml:space="preserve"> per cent</w:t>
            </w:r>
          </w:p>
        </w:tc>
      </w:tr>
      <w:tr w:rsidR="00812B00" w:rsidRPr="008F42EC" w:rsidTr="0097616B">
        <w:tc>
          <w:tcPr>
            <w:tcW w:w="5405" w:type="dxa"/>
          </w:tcPr>
          <w:p w:rsidR="00812B00" w:rsidRPr="002B1DB2" w:rsidRDefault="00812B00" w:rsidP="00812B00">
            <w:r w:rsidRPr="002B1DB2">
              <w:t>real net national disposable income per capita (%chg, tty)</w:t>
            </w:r>
          </w:p>
          <w:p w:rsidR="00812B00" w:rsidRPr="002B1DB2" w:rsidRDefault="00812B00" w:rsidP="002B1DB2">
            <w:r w:rsidRPr="002B1DB2">
              <w:rPr>
                <w:sz w:val="14"/>
              </w:rPr>
              <w:t>December quarter 201</w:t>
            </w:r>
            <w:r w:rsidR="00802D11" w:rsidRPr="002B1DB2">
              <w:rPr>
                <w:sz w:val="14"/>
              </w:rPr>
              <w:t>6</w:t>
            </w:r>
            <w:r w:rsidRPr="002B1DB2">
              <w:rPr>
                <w:sz w:val="14"/>
              </w:rPr>
              <w:t xml:space="preserve"> / </w:t>
            </w:r>
            <w:r w:rsidR="002B1DB2" w:rsidRPr="002B1DB2">
              <w:rPr>
                <w:sz w:val="14"/>
              </w:rPr>
              <w:t xml:space="preserve">December </w:t>
            </w:r>
            <w:r w:rsidRPr="002B1DB2">
              <w:rPr>
                <w:sz w:val="14"/>
              </w:rPr>
              <w:t>quarter 201</w:t>
            </w:r>
            <w:r w:rsidR="00EA1951" w:rsidRPr="002B1DB2">
              <w:rPr>
                <w:sz w:val="14"/>
              </w:rPr>
              <w:t>7</w:t>
            </w:r>
          </w:p>
        </w:tc>
        <w:tc>
          <w:tcPr>
            <w:tcW w:w="1933" w:type="dxa"/>
          </w:tcPr>
          <w:p w:rsidR="00812B00" w:rsidRPr="002B1DB2" w:rsidRDefault="00802D11" w:rsidP="00812B00">
            <w:pPr>
              <w:jc w:val="center"/>
            </w:pPr>
            <w:r w:rsidRPr="002B1DB2">
              <w:t>5.3</w:t>
            </w:r>
            <w:r w:rsidR="006B12CE" w:rsidRPr="002B1DB2">
              <w:t xml:space="preserve"> per cent</w:t>
            </w:r>
          </w:p>
        </w:tc>
        <w:tc>
          <w:tcPr>
            <w:tcW w:w="1816" w:type="dxa"/>
          </w:tcPr>
          <w:p w:rsidR="00812B00" w:rsidRPr="002B1DB2" w:rsidRDefault="002B1DB2" w:rsidP="00812B00">
            <w:pPr>
              <w:jc w:val="center"/>
            </w:pPr>
            <w:r w:rsidRPr="002B1DB2">
              <w:t>0.0 per cent</w:t>
            </w:r>
          </w:p>
        </w:tc>
      </w:tr>
      <w:tr w:rsidR="00812B00" w:rsidRPr="008F42EC" w:rsidTr="0097616B">
        <w:tc>
          <w:tcPr>
            <w:tcW w:w="5405" w:type="dxa"/>
          </w:tcPr>
          <w:p w:rsidR="00812B00" w:rsidRPr="008F42EC" w:rsidRDefault="00812B00" w:rsidP="00812B00">
            <w:r w:rsidRPr="008F42EC">
              <w:t>headline CPI (%chg, tty)</w:t>
            </w:r>
          </w:p>
          <w:p w:rsidR="00812B00" w:rsidRPr="008F42EC" w:rsidRDefault="008E0EDA" w:rsidP="002D2940">
            <w:r w:rsidRPr="008F42EC">
              <w:rPr>
                <w:sz w:val="14"/>
              </w:rPr>
              <w:t>March</w:t>
            </w:r>
            <w:r w:rsidR="00812B00" w:rsidRPr="008F42EC">
              <w:rPr>
                <w:sz w:val="14"/>
              </w:rPr>
              <w:t xml:space="preserve"> quarter 201</w:t>
            </w:r>
            <w:r w:rsidRPr="008F42EC">
              <w:rPr>
                <w:sz w:val="14"/>
              </w:rPr>
              <w:t>7</w:t>
            </w:r>
            <w:r w:rsidR="00812B00" w:rsidRPr="008F42EC">
              <w:rPr>
                <w:sz w:val="14"/>
              </w:rPr>
              <w:t xml:space="preserve"> / December quarter 201</w:t>
            </w:r>
            <w:r w:rsidRPr="008F42EC">
              <w:rPr>
                <w:sz w:val="14"/>
              </w:rPr>
              <w:t>7</w:t>
            </w:r>
          </w:p>
        </w:tc>
        <w:tc>
          <w:tcPr>
            <w:tcW w:w="1933" w:type="dxa"/>
          </w:tcPr>
          <w:p w:rsidR="00812B00" w:rsidRPr="008F42EC" w:rsidRDefault="008E0EDA" w:rsidP="008E0EDA">
            <w:pPr>
              <w:jc w:val="center"/>
            </w:pPr>
            <w:r w:rsidRPr="008F42EC">
              <w:t>2</w:t>
            </w:r>
            <w:r w:rsidR="00812B00" w:rsidRPr="008F42EC">
              <w:t>.</w:t>
            </w:r>
            <w:r w:rsidRPr="008F42EC">
              <w:t>1</w:t>
            </w:r>
            <w:r w:rsidR="00812B00" w:rsidRPr="008F42EC">
              <w:t xml:space="preserve"> per cent</w:t>
            </w:r>
          </w:p>
        </w:tc>
        <w:tc>
          <w:tcPr>
            <w:tcW w:w="1816" w:type="dxa"/>
          </w:tcPr>
          <w:p w:rsidR="00812B00" w:rsidRPr="008F42EC" w:rsidRDefault="00812B00" w:rsidP="00812B00">
            <w:pPr>
              <w:jc w:val="center"/>
            </w:pPr>
            <w:r w:rsidRPr="008F42EC">
              <w:t>1.</w:t>
            </w:r>
            <w:r w:rsidR="004B7A39" w:rsidRPr="008F42EC">
              <w:t>9</w:t>
            </w:r>
            <w:r w:rsidRPr="008F42EC">
              <w:t xml:space="preserve"> per cent</w:t>
            </w:r>
          </w:p>
        </w:tc>
      </w:tr>
      <w:tr w:rsidR="00812B00" w:rsidRPr="008F42EC" w:rsidTr="0097616B">
        <w:tc>
          <w:tcPr>
            <w:tcW w:w="5405" w:type="dxa"/>
          </w:tcPr>
          <w:p w:rsidR="00812B00" w:rsidRPr="008F42EC" w:rsidRDefault="00812B00" w:rsidP="00812B00">
            <w:r w:rsidRPr="008F42EC">
              <w:t>headline CPI forecast (RBA)</w:t>
            </w:r>
          </w:p>
          <w:p w:rsidR="00812B00" w:rsidRPr="008F42EC" w:rsidRDefault="00812B00" w:rsidP="008E0EDA">
            <w:r w:rsidRPr="008F42EC">
              <w:rPr>
                <w:sz w:val="14"/>
              </w:rPr>
              <w:t>year ending June 201</w:t>
            </w:r>
            <w:r w:rsidR="008E0EDA" w:rsidRPr="008F42EC">
              <w:rPr>
                <w:sz w:val="14"/>
              </w:rPr>
              <w:t>8</w:t>
            </w:r>
            <w:r w:rsidRPr="008F42EC">
              <w:rPr>
                <w:sz w:val="14"/>
              </w:rPr>
              <w:t xml:space="preserve"> / year ending June 201</w:t>
            </w:r>
            <w:r w:rsidR="008E0EDA" w:rsidRPr="008F42EC">
              <w:rPr>
                <w:sz w:val="14"/>
              </w:rPr>
              <w:t>9</w:t>
            </w:r>
          </w:p>
        </w:tc>
        <w:tc>
          <w:tcPr>
            <w:tcW w:w="1933" w:type="dxa"/>
          </w:tcPr>
          <w:p w:rsidR="00812B00" w:rsidRPr="008F42EC" w:rsidRDefault="004717EA" w:rsidP="002D2940">
            <w:pPr>
              <w:jc w:val="center"/>
            </w:pPr>
            <w:r w:rsidRPr="008F42EC">
              <w:t>1½</w:t>
            </w:r>
            <w:r w:rsidR="006B7E5E" w:rsidRPr="008F42EC">
              <w:t xml:space="preserve"> </w:t>
            </w:r>
            <w:r w:rsidR="00812B00" w:rsidRPr="008F42EC">
              <w:t>-</w:t>
            </w:r>
            <w:r w:rsidRPr="008F42EC">
              <w:t xml:space="preserve"> 2½ </w:t>
            </w:r>
            <w:r w:rsidR="00812B00" w:rsidRPr="008F42EC">
              <w:t>per cent</w:t>
            </w:r>
          </w:p>
        </w:tc>
        <w:tc>
          <w:tcPr>
            <w:tcW w:w="1816" w:type="dxa"/>
          </w:tcPr>
          <w:p w:rsidR="00812B00" w:rsidRPr="008F42EC" w:rsidRDefault="00B765D9" w:rsidP="00B765D9">
            <w:pPr>
              <w:jc w:val="center"/>
            </w:pPr>
            <w:r w:rsidRPr="008F42EC">
              <w:t xml:space="preserve">2 ¼ </w:t>
            </w:r>
            <w:r w:rsidR="004717EA" w:rsidRPr="008F42EC">
              <w:t>per cent</w:t>
            </w:r>
          </w:p>
        </w:tc>
      </w:tr>
      <w:tr w:rsidR="00812B00" w:rsidRPr="008F42EC" w:rsidTr="0097616B">
        <w:tc>
          <w:tcPr>
            <w:tcW w:w="5405" w:type="dxa"/>
          </w:tcPr>
          <w:p w:rsidR="00812B00" w:rsidRPr="008F42EC" w:rsidRDefault="00812B00" w:rsidP="00812B00">
            <w:r w:rsidRPr="008F42EC">
              <w:t>underlying inflation</w:t>
            </w:r>
          </w:p>
          <w:p w:rsidR="00812B00" w:rsidRPr="008F42EC" w:rsidRDefault="00812B00" w:rsidP="002D2940">
            <w:r w:rsidRPr="008F42EC">
              <w:rPr>
                <w:sz w:val="14"/>
              </w:rPr>
              <w:t>March quarter 201</w:t>
            </w:r>
            <w:r w:rsidR="008E0EDA" w:rsidRPr="008F42EC">
              <w:rPr>
                <w:sz w:val="14"/>
              </w:rPr>
              <w:t>7</w:t>
            </w:r>
            <w:r w:rsidRPr="008F42EC">
              <w:rPr>
                <w:sz w:val="14"/>
              </w:rPr>
              <w:t xml:space="preserve"> / December quarter 201</w:t>
            </w:r>
            <w:r w:rsidR="008E0EDA" w:rsidRPr="008F42EC">
              <w:rPr>
                <w:sz w:val="14"/>
              </w:rPr>
              <w:t>7</w:t>
            </w:r>
          </w:p>
        </w:tc>
        <w:tc>
          <w:tcPr>
            <w:tcW w:w="1933" w:type="dxa"/>
          </w:tcPr>
          <w:p w:rsidR="00812B00" w:rsidRPr="008F42EC" w:rsidRDefault="00EB5310" w:rsidP="002D2940">
            <w:pPr>
              <w:jc w:val="center"/>
            </w:pPr>
            <w:r w:rsidRPr="008F42EC">
              <w:t>1</w:t>
            </w:r>
            <w:r w:rsidR="00812B00" w:rsidRPr="008F42EC">
              <w:t>.</w:t>
            </w:r>
            <w:r w:rsidR="008E0EDA" w:rsidRPr="008F42EC">
              <w:t>8</w:t>
            </w:r>
            <w:r w:rsidR="00812B00" w:rsidRPr="008F42EC">
              <w:t xml:space="preserve"> per cent</w:t>
            </w:r>
          </w:p>
        </w:tc>
        <w:tc>
          <w:tcPr>
            <w:tcW w:w="1816" w:type="dxa"/>
          </w:tcPr>
          <w:p w:rsidR="00812B00" w:rsidRPr="008F42EC" w:rsidRDefault="004B7A39" w:rsidP="00812B00">
            <w:pPr>
              <w:jc w:val="center"/>
            </w:pPr>
            <w:r w:rsidRPr="008F42EC">
              <w:t>1.9</w:t>
            </w:r>
            <w:r w:rsidR="00812B00" w:rsidRPr="008F42EC">
              <w:t xml:space="preserve"> per cent</w:t>
            </w:r>
          </w:p>
        </w:tc>
      </w:tr>
      <w:tr w:rsidR="00812B00" w:rsidRPr="008F42EC" w:rsidTr="0097616B">
        <w:tc>
          <w:tcPr>
            <w:tcW w:w="5405" w:type="dxa"/>
          </w:tcPr>
          <w:p w:rsidR="00812B00" w:rsidRPr="008F42EC" w:rsidRDefault="00812B00" w:rsidP="00812B00">
            <w:r w:rsidRPr="008F42EC">
              <w:t>underlying inflation forecast (RBA)</w:t>
            </w:r>
          </w:p>
          <w:p w:rsidR="00812B00" w:rsidRPr="008F42EC" w:rsidRDefault="00812B00" w:rsidP="002D2940">
            <w:r w:rsidRPr="008F42EC">
              <w:rPr>
                <w:sz w:val="14"/>
              </w:rPr>
              <w:t>year ending June 201</w:t>
            </w:r>
            <w:r w:rsidR="008E0EDA" w:rsidRPr="008F42EC">
              <w:rPr>
                <w:sz w:val="14"/>
              </w:rPr>
              <w:t>8</w:t>
            </w:r>
            <w:r w:rsidRPr="008F42EC">
              <w:rPr>
                <w:sz w:val="14"/>
              </w:rPr>
              <w:t xml:space="preserve"> / year ending June 201</w:t>
            </w:r>
            <w:r w:rsidR="008E0EDA" w:rsidRPr="008F42EC">
              <w:rPr>
                <w:sz w:val="14"/>
              </w:rPr>
              <w:t>9</w:t>
            </w:r>
          </w:p>
        </w:tc>
        <w:tc>
          <w:tcPr>
            <w:tcW w:w="1933" w:type="dxa"/>
          </w:tcPr>
          <w:p w:rsidR="00812B00" w:rsidRPr="008F42EC" w:rsidRDefault="00812B00" w:rsidP="006B7E5E">
            <w:pPr>
              <w:jc w:val="center"/>
            </w:pPr>
            <w:r w:rsidRPr="008F42EC">
              <w:t>1</w:t>
            </w:r>
            <w:r w:rsidR="004717EA" w:rsidRPr="008F42EC">
              <w:t xml:space="preserve">½ </w:t>
            </w:r>
            <w:r w:rsidRPr="008F42EC">
              <w:t>–</w:t>
            </w:r>
            <w:r w:rsidR="004717EA" w:rsidRPr="008F42EC">
              <w:t xml:space="preserve"> </w:t>
            </w:r>
            <w:r w:rsidRPr="008F42EC">
              <w:t>2</w:t>
            </w:r>
            <w:r w:rsidR="004717EA" w:rsidRPr="008F42EC">
              <w:t xml:space="preserve">½ </w:t>
            </w:r>
            <w:r w:rsidRPr="008F42EC">
              <w:t>per cent</w:t>
            </w:r>
          </w:p>
        </w:tc>
        <w:tc>
          <w:tcPr>
            <w:tcW w:w="1816" w:type="dxa"/>
          </w:tcPr>
          <w:p w:rsidR="00812B00" w:rsidRPr="008F42EC" w:rsidRDefault="00B765D9" w:rsidP="00812B00">
            <w:pPr>
              <w:jc w:val="center"/>
            </w:pPr>
            <w:r w:rsidRPr="008F42EC">
              <w:t>2</w:t>
            </w:r>
            <w:r w:rsidR="004717EA" w:rsidRPr="008F42EC">
              <w:t xml:space="preserve"> per cent</w:t>
            </w:r>
          </w:p>
        </w:tc>
      </w:tr>
    </w:tbl>
    <w:p w:rsidR="00E2465B" w:rsidRPr="00996DF1" w:rsidRDefault="00E2465B" w:rsidP="00E2465B">
      <w:pPr>
        <w:spacing w:before="120"/>
        <w:jc w:val="center"/>
        <w:rPr>
          <w:rFonts w:ascii="Verdana" w:hAnsi="Verdana"/>
        </w:rPr>
      </w:pPr>
      <w:r w:rsidRPr="008F42EC">
        <w:rPr>
          <w:rFonts w:ascii="Verdana" w:hAnsi="Verdana"/>
          <w:sz w:val="14"/>
        </w:rPr>
        <w:t>Source: ABS,</w:t>
      </w:r>
      <w:r w:rsidR="00754B93" w:rsidRPr="008F42EC">
        <w:rPr>
          <w:rFonts w:ascii="Verdana" w:hAnsi="Verdana"/>
          <w:sz w:val="14"/>
        </w:rPr>
        <w:t xml:space="preserve"> ASFA,</w:t>
      </w:r>
      <w:r w:rsidRPr="008F42EC">
        <w:rPr>
          <w:rFonts w:ascii="Verdana" w:hAnsi="Verdana"/>
          <w:sz w:val="14"/>
        </w:rPr>
        <w:t xml:space="preserve"> Treasury and RBA.</w:t>
      </w:r>
      <w:r w:rsidRPr="008F42EC">
        <w:rPr>
          <w:rFonts w:ascii="Verdana" w:hAnsi="Verdana"/>
          <w:sz w:val="14"/>
        </w:rPr>
        <w:br/>
        <w:t>Notes: Data listed under the column “20</w:t>
      </w:r>
      <w:r w:rsidR="00B759C2" w:rsidRPr="008F42EC">
        <w:rPr>
          <w:rFonts w:ascii="Verdana" w:hAnsi="Verdana"/>
          <w:sz w:val="14"/>
        </w:rPr>
        <w:t>1</w:t>
      </w:r>
      <w:r w:rsidR="0095164A">
        <w:rPr>
          <w:rFonts w:ascii="Verdana" w:hAnsi="Verdana"/>
          <w:sz w:val="14"/>
        </w:rPr>
        <w:t>7</w:t>
      </w:r>
      <w:r w:rsidRPr="008F42EC">
        <w:rPr>
          <w:rFonts w:ascii="Verdana" w:hAnsi="Verdana"/>
          <w:sz w:val="14"/>
        </w:rPr>
        <w:t xml:space="preserve"> decision” references data that was available at the time of the 201</w:t>
      </w:r>
      <w:r w:rsidR="0095164A">
        <w:rPr>
          <w:rFonts w:ascii="Verdana" w:hAnsi="Verdana"/>
          <w:sz w:val="14"/>
        </w:rPr>
        <w:t>6</w:t>
      </w:r>
      <w:r w:rsidRPr="008F42EC">
        <w:rPr>
          <w:rFonts w:ascii="Verdana" w:hAnsi="Verdana"/>
          <w:sz w:val="14"/>
        </w:rPr>
        <w:t>-1</w:t>
      </w:r>
      <w:r w:rsidR="0095164A">
        <w:rPr>
          <w:rFonts w:ascii="Verdana" w:hAnsi="Verdana"/>
          <w:sz w:val="14"/>
        </w:rPr>
        <w:t>7</w:t>
      </w:r>
      <w:r w:rsidRPr="008F42EC">
        <w:rPr>
          <w:rFonts w:ascii="Verdana" w:hAnsi="Verdana"/>
          <w:sz w:val="14"/>
        </w:rPr>
        <w:t xml:space="preserve"> decision.  </w:t>
      </w:r>
      <w:r w:rsidR="00B759C2" w:rsidRPr="008F42EC">
        <w:rPr>
          <w:rFonts w:ascii="Verdana" w:hAnsi="Verdana"/>
          <w:sz w:val="14"/>
        </w:rPr>
        <w:t>Seasonally adjusted used where available.</w:t>
      </w:r>
    </w:p>
    <w:p w:rsidR="00C2542E" w:rsidRDefault="00C2542E" w:rsidP="00C2542E">
      <w:pPr>
        <w:rPr>
          <w:rFonts w:ascii="Verdana" w:eastAsiaTheme="majorEastAsia" w:hAnsi="Verdana" w:cstheme="majorBidi"/>
          <w:iCs/>
          <w:color w:val="808080" w:themeColor="background1" w:themeShade="80"/>
          <w:spacing w:val="15"/>
          <w:sz w:val="28"/>
          <w:szCs w:val="28"/>
        </w:rPr>
      </w:pPr>
    </w:p>
    <w:p w:rsidR="003422F7" w:rsidRDefault="003422F7">
      <w:pPr>
        <w:rPr>
          <w:rFonts w:ascii="Verdana" w:eastAsiaTheme="majorEastAsia" w:hAnsi="Verdana" w:cstheme="majorBidi"/>
          <w:iCs/>
          <w:color w:val="808080" w:themeColor="background1" w:themeShade="80"/>
          <w:spacing w:val="15"/>
          <w:sz w:val="28"/>
          <w:szCs w:val="28"/>
        </w:rPr>
      </w:pPr>
      <w:r>
        <w:rPr>
          <w:rFonts w:ascii="Verdana" w:eastAsiaTheme="majorEastAsia" w:hAnsi="Verdana" w:cstheme="majorBidi"/>
          <w:iCs/>
          <w:color w:val="808080" w:themeColor="background1" w:themeShade="80"/>
          <w:spacing w:val="15"/>
          <w:sz w:val="28"/>
          <w:szCs w:val="28"/>
        </w:rPr>
        <w:br w:type="page"/>
      </w:r>
    </w:p>
    <w:p w:rsidR="00DD4495" w:rsidRPr="00DD4495" w:rsidRDefault="00805252" w:rsidP="003422F7">
      <w:pPr>
        <w:rPr>
          <w:rFonts w:ascii="Verdana" w:eastAsiaTheme="majorEastAsia" w:hAnsi="Verdana" w:cstheme="majorBidi"/>
          <w:iCs/>
          <w:color w:val="808080" w:themeColor="background1" w:themeShade="80"/>
          <w:spacing w:val="15"/>
          <w:sz w:val="28"/>
          <w:szCs w:val="28"/>
        </w:rPr>
      </w:pPr>
      <w:r>
        <w:rPr>
          <w:rFonts w:ascii="Verdana" w:eastAsiaTheme="majorEastAsia" w:hAnsi="Verdana" w:cstheme="majorBidi"/>
          <w:iCs/>
          <w:color w:val="808080" w:themeColor="background1" w:themeShade="80"/>
          <w:spacing w:val="15"/>
          <w:sz w:val="28"/>
          <w:szCs w:val="28"/>
        </w:rPr>
        <w:lastRenderedPageBreak/>
        <w:t>Macroeconomic</w:t>
      </w:r>
      <w:r w:rsidR="00DD4495" w:rsidRPr="00DD4495">
        <w:rPr>
          <w:rFonts w:ascii="Verdana" w:eastAsiaTheme="majorEastAsia" w:hAnsi="Verdana" w:cstheme="majorBidi"/>
          <w:iCs/>
          <w:color w:val="808080" w:themeColor="background1" w:themeShade="80"/>
          <w:spacing w:val="15"/>
          <w:sz w:val="28"/>
          <w:szCs w:val="28"/>
        </w:rPr>
        <w:t xml:space="preserve"> </w:t>
      </w:r>
      <w:r w:rsidR="00BB767F">
        <w:rPr>
          <w:rFonts w:ascii="Verdana" w:eastAsiaTheme="majorEastAsia" w:hAnsi="Verdana" w:cstheme="majorBidi"/>
          <w:iCs/>
          <w:color w:val="808080" w:themeColor="background1" w:themeShade="80"/>
          <w:spacing w:val="15"/>
          <w:sz w:val="28"/>
          <w:szCs w:val="28"/>
        </w:rPr>
        <w:t>conditions</w:t>
      </w:r>
      <w:r w:rsidR="00BB767F" w:rsidRPr="00DD4495">
        <w:rPr>
          <w:rFonts w:ascii="Verdana" w:eastAsiaTheme="majorEastAsia" w:hAnsi="Verdana" w:cstheme="majorBidi"/>
          <w:iCs/>
          <w:color w:val="808080" w:themeColor="background1" w:themeShade="80"/>
          <w:spacing w:val="15"/>
          <w:sz w:val="28"/>
          <w:szCs w:val="28"/>
        </w:rPr>
        <w:t xml:space="preserve"> </w:t>
      </w:r>
      <w:r w:rsidR="00DD4495" w:rsidRPr="00DD4495">
        <w:rPr>
          <w:rFonts w:ascii="Verdana" w:eastAsiaTheme="majorEastAsia" w:hAnsi="Verdana" w:cstheme="majorBidi"/>
          <w:iCs/>
          <w:color w:val="808080" w:themeColor="background1" w:themeShade="80"/>
          <w:spacing w:val="15"/>
          <w:sz w:val="28"/>
          <w:szCs w:val="28"/>
        </w:rPr>
        <w:t>and outlook</w:t>
      </w:r>
    </w:p>
    <w:p w:rsidR="00ED7F85" w:rsidRPr="00744603" w:rsidRDefault="004A058C" w:rsidP="00E2465B">
      <w:pPr>
        <w:rPr>
          <w:rFonts w:ascii="Verdana" w:hAnsi="Verdana"/>
          <w:sz w:val="20"/>
          <w:szCs w:val="20"/>
          <w:highlight w:val="yellow"/>
        </w:rPr>
      </w:pPr>
      <w:r w:rsidRPr="004A058C">
        <w:rPr>
          <w:rFonts w:ascii="Verdana" w:hAnsi="Verdana"/>
          <w:sz w:val="20"/>
          <w:szCs w:val="20"/>
        </w:rPr>
        <w:t xml:space="preserve">Economic data </w:t>
      </w:r>
      <w:r w:rsidR="002D2103">
        <w:rPr>
          <w:rFonts w:ascii="Verdana" w:hAnsi="Verdana"/>
          <w:sz w:val="20"/>
          <w:szCs w:val="20"/>
        </w:rPr>
        <w:t xml:space="preserve">generally </w:t>
      </w:r>
      <w:r w:rsidRPr="00BF0249">
        <w:rPr>
          <w:rFonts w:ascii="Verdana" w:hAnsi="Verdana"/>
          <w:sz w:val="20"/>
          <w:szCs w:val="20"/>
        </w:rPr>
        <w:t xml:space="preserve">point to a strengthening of conditions when compared with those </w:t>
      </w:r>
      <w:r w:rsidR="007973C9" w:rsidRPr="00BF0249">
        <w:rPr>
          <w:rFonts w:ascii="Verdana" w:hAnsi="Verdana"/>
          <w:sz w:val="20"/>
          <w:szCs w:val="20"/>
        </w:rPr>
        <w:t xml:space="preserve">at the time of the </w:t>
      </w:r>
      <w:r w:rsidR="002D2103" w:rsidRPr="00BF0249">
        <w:rPr>
          <w:rFonts w:ascii="Verdana" w:hAnsi="Verdana"/>
          <w:sz w:val="20"/>
          <w:szCs w:val="20"/>
        </w:rPr>
        <w:t>20</w:t>
      </w:r>
      <w:r w:rsidR="00C16490">
        <w:rPr>
          <w:rFonts w:ascii="Verdana" w:hAnsi="Verdana"/>
          <w:sz w:val="20"/>
          <w:szCs w:val="20"/>
        </w:rPr>
        <w:t>16-1</w:t>
      </w:r>
      <w:r w:rsidR="002D2103">
        <w:rPr>
          <w:rFonts w:ascii="Verdana" w:hAnsi="Verdana"/>
          <w:sz w:val="20"/>
          <w:szCs w:val="20"/>
        </w:rPr>
        <w:t>7</w:t>
      </w:r>
      <w:r w:rsidR="002D2103" w:rsidRPr="00BF0249">
        <w:rPr>
          <w:rFonts w:ascii="Verdana" w:hAnsi="Verdana"/>
          <w:sz w:val="20"/>
          <w:szCs w:val="20"/>
        </w:rPr>
        <w:t xml:space="preserve"> </w:t>
      </w:r>
      <w:r w:rsidR="007973C9" w:rsidRPr="00BF0249">
        <w:rPr>
          <w:rFonts w:ascii="Verdana" w:hAnsi="Verdana"/>
          <w:sz w:val="20"/>
          <w:szCs w:val="20"/>
        </w:rPr>
        <w:t xml:space="preserve">decision.  </w:t>
      </w:r>
      <w:r w:rsidR="00E2465B" w:rsidRPr="00BF0249">
        <w:rPr>
          <w:rFonts w:ascii="Verdana" w:hAnsi="Verdana"/>
          <w:sz w:val="20"/>
          <w:szCs w:val="20"/>
        </w:rPr>
        <w:t>The December quarter</w:t>
      </w:r>
      <w:r w:rsidR="00DF2304" w:rsidRPr="00BF0249">
        <w:rPr>
          <w:rFonts w:ascii="Verdana" w:hAnsi="Verdana"/>
          <w:sz w:val="20"/>
          <w:szCs w:val="20"/>
        </w:rPr>
        <w:t>’s</w:t>
      </w:r>
      <w:r w:rsidR="00E2465B" w:rsidRPr="00BF0249">
        <w:rPr>
          <w:rFonts w:ascii="Verdana" w:hAnsi="Verdana"/>
          <w:sz w:val="20"/>
          <w:szCs w:val="20"/>
        </w:rPr>
        <w:t xml:space="preserve"> </w:t>
      </w:r>
      <w:r w:rsidR="00ED7F85" w:rsidRPr="00BF0249">
        <w:rPr>
          <w:rFonts w:ascii="Verdana" w:hAnsi="Verdana"/>
          <w:sz w:val="20"/>
          <w:szCs w:val="20"/>
        </w:rPr>
        <w:t>GDP growth</w:t>
      </w:r>
      <w:r w:rsidR="00E2465B" w:rsidRPr="00BF0249">
        <w:rPr>
          <w:rFonts w:ascii="Verdana" w:hAnsi="Verdana"/>
          <w:sz w:val="20"/>
          <w:szCs w:val="20"/>
        </w:rPr>
        <w:t xml:space="preserve"> came in at </w:t>
      </w:r>
      <w:r w:rsidR="00BF0249" w:rsidRPr="00BF0249">
        <w:rPr>
          <w:rFonts w:ascii="Verdana" w:hAnsi="Verdana"/>
          <w:sz w:val="20"/>
          <w:szCs w:val="20"/>
        </w:rPr>
        <w:t>2.4</w:t>
      </w:r>
      <w:r w:rsidR="00E2465B" w:rsidRPr="00BF0249">
        <w:rPr>
          <w:rFonts w:ascii="Verdana" w:hAnsi="Verdana"/>
          <w:sz w:val="20"/>
          <w:szCs w:val="20"/>
        </w:rPr>
        <w:t xml:space="preserve"> per cent.</w:t>
      </w:r>
      <w:r w:rsidR="00ED7F85" w:rsidRPr="00BF0249">
        <w:rPr>
          <w:rFonts w:ascii="Verdana" w:hAnsi="Verdana"/>
          <w:sz w:val="20"/>
          <w:szCs w:val="20"/>
        </w:rPr>
        <w:t xml:space="preserve">  </w:t>
      </w:r>
      <w:r w:rsidR="00EB74BE" w:rsidRPr="00BF0249">
        <w:rPr>
          <w:rFonts w:ascii="Verdana" w:hAnsi="Verdana"/>
          <w:sz w:val="20"/>
          <w:szCs w:val="20"/>
        </w:rPr>
        <w:t xml:space="preserve">This </w:t>
      </w:r>
      <w:r w:rsidR="00BF0249" w:rsidRPr="00BF0249">
        <w:rPr>
          <w:rFonts w:ascii="Verdana" w:hAnsi="Verdana"/>
          <w:sz w:val="20"/>
          <w:szCs w:val="20"/>
        </w:rPr>
        <w:t>is in line</w:t>
      </w:r>
      <w:r w:rsidR="00EB74BE" w:rsidRPr="00BF0249">
        <w:rPr>
          <w:rFonts w:ascii="Verdana" w:hAnsi="Verdana"/>
          <w:sz w:val="20"/>
          <w:szCs w:val="20"/>
        </w:rPr>
        <w:t xml:space="preserve"> with the 2</w:t>
      </w:r>
      <w:r w:rsidR="00E2465B" w:rsidRPr="00BF0249">
        <w:rPr>
          <w:rFonts w:ascii="Verdana" w:hAnsi="Verdana"/>
          <w:sz w:val="20"/>
          <w:szCs w:val="20"/>
        </w:rPr>
        <w:t>.</w:t>
      </w:r>
      <w:r w:rsidR="00EB74BE" w:rsidRPr="00BF0249">
        <w:rPr>
          <w:rFonts w:ascii="Verdana" w:hAnsi="Verdana"/>
          <w:sz w:val="20"/>
          <w:szCs w:val="20"/>
        </w:rPr>
        <w:t>4</w:t>
      </w:r>
      <w:r w:rsidR="00E2465B" w:rsidRPr="00BF0249">
        <w:rPr>
          <w:rFonts w:ascii="Verdana" w:hAnsi="Verdana"/>
          <w:sz w:val="20"/>
          <w:szCs w:val="20"/>
        </w:rPr>
        <w:t xml:space="preserve"> per cent result recorded </w:t>
      </w:r>
      <w:r w:rsidR="00C072ED" w:rsidRPr="00BF0249">
        <w:rPr>
          <w:rFonts w:ascii="Verdana" w:hAnsi="Verdana"/>
          <w:sz w:val="20"/>
          <w:szCs w:val="20"/>
        </w:rPr>
        <w:t>for the</w:t>
      </w:r>
      <w:r w:rsidR="00E2465B" w:rsidRPr="00BF0249">
        <w:rPr>
          <w:rFonts w:ascii="Verdana" w:hAnsi="Verdana"/>
          <w:sz w:val="20"/>
          <w:szCs w:val="20"/>
        </w:rPr>
        <w:t xml:space="preserve"> December quarter 201</w:t>
      </w:r>
      <w:r w:rsidR="00EB74BE" w:rsidRPr="00BF0249">
        <w:rPr>
          <w:rFonts w:ascii="Verdana" w:hAnsi="Verdana"/>
          <w:sz w:val="20"/>
          <w:szCs w:val="20"/>
        </w:rPr>
        <w:t>6</w:t>
      </w:r>
      <w:r w:rsidR="000A206C">
        <w:rPr>
          <w:rFonts w:ascii="Verdana" w:hAnsi="Verdana"/>
          <w:sz w:val="20"/>
          <w:szCs w:val="20"/>
        </w:rPr>
        <w:t>,</w:t>
      </w:r>
      <w:r w:rsidR="00134612" w:rsidRPr="00BF0249">
        <w:rPr>
          <w:rFonts w:ascii="Verdana" w:hAnsi="Verdana"/>
          <w:sz w:val="20"/>
          <w:szCs w:val="20"/>
        </w:rPr>
        <w:t xml:space="preserve"> </w:t>
      </w:r>
      <w:r w:rsidR="00C072ED" w:rsidRPr="00BF0249">
        <w:rPr>
          <w:rFonts w:ascii="Verdana" w:hAnsi="Verdana"/>
          <w:sz w:val="20"/>
          <w:szCs w:val="20"/>
        </w:rPr>
        <w:t xml:space="preserve">which </w:t>
      </w:r>
      <w:r w:rsidR="00663357" w:rsidRPr="00BF0249">
        <w:rPr>
          <w:rFonts w:ascii="Verdana" w:hAnsi="Verdana"/>
          <w:sz w:val="20"/>
          <w:szCs w:val="20"/>
        </w:rPr>
        <w:t xml:space="preserve">was </w:t>
      </w:r>
      <w:r w:rsidR="00134612" w:rsidRPr="00BF0249">
        <w:rPr>
          <w:rFonts w:ascii="Verdana" w:hAnsi="Verdana"/>
          <w:sz w:val="20"/>
          <w:szCs w:val="20"/>
        </w:rPr>
        <w:t>the</w:t>
      </w:r>
      <w:r w:rsidR="00134612" w:rsidRPr="00EB74BE">
        <w:rPr>
          <w:rFonts w:ascii="Verdana" w:hAnsi="Verdana"/>
          <w:sz w:val="20"/>
          <w:szCs w:val="20"/>
        </w:rPr>
        <w:t xml:space="preserve"> most contemporary </w:t>
      </w:r>
      <w:r w:rsidR="00663357" w:rsidRPr="00EB74BE">
        <w:rPr>
          <w:rFonts w:ascii="Verdana" w:hAnsi="Verdana"/>
          <w:sz w:val="20"/>
          <w:szCs w:val="20"/>
        </w:rPr>
        <w:t xml:space="preserve">figure available </w:t>
      </w:r>
      <w:r w:rsidR="00EB74BE" w:rsidRPr="00EB74BE">
        <w:rPr>
          <w:rFonts w:ascii="Verdana" w:hAnsi="Verdana"/>
          <w:sz w:val="20"/>
          <w:szCs w:val="20"/>
        </w:rPr>
        <w:t>at the time of the Panel’s 6</w:t>
      </w:r>
      <w:r w:rsidR="00134612" w:rsidRPr="00EB74BE">
        <w:rPr>
          <w:rFonts w:ascii="Verdana" w:hAnsi="Verdana"/>
          <w:sz w:val="20"/>
          <w:szCs w:val="20"/>
        </w:rPr>
        <w:t xml:space="preserve"> </w:t>
      </w:r>
      <w:r w:rsidR="00EB74BE" w:rsidRPr="00EB74BE">
        <w:rPr>
          <w:rFonts w:ascii="Verdana" w:hAnsi="Verdana"/>
          <w:sz w:val="20"/>
          <w:szCs w:val="20"/>
        </w:rPr>
        <w:t>June</w:t>
      </w:r>
      <w:r w:rsidR="00134612" w:rsidRPr="00EB74BE">
        <w:rPr>
          <w:rFonts w:ascii="Verdana" w:hAnsi="Verdana"/>
          <w:sz w:val="20"/>
          <w:szCs w:val="20"/>
        </w:rPr>
        <w:t xml:space="preserve"> 201</w:t>
      </w:r>
      <w:r w:rsidR="00EB74BE" w:rsidRPr="00EB74BE">
        <w:rPr>
          <w:rFonts w:ascii="Verdana" w:hAnsi="Verdana"/>
          <w:sz w:val="20"/>
          <w:szCs w:val="20"/>
        </w:rPr>
        <w:t>7</w:t>
      </w:r>
      <w:r w:rsidR="00134612" w:rsidRPr="00EB74BE">
        <w:rPr>
          <w:rFonts w:ascii="Verdana" w:hAnsi="Verdana"/>
          <w:sz w:val="20"/>
          <w:szCs w:val="20"/>
        </w:rPr>
        <w:t xml:space="preserve"> decision</w:t>
      </w:r>
      <w:r w:rsidR="00ED7F85" w:rsidRPr="00EB74BE">
        <w:rPr>
          <w:rFonts w:ascii="Verdana" w:hAnsi="Verdana"/>
          <w:sz w:val="20"/>
          <w:szCs w:val="20"/>
        </w:rPr>
        <w:t>.</w:t>
      </w:r>
    </w:p>
    <w:p w:rsidR="0027187E" w:rsidRDefault="0027187E" w:rsidP="00E2465B">
      <w:pPr>
        <w:rPr>
          <w:rFonts w:ascii="Verdana" w:hAnsi="Verdana"/>
          <w:sz w:val="20"/>
          <w:szCs w:val="20"/>
        </w:rPr>
      </w:pPr>
      <w:r>
        <w:rPr>
          <w:rFonts w:ascii="Verdana" w:hAnsi="Verdana"/>
          <w:sz w:val="20"/>
          <w:szCs w:val="20"/>
        </w:rPr>
        <w:t>There has been a turnaround in business investment owing to an improvement in non-mining capital expenditure while mining investment ha</w:t>
      </w:r>
      <w:r w:rsidR="00865C67">
        <w:rPr>
          <w:rFonts w:ascii="Verdana" w:hAnsi="Verdana"/>
          <w:sz w:val="20"/>
          <w:szCs w:val="20"/>
        </w:rPr>
        <w:t>s</w:t>
      </w:r>
      <w:r>
        <w:rPr>
          <w:rFonts w:ascii="Verdana" w:hAnsi="Verdana"/>
          <w:sz w:val="20"/>
          <w:szCs w:val="20"/>
        </w:rPr>
        <w:t xml:space="preserve"> held firm</w:t>
      </w:r>
      <w:r w:rsidR="00DF2304">
        <w:rPr>
          <w:rFonts w:ascii="Verdana" w:hAnsi="Verdana"/>
          <w:sz w:val="20"/>
          <w:szCs w:val="20"/>
        </w:rPr>
        <w:t xml:space="preserve"> with asset depreciation offset by new investments</w:t>
      </w:r>
      <w:r>
        <w:rPr>
          <w:rFonts w:ascii="Verdana" w:hAnsi="Verdana"/>
          <w:sz w:val="20"/>
          <w:szCs w:val="20"/>
        </w:rPr>
        <w:t xml:space="preserve">.  </w:t>
      </w:r>
      <w:r w:rsidR="000A206C">
        <w:rPr>
          <w:rFonts w:ascii="Verdana" w:hAnsi="Verdana"/>
          <w:sz w:val="20"/>
          <w:szCs w:val="20"/>
        </w:rPr>
        <w:t>T</w:t>
      </w:r>
      <w:r>
        <w:rPr>
          <w:rFonts w:ascii="Verdana" w:hAnsi="Verdana"/>
          <w:sz w:val="20"/>
          <w:szCs w:val="20"/>
        </w:rPr>
        <w:t xml:space="preserve">he turnaround in business </w:t>
      </w:r>
      <w:r w:rsidR="00865C67">
        <w:rPr>
          <w:rFonts w:ascii="Verdana" w:hAnsi="Verdana"/>
          <w:sz w:val="20"/>
          <w:szCs w:val="20"/>
        </w:rPr>
        <w:t xml:space="preserve">investment means </w:t>
      </w:r>
      <w:r w:rsidR="00EF7E0D">
        <w:rPr>
          <w:rFonts w:ascii="Verdana" w:hAnsi="Verdana"/>
          <w:sz w:val="20"/>
          <w:szCs w:val="20"/>
        </w:rPr>
        <w:t xml:space="preserve">it </w:t>
      </w:r>
      <w:r w:rsidR="00865C67">
        <w:rPr>
          <w:rFonts w:ascii="Verdana" w:hAnsi="Verdana"/>
          <w:sz w:val="20"/>
          <w:szCs w:val="20"/>
        </w:rPr>
        <w:t>is no longer weighing on growth</w:t>
      </w:r>
      <w:r w:rsidR="00D72E6E">
        <w:rPr>
          <w:rFonts w:ascii="Verdana" w:hAnsi="Verdana"/>
          <w:sz w:val="20"/>
          <w:szCs w:val="20"/>
        </w:rPr>
        <w:t xml:space="preserve"> (Chart 1 refers)</w:t>
      </w:r>
      <w:r w:rsidR="00865C67">
        <w:rPr>
          <w:rFonts w:ascii="Verdana" w:hAnsi="Verdana"/>
          <w:sz w:val="20"/>
          <w:szCs w:val="20"/>
        </w:rPr>
        <w:t>.</w:t>
      </w:r>
    </w:p>
    <w:p w:rsidR="00EB74BE" w:rsidRDefault="00865C67" w:rsidP="00E2465B">
      <w:pPr>
        <w:rPr>
          <w:rFonts w:ascii="Verdana" w:hAnsi="Verdana"/>
          <w:sz w:val="20"/>
          <w:szCs w:val="20"/>
        </w:rPr>
      </w:pPr>
      <w:r>
        <w:rPr>
          <w:rFonts w:ascii="Verdana" w:hAnsi="Verdana"/>
          <w:sz w:val="20"/>
          <w:szCs w:val="20"/>
        </w:rPr>
        <w:t>P</w:t>
      </w:r>
      <w:r w:rsidR="00EB74BE">
        <w:rPr>
          <w:rFonts w:ascii="Verdana" w:hAnsi="Verdana"/>
          <w:sz w:val="20"/>
          <w:szCs w:val="20"/>
        </w:rPr>
        <w:t xml:space="preserve">ublic investment in major infrastructure projects </w:t>
      </w:r>
      <w:r>
        <w:rPr>
          <w:rFonts w:ascii="Verdana" w:hAnsi="Verdana"/>
          <w:sz w:val="20"/>
          <w:szCs w:val="20"/>
        </w:rPr>
        <w:t>has</w:t>
      </w:r>
      <w:r w:rsidR="00EB74BE">
        <w:rPr>
          <w:rFonts w:ascii="Verdana" w:hAnsi="Verdana"/>
          <w:sz w:val="20"/>
          <w:szCs w:val="20"/>
        </w:rPr>
        <w:t xml:space="preserve"> </w:t>
      </w:r>
      <w:r>
        <w:rPr>
          <w:rFonts w:ascii="Verdana" w:hAnsi="Verdana"/>
          <w:sz w:val="20"/>
          <w:szCs w:val="20"/>
        </w:rPr>
        <w:t>contributed to</w:t>
      </w:r>
      <w:r w:rsidR="00EB74BE">
        <w:rPr>
          <w:rFonts w:ascii="Verdana" w:hAnsi="Verdana"/>
          <w:sz w:val="20"/>
          <w:szCs w:val="20"/>
        </w:rPr>
        <w:t xml:space="preserve"> growth</w:t>
      </w:r>
      <w:r w:rsidR="00784897">
        <w:rPr>
          <w:rFonts w:ascii="Verdana" w:hAnsi="Verdana"/>
          <w:sz w:val="20"/>
          <w:szCs w:val="20"/>
        </w:rPr>
        <w:t xml:space="preserve"> over recent quarters</w:t>
      </w:r>
      <w:r w:rsidR="002D0CD0">
        <w:rPr>
          <w:rFonts w:ascii="Verdana" w:hAnsi="Verdana"/>
          <w:sz w:val="20"/>
          <w:szCs w:val="20"/>
        </w:rPr>
        <w:t xml:space="preserve">.  </w:t>
      </w:r>
      <w:r>
        <w:rPr>
          <w:rFonts w:ascii="Verdana" w:hAnsi="Verdana"/>
          <w:sz w:val="20"/>
          <w:szCs w:val="20"/>
        </w:rPr>
        <w:t xml:space="preserve">While residential construction has softened </w:t>
      </w:r>
      <w:r w:rsidR="000A206C">
        <w:rPr>
          <w:rFonts w:ascii="Verdana" w:hAnsi="Verdana"/>
          <w:sz w:val="20"/>
          <w:szCs w:val="20"/>
        </w:rPr>
        <w:t xml:space="preserve">in </w:t>
      </w:r>
      <w:r>
        <w:rPr>
          <w:rFonts w:ascii="Verdana" w:hAnsi="Verdana"/>
          <w:sz w:val="20"/>
          <w:szCs w:val="20"/>
        </w:rPr>
        <w:t xml:space="preserve">recent months, </w:t>
      </w:r>
      <w:r w:rsidR="0027187E">
        <w:rPr>
          <w:rFonts w:ascii="Verdana" w:hAnsi="Verdana"/>
          <w:sz w:val="20"/>
          <w:szCs w:val="20"/>
        </w:rPr>
        <w:t xml:space="preserve">building approvals increased in </w:t>
      </w:r>
      <w:r w:rsidR="0027187E" w:rsidRPr="00C3209A">
        <w:rPr>
          <w:rFonts w:ascii="Verdana" w:hAnsi="Verdana"/>
          <w:sz w:val="20"/>
          <w:szCs w:val="20"/>
        </w:rPr>
        <w:t>the second half of 2017 and the pipeline of yet to be completed projects is particularly</w:t>
      </w:r>
      <w:r w:rsidRPr="00C3209A">
        <w:rPr>
          <w:rFonts w:ascii="Verdana" w:hAnsi="Verdana"/>
          <w:sz w:val="20"/>
          <w:szCs w:val="20"/>
        </w:rPr>
        <w:t xml:space="preserve"> strong</w:t>
      </w:r>
      <w:r w:rsidR="0027187E" w:rsidRPr="00C3209A">
        <w:rPr>
          <w:rFonts w:ascii="Verdana" w:hAnsi="Verdana"/>
          <w:sz w:val="20"/>
          <w:szCs w:val="20"/>
        </w:rPr>
        <w:t xml:space="preserve"> in Victoria and New South Wales.</w:t>
      </w:r>
      <w:r w:rsidR="002D0CD0">
        <w:rPr>
          <w:rFonts w:ascii="Verdana" w:hAnsi="Verdana"/>
          <w:sz w:val="20"/>
          <w:szCs w:val="20"/>
        </w:rPr>
        <w:t xml:space="preserve">  </w:t>
      </w:r>
      <w:r w:rsidR="00DA71CE" w:rsidRPr="00C3209A">
        <w:rPr>
          <w:rFonts w:ascii="Verdana" w:hAnsi="Verdana"/>
          <w:sz w:val="20"/>
          <w:szCs w:val="20"/>
        </w:rPr>
        <w:t xml:space="preserve">Favourable conditions </w:t>
      </w:r>
      <w:r w:rsidR="002D0CD0">
        <w:rPr>
          <w:rFonts w:ascii="Verdana" w:hAnsi="Verdana"/>
          <w:sz w:val="20"/>
          <w:szCs w:val="20"/>
        </w:rPr>
        <w:t xml:space="preserve">due to </w:t>
      </w:r>
      <w:r w:rsidR="00DA71CE" w:rsidRPr="00C3209A">
        <w:rPr>
          <w:rFonts w:ascii="Verdana" w:hAnsi="Verdana"/>
          <w:sz w:val="20"/>
          <w:szCs w:val="20"/>
        </w:rPr>
        <w:t xml:space="preserve">low </w:t>
      </w:r>
      <w:r w:rsidR="002D0CD0">
        <w:rPr>
          <w:rFonts w:ascii="Verdana" w:hAnsi="Verdana"/>
          <w:sz w:val="20"/>
          <w:szCs w:val="20"/>
        </w:rPr>
        <w:t xml:space="preserve">interest rates and </w:t>
      </w:r>
      <w:r w:rsidR="00DA71CE" w:rsidRPr="00C3209A">
        <w:rPr>
          <w:rFonts w:ascii="Verdana" w:hAnsi="Verdana"/>
          <w:sz w:val="20"/>
          <w:szCs w:val="20"/>
        </w:rPr>
        <w:t>Australian dollar</w:t>
      </w:r>
      <w:r w:rsidR="0042361B" w:rsidRPr="00C3209A">
        <w:rPr>
          <w:rFonts w:ascii="Verdana" w:hAnsi="Verdana"/>
          <w:sz w:val="20"/>
          <w:szCs w:val="20"/>
        </w:rPr>
        <w:t xml:space="preserve"> </w:t>
      </w:r>
      <w:r w:rsidR="00DA71CE" w:rsidRPr="00C3209A">
        <w:rPr>
          <w:rFonts w:ascii="Verdana" w:hAnsi="Verdana"/>
          <w:sz w:val="20"/>
          <w:szCs w:val="20"/>
        </w:rPr>
        <w:t>continue</w:t>
      </w:r>
      <w:r w:rsidR="0042361B" w:rsidRPr="00C3209A">
        <w:rPr>
          <w:rFonts w:ascii="Verdana" w:hAnsi="Verdana"/>
          <w:sz w:val="20"/>
          <w:szCs w:val="20"/>
        </w:rPr>
        <w:t xml:space="preserve"> to support growth</w:t>
      </w:r>
      <w:r w:rsidR="00EB74BE" w:rsidRPr="00C3209A">
        <w:rPr>
          <w:rFonts w:ascii="Verdana" w:hAnsi="Verdana"/>
          <w:sz w:val="20"/>
          <w:szCs w:val="20"/>
        </w:rPr>
        <w:t xml:space="preserve"> relative to previous periods</w:t>
      </w:r>
      <w:r w:rsidR="0027187E" w:rsidRPr="00C3209A">
        <w:rPr>
          <w:rFonts w:ascii="Verdana" w:hAnsi="Verdana"/>
          <w:sz w:val="20"/>
          <w:szCs w:val="20"/>
        </w:rPr>
        <w:t>.</w:t>
      </w:r>
    </w:p>
    <w:p w:rsidR="00D72E6E" w:rsidRPr="00F95967" w:rsidRDefault="00D72E6E" w:rsidP="00D72E6E">
      <w:pPr>
        <w:numPr>
          <w:ilvl w:val="1"/>
          <w:numId w:val="0"/>
        </w:numPr>
        <w:jc w:val="center"/>
        <w:rPr>
          <w:rFonts w:ascii="Verdana" w:eastAsiaTheme="majorEastAsia" w:hAnsi="Verdana" w:cstheme="majorBidi"/>
          <w:b/>
          <w:iCs/>
          <w:spacing w:val="15"/>
          <w:sz w:val="16"/>
          <w:szCs w:val="16"/>
        </w:rPr>
      </w:pPr>
      <w:r w:rsidRPr="00F95967">
        <w:rPr>
          <w:rFonts w:ascii="Verdana" w:eastAsiaTheme="majorEastAsia" w:hAnsi="Verdana" w:cstheme="majorBidi"/>
          <w:b/>
          <w:iCs/>
          <w:spacing w:val="15"/>
          <w:sz w:val="16"/>
          <w:szCs w:val="16"/>
        </w:rPr>
        <w:t>Chart 1 – Contributions to GDP growth (tty)</w:t>
      </w:r>
    </w:p>
    <w:p w:rsidR="00D72E6E" w:rsidRPr="00F95967" w:rsidRDefault="00F95967" w:rsidP="00D72E6E">
      <w:pPr>
        <w:spacing w:after="0" w:line="240" w:lineRule="auto"/>
        <w:jc w:val="center"/>
        <w:rPr>
          <w:rFonts w:ascii="Verdana" w:hAnsi="Verdana"/>
          <w:sz w:val="20"/>
          <w:szCs w:val="20"/>
        </w:rPr>
      </w:pPr>
      <w:r w:rsidRPr="00F95967">
        <w:rPr>
          <w:noProof/>
          <w:lang w:eastAsia="en-AU"/>
        </w:rPr>
        <w:drawing>
          <wp:inline distT="0" distB="0" distL="0" distR="0" wp14:anchorId="09C45BC7" wp14:editId="4D018EED">
            <wp:extent cx="6030595" cy="3783309"/>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0595" cy="3783309"/>
                    </a:xfrm>
                    <a:prstGeom prst="rect">
                      <a:avLst/>
                    </a:prstGeom>
                    <a:noFill/>
                    <a:ln>
                      <a:noFill/>
                    </a:ln>
                  </pic:spPr>
                </pic:pic>
              </a:graphicData>
            </a:graphic>
          </wp:inline>
        </w:drawing>
      </w:r>
    </w:p>
    <w:p w:rsidR="00D72E6E" w:rsidRPr="00DD4495" w:rsidRDefault="00D72E6E" w:rsidP="00D72E6E">
      <w:pPr>
        <w:spacing w:before="120"/>
        <w:jc w:val="center"/>
        <w:rPr>
          <w:rFonts w:ascii="Verdana" w:hAnsi="Verdana"/>
          <w:sz w:val="20"/>
          <w:szCs w:val="20"/>
        </w:rPr>
      </w:pPr>
      <w:r w:rsidRPr="00F95967">
        <w:rPr>
          <w:rFonts w:ascii="Verdana" w:hAnsi="Verdana"/>
          <w:sz w:val="14"/>
          <w:szCs w:val="20"/>
        </w:rPr>
        <w:t>Source: ABS</w:t>
      </w:r>
      <w:r w:rsidRPr="00F95967">
        <w:rPr>
          <w:rFonts w:ascii="Verdana" w:hAnsi="Verdana"/>
          <w:sz w:val="14"/>
          <w:szCs w:val="20"/>
        </w:rPr>
        <w:br/>
        <w:t>Note: ‘Other’ is comprised of changes in inventories and statistical discrepancy</w:t>
      </w:r>
    </w:p>
    <w:p w:rsidR="0075349D" w:rsidRDefault="0075349D" w:rsidP="0075349D">
      <w:pPr>
        <w:numPr>
          <w:ilvl w:val="1"/>
          <w:numId w:val="0"/>
        </w:numPr>
        <w:rPr>
          <w:rFonts w:ascii="Verdana" w:hAnsi="Verdana"/>
          <w:sz w:val="20"/>
          <w:szCs w:val="20"/>
        </w:rPr>
      </w:pPr>
      <w:r w:rsidRPr="00212443">
        <w:rPr>
          <w:rFonts w:ascii="Verdana" w:hAnsi="Verdana"/>
          <w:sz w:val="20"/>
          <w:szCs w:val="20"/>
        </w:rPr>
        <w:t xml:space="preserve">Overall </w:t>
      </w:r>
      <w:r w:rsidR="00D31F4E">
        <w:rPr>
          <w:rFonts w:ascii="Verdana" w:hAnsi="Verdana"/>
          <w:sz w:val="20"/>
          <w:szCs w:val="20"/>
        </w:rPr>
        <w:t>ABI observes that despite a modest</w:t>
      </w:r>
      <w:r>
        <w:rPr>
          <w:rFonts w:ascii="Verdana" w:hAnsi="Verdana"/>
          <w:sz w:val="20"/>
          <w:szCs w:val="20"/>
        </w:rPr>
        <w:t xml:space="preserve"> strengthening of economic conditions since the last decision, the persistence of low wages growth points to a continued conservative bias </w:t>
      </w:r>
      <w:r>
        <w:rPr>
          <w:rFonts w:ascii="Verdana" w:hAnsi="Verdana"/>
          <w:sz w:val="20"/>
          <w:szCs w:val="20"/>
        </w:rPr>
        <w:lastRenderedPageBreak/>
        <w:t xml:space="preserve">among the household and business sectors.  Strengthening business investment may support improving conditions for households, though forward plans appear to rest on wage stability with limited scope to increase prices over the near term. </w:t>
      </w:r>
    </w:p>
    <w:p w:rsidR="0075349D" w:rsidRDefault="0075349D" w:rsidP="0075349D">
      <w:pPr>
        <w:rPr>
          <w:rFonts w:ascii="Verdana" w:hAnsi="Verdana"/>
          <w:sz w:val="20"/>
          <w:szCs w:val="20"/>
        </w:rPr>
      </w:pPr>
      <w:r>
        <w:rPr>
          <w:rFonts w:ascii="Verdana" w:hAnsi="Verdana"/>
          <w:sz w:val="20"/>
          <w:szCs w:val="20"/>
        </w:rPr>
        <w:t xml:space="preserve">As ABI has previously maintained, including in periods of weaker growth, </w:t>
      </w:r>
      <w:r w:rsidRPr="0075349D">
        <w:rPr>
          <w:rFonts w:ascii="Verdana" w:hAnsi="Verdana"/>
          <w:sz w:val="20"/>
          <w:szCs w:val="20"/>
        </w:rPr>
        <w:t xml:space="preserve">the performance of the national economy does not directly translate into a case for a higher or lower minimum wage increase.  </w:t>
      </w:r>
      <w:r>
        <w:rPr>
          <w:rFonts w:ascii="Verdana" w:hAnsi="Verdana"/>
          <w:sz w:val="20"/>
          <w:szCs w:val="20"/>
        </w:rPr>
        <w:t xml:space="preserve">In line with the framework presented in Part II, ABI contends the improvement in macroeconomic conditions </w:t>
      </w:r>
      <w:r w:rsidR="00810F5B">
        <w:rPr>
          <w:rFonts w:ascii="Verdana" w:hAnsi="Verdana"/>
          <w:sz w:val="20"/>
          <w:szCs w:val="20"/>
        </w:rPr>
        <w:t>does not justify</w:t>
      </w:r>
      <w:r>
        <w:rPr>
          <w:rFonts w:ascii="Verdana" w:hAnsi="Verdana"/>
          <w:sz w:val="20"/>
          <w:szCs w:val="20"/>
        </w:rPr>
        <w:t xml:space="preserve"> additional scope to increase the NMW.  This is because the drivers of improving economic conditions do not suggest strength in the parts of the economy most impacted by changes to the NMW.</w:t>
      </w:r>
      <w:r w:rsidR="001950A8">
        <w:rPr>
          <w:rFonts w:ascii="Verdana" w:hAnsi="Verdana"/>
          <w:sz w:val="20"/>
          <w:szCs w:val="20"/>
        </w:rPr>
        <w:t xml:space="preserve"> </w:t>
      </w:r>
      <w:r>
        <w:rPr>
          <w:rFonts w:ascii="Verdana" w:hAnsi="Verdana"/>
          <w:sz w:val="20"/>
          <w:szCs w:val="20"/>
        </w:rPr>
        <w:t xml:space="preserve"> Conditions in the most award-reliant industries will be examined later in this submission. </w:t>
      </w:r>
    </w:p>
    <w:p w:rsidR="00C41B42" w:rsidRPr="00DD4495" w:rsidRDefault="00886072" w:rsidP="002D2940">
      <w:pPr>
        <w:rPr>
          <w:rFonts w:ascii="Verdana" w:eastAsiaTheme="majorEastAsia" w:hAnsi="Verdana" w:cstheme="majorBidi"/>
          <w:iCs/>
          <w:color w:val="808080" w:themeColor="background1" w:themeShade="80"/>
          <w:spacing w:val="15"/>
          <w:sz w:val="28"/>
          <w:szCs w:val="28"/>
        </w:rPr>
      </w:pPr>
      <w:r>
        <w:rPr>
          <w:rFonts w:ascii="Verdana" w:eastAsiaTheme="majorEastAsia" w:hAnsi="Verdana" w:cstheme="majorBidi"/>
          <w:iCs/>
          <w:color w:val="808080" w:themeColor="background1" w:themeShade="80"/>
          <w:spacing w:val="15"/>
          <w:sz w:val="28"/>
          <w:szCs w:val="28"/>
        </w:rPr>
        <w:t>Sustained l</w:t>
      </w:r>
      <w:r w:rsidR="00BD0EF8">
        <w:rPr>
          <w:rFonts w:ascii="Verdana" w:eastAsiaTheme="majorEastAsia" w:hAnsi="Verdana" w:cstheme="majorBidi"/>
          <w:iCs/>
          <w:color w:val="808080" w:themeColor="background1" w:themeShade="80"/>
          <w:spacing w:val="15"/>
          <w:sz w:val="28"/>
          <w:szCs w:val="28"/>
        </w:rPr>
        <w:t>ow prices growth in the Australian economy</w:t>
      </w:r>
    </w:p>
    <w:p w:rsidR="00C41B42" w:rsidRDefault="00C41B42" w:rsidP="00C41B42">
      <w:pPr>
        <w:rPr>
          <w:rFonts w:ascii="Verdana" w:hAnsi="Verdana"/>
          <w:sz w:val="20"/>
          <w:szCs w:val="20"/>
        </w:rPr>
      </w:pPr>
      <w:r w:rsidRPr="00F87321">
        <w:rPr>
          <w:rFonts w:ascii="Verdana" w:hAnsi="Verdana"/>
          <w:sz w:val="20"/>
          <w:szCs w:val="20"/>
        </w:rPr>
        <w:t xml:space="preserve">While inflation has been well managed in Australia since at least the mid 1990s, prices growth in the post global financial crisis economy has been particularly subdued.  Headline and underlying measures of inflation have trended down since </w:t>
      </w:r>
      <w:r w:rsidR="00DF44CE">
        <w:rPr>
          <w:rFonts w:ascii="Verdana" w:hAnsi="Verdana"/>
          <w:sz w:val="20"/>
          <w:szCs w:val="20"/>
        </w:rPr>
        <w:t xml:space="preserve">2008, while living cost indices, producer prices and wages growth have also been persistently low </w:t>
      </w:r>
      <w:r w:rsidRPr="00F87321">
        <w:rPr>
          <w:rFonts w:ascii="Verdana" w:hAnsi="Verdana"/>
          <w:sz w:val="20"/>
          <w:szCs w:val="20"/>
        </w:rPr>
        <w:t xml:space="preserve">(Chart </w:t>
      </w:r>
      <w:r w:rsidR="002955D4">
        <w:rPr>
          <w:rFonts w:ascii="Verdana" w:hAnsi="Verdana"/>
          <w:sz w:val="20"/>
          <w:szCs w:val="20"/>
        </w:rPr>
        <w:t>2</w:t>
      </w:r>
      <w:r w:rsidRPr="00F87321">
        <w:rPr>
          <w:rFonts w:ascii="Verdana" w:hAnsi="Verdana"/>
          <w:sz w:val="20"/>
          <w:szCs w:val="20"/>
        </w:rPr>
        <w:t xml:space="preserve"> refers). </w:t>
      </w:r>
      <w:r w:rsidR="000A206C">
        <w:rPr>
          <w:rFonts w:ascii="Verdana" w:hAnsi="Verdana"/>
          <w:sz w:val="20"/>
          <w:szCs w:val="20"/>
        </w:rPr>
        <w:t xml:space="preserve"> </w:t>
      </w:r>
      <w:r w:rsidR="0016073A">
        <w:rPr>
          <w:rFonts w:ascii="Verdana" w:hAnsi="Verdana"/>
          <w:sz w:val="20"/>
          <w:szCs w:val="20"/>
        </w:rPr>
        <w:t xml:space="preserve">Most of the key price measures including </w:t>
      </w:r>
      <w:r w:rsidR="0063660C">
        <w:rPr>
          <w:rFonts w:ascii="Verdana" w:hAnsi="Verdana"/>
          <w:sz w:val="20"/>
          <w:szCs w:val="20"/>
        </w:rPr>
        <w:t xml:space="preserve">the </w:t>
      </w:r>
      <w:r w:rsidR="003E2508">
        <w:rPr>
          <w:rFonts w:ascii="Verdana" w:hAnsi="Verdana"/>
          <w:sz w:val="20"/>
          <w:szCs w:val="20"/>
        </w:rPr>
        <w:t>Consumer Price Index (CPI)</w:t>
      </w:r>
      <w:r w:rsidR="0016073A">
        <w:rPr>
          <w:rFonts w:ascii="Verdana" w:hAnsi="Verdana"/>
          <w:sz w:val="20"/>
          <w:szCs w:val="20"/>
        </w:rPr>
        <w:t xml:space="preserve">, </w:t>
      </w:r>
      <w:r w:rsidR="0063660C">
        <w:rPr>
          <w:rFonts w:ascii="Verdana" w:hAnsi="Verdana"/>
          <w:sz w:val="20"/>
          <w:szCs w:val="20"/>
        </w:rPr>
        <w:t>Producer Price Index (</w:t>
      </w:r>
      <w:r w:rsidR="0016073A">
        <w:rPr>
          <w:rFonts w:ascii="Verdana" w:hAnsi="Verdana"/>
          <w:sz w:val="20"/>
          <w:szCs w:val="20"/>
        </w:rPr>
        <w:t>PPI</w:t>
      </w:r>
      <w:r w:rsidR="0063660C">
        <w:rPr>
          <w:rFonts w:ascii="Verdana" w:hAnsi="Verdana"/>
          <w:sz w:val="20"/>
          <w:szCs w:val="20"/>
        </w:rPr>
        <w:t>)</w:t>
      </w:r>
      <w:r w:rsidR="0016073A">
        <w:rPr>
          <w:rFonts w:ascii="Verdana" w:hAnsi="Verdana"/>
          <w:sz w:val="20"/>
          <w:szCs w:val="20"/>
        </w:rPr>
        <w:t xml:space="preserve"> and underlying measures of inflation have gravitated to a focal point of just under 2 per cent.</w:t>
      </w:r>
    </w:p>
    <w:p w:rsidR="00DF44CE" w:rsidRDefault="00DF44CE" w:rsidP="00C41B42">
      <w:pPr>
        <w:rPr>
          <w:rFonts w:ascii="Verdana" w:hAnsi="Verdana"/>
          <w:sz w:val="20"/>
          <w:szCs w:val="20"/>
        </w:rPr>
      </w:pPr>
      <w:r>
        <w:rPr>
          <w:rFonts w:ascii="Verdana" w:hAnsi="Verdana"/>
          <w:sz w:val="20"/>
          <w:szCs w:val="20"/>
        </w:rPr>
        <w:t xml:space="preserve">More recently it appears that there has been a bottoming out with some price measures starting to increase modestly from 2016. </w:t>
      </w:r>
      <w:r w:rsidR="0016073A">
        <w:rPr>
          <w:rFonts w:ascii="Verdana" w:hAnsi="Verdana"/>
          <w:sz w:val="20"/>
          <w:szCs w:val="20"/>
        </w:rPr>
        <w:t xml:space="preserve"> These price increases are not broad-based with</w:t>
      </w:r>
      <w:r w:rsidR="00833D30">
        <w:rPr>
          <w:rFonts w:ascii="Verdana" w:hAnsi="Verdana"/>
          <w:sz w:val="20"/>
          <w:szCs w:val="20"/>
        </w:rPr>
        <w:t xml:space="preserve"> the</w:t>
      </w:r>
      <w:r w:rsidR="0016073A">
        <w:rPr>
          <w:rFonts w:ascii="Verdana" w:hAnsi="Verdana"/>
          <w:sz w:val="20"/>
          <w:szCs w:val="20"/>
        </w:rPr>
        <w:t xml:space="preserve"> </w:t>
      </w:r>
      <w:r w:rsidR="0016073A" w:rsidRPr="00833D30">
        <w:rPr>
          <w:rFonts w:ascii="Verdana" w:hAnsi="Verdana"/>
          <w:i/>
          <w:sz w:val="20"/>
          <w:szCs w:val="20"/>
        </w:rPr>
        <w:t>Housing</w:t>
      </w:r>
      <w:r w:rsidR="0016073A">
        <w:rPr>
          <w:rFonts w:ascii="Verdana" w:hAnsi="Verdana"/>
          <w:sz w:val="20"/>
          <w:szCs w:val="20"/>
        </w:rPr>
        <w:t xml:space="preserve">, </w:t>
      </w:r>
      <w:r w:rsidR="0016073A" w:rsidRPr="00833D30">
        <w:rPr>
          <w:rFonts w:ascii="Verdana" w:hAnsi="Verdana"/>
          <w:i/>
          <w:sz w:val="20"/>
          <w:szCs w:val="20"/>
        </w:rPr>
        <w:t>Alc</w:t>
      </w:r>
      <w:r w:rsidR="00833D30" w:rsidRPr="00833D30">
        <w:rPr>
          <w:rFonts w:ascii="Verdana" w:hAnsi="Verdana"/>
          <w:i/>
          <w:sz w:val="20"/>
          <w:szCs w:val="20"/>
        </w:rPr>
        <w:t>ohol and Tobacco</w:t>
      </w:r>
      <w:r w:rsidR="0016073A">
        <w:rPr>
          <w:rFonts w:ascii="Verdana" w:hAnsi="Verdana"/>
          <w:sz w:val="20"/>
          <w:szCs w:val="20"/>
        </w:rPr>
        <w:t xml:space="preserve"> and </w:t>
      </w:r>
      <w:r w:rsidR="0016073A" w:rsidRPr="00833D30">
        <w:rPr>
          <w:rFonts w:ascii="Verdana" w:hAnsi="Verdana"/>
          <w:i/>
          <w:sz w:val="20"/>
          <w:szCs w:val="20"/>
        </w:rPr>
        <w:t>T</w:t>
      </w:r>
      <w:r w:rsidR="00833D30" w:rsidRPr="00833D30">
        <w:rPr>
          <w:rFonts w:ascii="Verdana" w:hAnsi="Verdana"/>
          <w:i/>
          <w:sz w:val="20"/>
          <w:szCs w:val="20"/>
        </w:rPr>
        <w:t>ransport</w:t>
      </w:r>
      <w:r w:rsidR="00833D30">
        <w:rPr>
          <w:rFonts w:ascii="Verdana" w:hAnsi="Verdana"/>
          <w:sz w:val="20"/>
          <w:szCs w:val="20"/>
        </w:rPr>
        <w:t xml:space="preserve"> groups accounting for around 77 per cent of the increase in CPI between June 2016 and December 2017 </w:t>
      </w:r>
      <w:r w:rsidR="00E550BF">
        <w:rPr>
          <w:rFonts w:ascii="Verdana" w:hAnsi="Verdana"/>
          <w:sz w:val="20"/>
          <w:szCs w:val="20"/>
        </w:rPr>
        <w:t>(Chart 3</w:t>
      </w:r>
      <w:r w:rsidR="00833D30" w:rsidRPr="002C4836">
        <w:rPr>
          <w:rFonts w:ascii="Verdana" w:hAnsi="Verdana"/>
          <w:sz w:val="20"/>
          <w:szCs w:val="20"/>
        </w:rPr>
        <w:t xml:space="preserve"> refers).</w:t>
      </w:r>
    </w:p>
    <w:p w:rsidR="00C41B42" w:rsidRPr="00DD4495" w:rsidRDefault="00C41B42" w:rsidP="00C41B42">
      <w:pPr>
        <w:numPr>
          <w:ilvl w:val="1"/>
          <w:numId w:val="0"/>
        </w:numPr>
        <w:jc w:val="center"/>
        <w:rPr>
          <w:rFonts w:ascii="Verdana" w:eastAsiaTheme="majorEastAsia" w:hAnsi="Verdana" w:cstheme="majorBidi"/>
          <w:b/>
          <w:iCs/>
          <w:spacing w:val="15"/>
          <w:sz w:val="16"/>
          <w:szCs w:val="16"/>
        </w:rPr>
      </w:pPr>
      <w:r w:rsidRPr="00DD4495">
        <w:rPr>
          <w:rFonts w:ascii="Verdana" w:eastAsiaTheme="majorEastAsia" w:hAnsi="Verdana" w:cstheme="majorBidi"/>
          <w:b/>
          <w:iCs/>
          <w:spacing w:val="15"/>
          <w:sz w:val="16"/>
          <w:szCs w:val="16"/>
        </w:rPr>
        <w:t xml:space="preserve">Chart </w:t>
      </w:r>
      <w:r w:rsidR="002955D4">
        <w:rPr>
          <w:rFonts w:ascii="Verdana" w:eastAsiaTheme="majorEastAsia" w:hAnsi="Verdana" w:cstheme="majorBidi"/>
          <w:b/>
          <w:iCs/>
          <w:spacing w:val="15"/>
          <w:sz w:val="16"/>
          <w:szCs w:val="16"/>
        </w:rPr>
        <w:t>2</w:t>
      </w:r>
      <w:r w:rsidRPr="00DD4495">
        <w:rPr>
          <w:rFonts w:ascii="Verdana" w:eastAsiaTheme="majorEastAsia" w:hAnsi="Verdana" w:cstheme="majorBidi"/>
          <w:b/>
          <w:iCs/>
          <w:spacing w:val="15"/>
          <w:sz w:val="16"/>
          <w:szCs w:val="16"/>
        </w:rPr>
        <w:t xml:space="preserve"> – Measures of </w:t>
      </w:r>
      <w:r w:rsidR="00DF7F7B">
        <w:rPr>
          <w:rFonts w:ascii="Verdana" w:eastAsiaTheme="majorEastAsia" w:hAnsi="Verdana" w:cstheme="majorBidi"/>
          <w:b/>
          <w:iCs/>
          <w:spacing w:val="15"/>
          <w:sz w:val="16"/>
          <w:szCs w:val="16"/>
        </w:rPr>
        <w:t>prices in the Australian economy</w:t>
      </w:r>
      <w:r w:rsidRPr="00DD4495">
        <w:rPr>
          <w:rFonts w:ascii="Verdana" w:eastAsiaTheme="majorEastAsia" w:hAnsi="Verdana" w:cstheme="majorBidi"/>
          <w:b/>
          <w:iCs/>
          <w:spacing w:val="15"/>
          <w:sz w:val="16"/>
          <w:szCs w:val="16"/>
        </w:rPr>
        <w:t xml:space="preserve"> (%chg, tty)</w:t>
      </w:r>
    </w:p>
    <w:p w:rsidR="00C41B42" w:rsidRPr="00DD4495" w:rsidRDefault="008C37B5" w:rsidP="00C41B42">
      <w:pPr>
        <w:jc w:val="center"/>
        <w:rPr>
          <w:rFonts w:ascii="Verdana" w:hAnsi="Verdana"/>
          <w:sz w:val="20"/>
          <w:szCs w:val="20"/>
        </w:rPr>
      </w:pPr>
      <w:r w:rsidRPr="008C37B5">
        <w:rPr>
          <w:rFonts w:ascii="Verdana" w:hAnsi="Verdana"/>
          <w:sz w:val="20"/>
          <w:szCs w:val="20"/>
        </w:rPr>
        <w:t xml:space="preserve"> </w:t>
      </w:r>
      <w:r w:rsidR="00334BED" w:rsidRPr="00334BED">
        <w:rPr>
          <w:noProof/>
          <w:lang w:eastAsia="en-AU"/>
        </w:rPr>
        <w:drawing>
          <wp:inline distT="0" distB="0" distL="0" distR="0" wp14:anchorId="4FD4E553" wp14:editId="356E8914">
            <wp:extent cx="4565015" cy="2736215"/>
            <wp:effectExtent l="0" t="0" r="698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65015" cy="2736215"/>
                    </a:xfrm>
                    <a:prstGeom prst="rect">
                      <a:avLst/>
                    </a:prstGeom>
                    <a:noFill/>
                    <a:ln>
                      <a:noFill/>
                    </a:ln>
                  </pic:spPr>
                </pic:pic>
              </a:graphicData>
            </a:graphic>
          </wp:inline>
        </w:drawing>
      </w:r>
    </w:p>
    <w:p w:rsidR="00947B46" w:rsidRDefault="00C41B42" w:rsidP="00060CB6">
      <w:pPr>
        <w:spacing w:before="120"/>
        <w:jc w:val="center"/>
        <w:rPr>
          <w:rFonts w:ascii="Verdana" w:hAnsi="Verdana"/>
          <w:sz w:val="20"/>
          <w:szCs w:val="20"/>
        </w:rPr>
      </w:pPr>
      <w:r w:rsidRPr="00F87321">
        <w:rPr>
          <w:rFonts w:ascii="Verdana" w:hAnsi="Verdana"/>
          <w:sz w:val="14"/>
          <w:szCs w:val="20"/>
        </w:rPr>
        <w:t>Source: ABS</w:t>
      </w:r>
      <w:r w:rsidRPr="00F87321">
        <w:rPr>
          <w:rFonts w:ascii="Verdana" w:hAnsi="Verdana"/>
          <w:sz w:val="14"/>
          <w:szCs w:val="20"/>
        </w:rPr>
        <w:br/>
        <w:t xml:space="preserve">Notes: CPI is used for headline inflation, the average between the trimmed mean and </w:t>
      </w:r>
      <w:r w:rsidRPr="00F87321">
        <w:rPr>
          <w:rFonts w:ascii="Verdana" w:hAnsi="Verdana"/>
          <w:sz w:val="14"/>
          <w:szCs w:val="20"/>
        </w:rPr>
        <w:br/>
        <w:t>weighted median of CPI are used for underlying inflation</w:t>
      </w:r>
      <w:r w:rsidR="00DF7F7B">
        <w:rPr>
          <w:rFonts w:ascii="Verdana" w:hAnsi="Verdana"/>
          <w:sz w:val="14"/>
          <w:szCs w:val="20"/>
        </w:rPr>
        <w:t>, LCI is employee household series, WPI is private sector series</w:t>
      </w:r>
      <w:r w:rsidR="0066127E">
        <w:rPr>
          <w:rFonts w:ascii="Verdana" w:hAnsi="Verdana"/>
          <w:sz w:val="14"/>
          <w:szCs w:val="20"/>
        </w:rPr>
        <w:t>, PPI is final products series</w:t>
      </w:r>
      <w:r w:rsidR="00DF7F7B">
        <w:rPr>
          <w:rFonts w:ascii="Verdana" w:hAnsi="Verdana"/>
          <w:sz w:val="14"/>
          <w:szCs w:val="20"/>
        </w:rPr>
        <w:t>.</w:t>
      </w:r>
    </w:p>
    <w:p w:rsidR="0016073A" w:rsidRPr="00DD4495" w:rsidRDefault="0016073A" w:rsidP="0016073A">
      <w:pPr>
        <w:numPr>
          <w:ilvl w:val="1"/>
          <w:numId w:val="0"/>
        </w:numPr>
        <w:jc w:val="center"/>
        <w:rPr>
          <w:rFonts w:ascii="Verdana" w:eastAsiaTheme="majorEastAsia" w:hAnsi="Verdana" w:cstheme="majorBidi"/>
          <w:b/>
          <w:iCs/>
          <w:spacing w:val="15"/>
          <w:sz w:val="16"/>
          <w:szCs w:val="16"/>
        </w:rPr>
      </w:pPr>
      <w:r w:rsidRPr="00DD4495">
        <w:rPr>
          <w:rFonts w:ascii="Verdana" w:eastAsiaTheme="majorEastAsia" w:hAnsi="Verdana" w:cstheme="majorBidi"/>
          <w:b/>
          <w:iCs/>
          <w:spacing w:val="15"/>
          <w:sz w:val="16"/>
          <w:szCs w:val="16"/>
        </w:rPr>
        <w:lastRenderedPageBreak/>
        <w:t xml:space="preserve">Chart </w:t>
      </w:r>
      <w:r w:rsidR="00E550BF">
        <w:rPr>
          <w:rFonts w:ascii="Verdana" w:eastAsiaTheme="majorEastAsia" w:hAnsi="Verdana" w:cstheme="majorBidi"/>
          <w:b/>
          <w:iCs/>
          <w:spacing w:val="15"/>
          <w:sz w:val="16"/>
          <w:szCs w:val="16"/>
        </w:rPr>
        <w:t>3</w:t>
      </w:r>
      <w:r w:rsidRPr="00DD4495">
        <w:rPr>
          <w:rFonts w:ascii="Verdana" w:eastAsiaTheme="majorEastAsia" w:hAnsi="Verdana" w:cstheme="majorBidi"/>
          <w:b/>
          <w:iCs/>
          <w:spacing w:val="15"/>
          <w:sz w:val="16"/>
          <w:szCs w:val="16"/>
        </w:rPr>
        <w:t xml:space="preserve"> – </w:t>
      </w:r>
      <w:r>
        <w:rPr>
          <w:rFonts w:ascii="Verdana" w:eastAsiaTheme="majorEastAsia" w:hAnsi="Verdana" w:cstheme="majorBidi"/>
          <w:b/>
          <w:iCs/>
          <w:spacing w:val="15"/>
          <w:sz w:val="16"/>
          <w:szCs w:val="16"/>
        </w:rPr>
        <w:t>Contribution to CPI change between June 2016 and December 2017</w:t>
      </w:r>
      <w:r w:rsidRPr="00DD4495">
        <w:rPr>
          <w:rFonts w:ascii="Verdana" w:eastAsiaTheme="majorEastAsia" w:hAnsi="Verdana" w:cstheme="majorBidi"/>
          <w:b/>
          <w:iCs/>
          <w:spacing w:val="15"/>
          <w:sz w:val="16"/>
          <w:szCs w:val="16"/>
        </w:rPr>
        <w:t xml:space="preserve"> </w:t>
      </w:r>
      <w:r>
        <w:rPr>
          <w:rFonts w:ascii="Verdana" w:eastAsiaTheme="majorEastAsia" w:hAnsi="Verdana" w:cstheme="majorBidi"/>
          <w:b/>
          <w:iCs/>
          <w:spacing w:val="15"/>
          <w:sz w:val="16"/>
          <w:szCs w:val="16"/>
        </w:rPr>
        <w:br/>
      </w:r>
      <w:r w:rsidRPr="00DD4495">
        <w:rPr>
          <w:rFonts w:ascii="Verdana" w:eastAsiaTheme="majorEastAsia" w:hAnsi="Verdana" w:cstheme="majorBidi"/>
          <w:b/>
          <w:iCs/>
          <w:spacing w:val="15"/>
          <w:sz w:val="16"/>
          <w:szCs w:val="16"/>
        </w:rPr>
        <w:t>(</w:t>
      </w:r>
      <w:r>
        <w:rPr>
          <w:rFonts w:ascii="Verdana" w:eastAsiaTheme="majorEastAsia" w:hAnsi="Verdana" w:cstheme="majorBidi"/>
          <w:b/>
          <w:iCs/>
          <w:spacing w:val="15"/>
          <w:sz w:val="16"/>
          <w:szCs w:val="16"/>
        </w:rPr>
        <w:t>index points</w:t>
      </w:r>
      <w:r w:rsidRPr="00DD4495">
        <w:rPr>
          <w:rFonts w:ascii="Verdana" w:eastAsiaTheme="majorEastAsia" w:hAnsi="Verdana" w:cstheme="majorBidi"/>
          <w:b/>
          <w:iCs/>
          <w:spacing w:val="15"/>
          <w:sz w:val="16"/>
          <w:szCs w:val="16"/>
        </w:rPr>
        <w:t>)</w:t>
      </w:r>
    </w:p>
    <w:p w:rsidR="0016073A" w:rsidRDefault="0016073A" w:rsidP="0016073A">
      <w:pPr>
        <w:spacing w:before="120"/>
        <w:rPr>
          <w:rFonts w:ascii="Verdana" w:hAnsi="Verdana"/>
          <w:sz w:val="20"/>
          <w:szCs w:val="20"/>
        </w:rPr>
      </w:pPr>
      <w:r w:rsidRPr="007975D6">
        <w:rPr>
          <w:noProof/>
          <w:lang w:eastAsia="en-AU"/>
        </w:rPr>
        <w:drawing>
          <wp:inline distT="0" distB="0" distL="0" distR="0" wp14:anchorId="6C8D9BA1" wp14:editId="0F9867C0">
            <wp:extent cx="5588758" cy="262906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8758" cy="2629067"/>
                    </a:xfrm>
                    <a:prstGeom prst="rect">
                      <a:avLst/>
                    </a:prstGeom>
                    <a:noFill/>
                    <a:ln>
                      <a:noFill/>
                    </a:ln>
                  </pic:spPr>
                </pic:pic>
              </a:graphicData>
            </a:graphic>
          </wp:inline>
        </w:drawing>
      </w:r>
    </w:p>
    <w:p w:rsidR="0016073A" w:rsidRDefault="0016073A" w:rsidP="0016073A">
      <w:pPr>
        <w:spacing w:before="120"/>
        <w:jc w:val="center"/>
        <w:rPr>
          <w:rFonts w:ascii="Verdana" w:hAnsi="Verdana"/>
          <w:sz w:val="20"/>
          <w:szCs w:val="20"/>
        </w:rPr>
      </w:pPr>
      <w:r w:rsidRPr="00F87321">
        <w:rPr>
          <w:rFonts w:ascii="Verdana" w:hAnsi="Verdana"/>
          <w:sz w:val="14"/>
          <w:szCs w:val="20"/>
        </w:rPr>
        <w:t>Source: ABS</w:t>
      </w:r>
      <w:r w:rsidR="002208BC">
        <w:rPr>
          <w:rFonts w:ascii="Verdana" w:hAnsi="Verdana"/>
          <w:sz w:val="14"/>
          <w:szCs w:val="20"/>
        </w:rPr>
        <w:t>, ABI calculations</w:t>
      </w:r>
    </w:p>
    <w:p w:rsidR="00380B5E" w:rsidRDefault="00380B5E" w:rsidP="00060CB6">
      <w:pPr>
        <w:spacing w:before="120"/>
        <w:rPr>
          <w:rFonts w:ascii="Verdana" w:hAnsi="Verdana"/>
          <w:sz w:val="20"/>
          <w:szCs w:val="20"/>
        </w:rPr>
      </w:pPr>
      <w:r>
        <w:rPr>
          <w:rFonts w:ascii="Verdana" w:hAnsi="Verdana"/>
          <w:sz w:val="20"/>
          <w:szCs w:val="20"/>
        </w:rPr>
        <w:t xml:space="preserve">The </w:t>
      </w:r>
      <w:r w:rsidR="001426C8">
        <w:rPr>
          <w:rFonts w:ascii="Verdana" w:hAnsi="Verdana"/>
          <w:sz w:val="20"/>
          <w:szCs w:val="20"/>
        </w:rPr>
        <w:t>low inflationary environment</w:t>
      </w:r>
      <w:r w:rsidR="00FB6713">
        <w:rPr>
          <w:rFonts w:ascii="Verdana" w:hAnsi="Verdana"/>
          <w:sz w:val="20"/>
          <w:szCs w:val="20"/>
        </w:rPr>
        <w:t>, when broadly conceived to include all prices within the economy,</w:t>
      </w:r>
      <w:r>
        <w:rPr>
          <w:rFonts w:ascii="Verdana" w:hAnsi="Verdana"/>
          <w:sz w:val="20"/>
          <w:szCs w:val="20"/>
        </w:rPr>
        <w:t xml:space="preserve"> </w:t>
      </w:r>
      <w:r w:rsidR="001426C8">
        <w:rPr>
          <w:rFonts w:ascii="Verdana" w:hAnsi="Verdana"/>
          <w:sz w:val="20"/>
          <w:szCs w:val="20"/>
        </w:rPr>
        <w:t>is also evident in the</w:t>
      </w:r>
      <w:r>
        <w:rPr>
          <w:rFonts w:ascii="Verdana" w:hAnsi="Verdana"/>
          <w:sz w:val="20"/>
          <w:szCs w:val="20"/>
        </w:rPr>
        <w:t xml:space="preserve"> low </w:t>
      </w:r>
      <w:r w:rsidR="001426C8">
        <w:rPr>
          <w:rFonts w:ascii="Verdana" w:hAnsi="Verdana"/>
          <w:sz w:val="20"/>
          <w:szCs w:val="20"/>
        </w:rPr>
        <w:t xml:space="preserve">levels of </w:t>
      </w:r>
      <w:r>
        <w:rPr>
          <w:rFonts w:ascii="Verdana" w:hAnsi="Verdana"/>
          <w:sz w:val="20"/>
          <w:szCs w:val="20"/>
        </w:rPr>
        <w:t>wages growth</w:t>
      </w:r>
      <w:r w:rsidR="001426C8">
        <w:rPr>
          <w:rFonts w:ascii="Verdana" w:hAnsi="Verdana"/>
          <w:sz w:val="20"/>
          <w:szCs w:val="20"/>
        </w:rPr>
        <w:t xml:space="preserve"> seen in recent times</w:t>
      </w:r>
      <w:r>
        <w:rPr>
          <w:rFonts w:ascii="Verdana" w:hAnsi="Verdana"/>
          <w:sz w:val="20"/>
          <w:szCs w:val="20"/>
        </w:rPr>
        <w:t xml:space="preserve">.  The </w:t>
      </w:r>
      <w:r w:rsidR="00AD670E">
        <w:rPr>
          <w:rFonts w:ascii="Verdana" w:hAnsi="Verdana"/>
          <w:sz w:val="20"/>
          <w:szCs w:val="20"/>
        </w:rPr>
        <w:t>WPI</w:t>
      </w:r>
      <w:r>
        <w:rPr>
          <w:rFonts w:ascii="Verdana" w:hAnsi="Verdana"/>
          <w:sz w:val="20"/>
          <w:szCs w:val="20"/>
        </w:rPr>
        <w:t xml:space="preserve"> has grown at the slowest pace in the history of the series</w:t>
      </w:r>
      <w:r w:rsidR="0016073A">
        <w:rPr>
          <w:rFonts w:ascii="Verdana" w:hAnsi="Verdana"/>
          <w:sz w:val="20"/>
          <w:szCs w:val="20"/>
        </w:rPr>
        <w:t xml:space="preserve"> with the private sector series</w:t>
      </w:r>
      <w:r>
        <w:rPr>
          <w:rFonts w:ascii="Verdana" w:hAnsi="Verdana"/>
          <w:sz w:val="20"/>
          <w:szCs w:val="20"/>
        </w:rPr>
        <w:t xml:space="preserve"> growing at </w:t>
      </w:r>
      <w:r w:rsidR="0016073A">
        <w:rPr>
          <w:rFonts w:ascii="Verdana" w:hAnsi="Verdana"/>
          <w:sz w:val="20"/>
          <w:szCs w:val="20"/>
        </w:rPr>
        <w:t xml:space="preserve">under </w:t>
      </w:r>
      <w:r>
        <w:rPr>
          <w:rFonts w:ascii="Verdana" w:hAnsi="Verdana"/>
          <w:sz w:val="20"/>
          <w:szCs w:val="20"/>
        </w:rPr>
        <w:t xml:space="preserve">2 per cent </w:t>
      </w:r>
      <w:r w:rsidR="001426C8">
        <w:rPr>
          <w:rFonts w:ascii="Verdana" w:hAnsi="Verdana"/>
          <w:sz w:val="20"/>
          <w:szCs w:val="20"/>
        </w:rPr>
        <w:t>(tty)</w:t>
      </w:r>
      <w:r>
        <w:rPr>
          <w:rFonts w:ascii="Verdana" w:hAnsi="Verdana"/>
          <w:sz w:val="20"/>
          <w:szCs w:val="20"/>
        </w:rPr>
        <w:t xml:space="preserve"> </w:t>
      </w:r>
      <w:r w:rsidR="0016073A">
        <w:rPr>
          <w:rFonts w:ascii="Verdana" w:hAnsi="Verdana"/>
          <w:sz w:val="20"/>
          <w:szCs w:val="20"/>
        </w:rPr>
        <w:t>since September 2016</w:t>
      </w:r>
      <w:r>
        <w:rPr>
          <w:rFonts w:ascii="Verdana" w:hAnsi="Verdana"/>
          <w:sz w:val="20"/>
          <w:szCs w:val="20"/>
        </w:rPr>
        <w:t>.</w:t>
      </w:r>
      <w:r w:rsidR="00182B5F">
        <w:rPr>
          <w:rFonts w:ascii="Verdana" w:hAnsi="Verdana"/>
          <w:sz w:val="20"/>
          <w:szCs w:val="20"/>
        </w:rPr>
        <w:t xml:space="preserve">  While average weekly ordinary time earnings (AWOTE) ha</w:t>
      </w:r>
      <w:r w:rsidR="0082011E">
        <w:rPr>
          <w:rFonts w:ascii="Verdana" w:hAnsi="Verdana"/>
          <w:sz w:val="20"/>
          <w:szCs w:val="20"/>
        </w:rPr>
        <w:t>s</w:t>
      </w:r>
      <w:r w:rsidR="00182B5F">
        <w:rPr>
          <w:rFonts w:ascii="Verdana" w:hAnsi="Verdana"/>
          <w:sz w:val="20"/>
          <w:szCs w:val="20"/>
        </w:rPr>
        <w:t xml:space="preserve"> edged up slightly relative to last year, ABI remains of the view that the WPI is a better indicator of relative wage movements as it measures underlying increases in labour costs and excludes compositional changes.</w:t>
      </w:r>
      <w:r w:rsidR="00663357">
        <w:rPr>
          <w:rFonts w:ascii="Verdana" w:hAnsi="Verdana"/>
          <w:sz w:val="20"/>
          <w:szCs w:val="20"/>
        </w:rPr>
        <w:t xml:space="preserve"> </w:t>
      </w:r>
      <w:r w:rsidR="00FB6713">
        <w:rPr>
          <w:rFonts w:ascii="Verdana" w:hAnsi="Verdana"/>
          <w:sz w:val="20"/>
          <w:szCs w:val="20"/>
        </w:rPr>
        <w:t xml:space="preserve"> </w:t>
      </w:r>
    </w:p>
    <w:p w:rsidR="009B71D0" w:rsidRDefault="00FC1D66" w:rsidP="00E516ED">
      <w:pPr>
        <w:rPr>
          <w:rFonts w:ascii="Verdana" w:hAnsi="Verdana"/>
          <w:sz w:val="20"/>
          <w:szCs w:val="20"/>
        </w:rPr>
      </w:pPr>
      <w:r>
        <w:rPr>
          <w:rFonts w:ascii="Verdana" w:hAnsi="Verdana"/>
          <w:sz w:val="20"/>
          <w:szCs w:val="20"/>
        </w:rPr>
        <w:t xml:space="preserve">Given the Panel </w:t>
      </w:r>
      <w:r w:rsidR="00663357">
        <w:rPr>
          <w:rFonts w:ascii="Verdana" w:hAnsi="Verdana"/>
          <w:sz w:val="20"/>
          <w:szCs w:val="20"/>
        </w:rPr>
        <w:t>has</w:t>
      </w:r>
      <w:r>
        <w:rPr>
          <w:rFonts w:ascii="Verdana" w:hAnsi="Verdana"/>
          <w:sz w:val="20"/>
          <w:szCs w:val="20"/>
        </w:rPr>
        <w:t xml:space="preserve"> previously emphasised the importance of actual economic data (rather than forecasts or single data points)</w:t>
      </w:r>
      <w:r w:rsidR="005E6490">
        <w:rPr>
          <w:rStyle w:val="FootnoteReference"/>
          <w:rFonts w:ascii="Verdana" w:hAnsi="Verdana"/>
          <w:sz w:val="20"/>
          <w:szCs w:val="20"/>
        </w:rPr>
        <w:footnoteReference w:id="14"/>
      </w:r>
      <w:r>
        <w:rPr>
          <w:rFonts w:ascii="Verdana" w:hAnsi="Verdana"/>
          <w:sz w:val="20"/>
          <w:szCs w:val="20"/>
        </w:rPr>
        <w:t xml:space="preserve"> it is worth noting that a low inflationary environment has been sustained for a prolonged period of time.  As a result, the Panel should have confidence the 201</w:t>
      </w:r>
      <w:r w:rsidR="009A4462">
        <w:rPr>
          <w:rFonts w:ascii="Verdana" w:hAnsi="Verdana"/>
          <w:sz w:val="20"/>
          <w:szCs w:val="20"/>
        </w:rPr>
        <w:t>7</w:t>
      </w:r>
      <w:r w:rsidR="00515F20">
        <w:rPr>
          <w:rFonts w:ascii="Verdana" w:hAnsi="Verdana"/>
          <w:sz w:val="20"/>
          <w:szCs w:val="20"/>
        </w:rPr>
        <w:t>-1</w:t>
      </w:r>
      <w:r w:rsidR="009A4462">
        <w:rPr>
          <w:rFonts w:ascii="Verdana" w:hAnsi="Verdana"/>
          <w:sz w:val="20"/>
          <w:szCs w:val="20"/>
        </w:rPr>
        <w:t>8</w:t>
      </w:r>
      <w:r>
        <w:rPr>
          <w:rFonts w:ascii="Verdana" w:hAnsi="Verdana"/>
          <w:sz w:val="20"/>
          <w:szCs w:val="20"/>
        </w:rPr>
        <w:t xml:space="preserve"> decision will be made within a </w:t>
      </w:r>
      <w:r w:rsidR="009A4462">
        <w:rPr>
          <w:rFonts w:ascii="Verdana" w:hAnsi="Verdana"/>
          <w:sz w:val="20"/>
          <w:szCs w:val="20"/>
        </w:rPr>
        <w:t>similar inflationary environment as has persisted in recent times</w:t>
      </w:r>
      <w:r w:rsidR="00B441B6">
        <w:rPr>
          <w:rFonts w:ascii="Verdana" w:hAnsi="Verdana"/>
          <w:sz w:val="20"/>
          <w:szCs w:val="20"/>
        </w:rPr>
        <w:t>.</w:t>
      </w:r>
      <w:r>
        <w:rPr>
          <w:rFonts w:ascii="Verdana" w:hAnsi="Verdana"/>
          <w:sz w:val="20"/>
          <w:szCs w:val="20"/>
        </w:rPr>
        <w:t xml:space="preserve"> </w:t>
      </w:r>
      <w:r w:rsidR="00E516ED">
        <w:rPr>
          <w:rFonts w:ascii="Verdana" w:hAnsi="Verdana"/>
          <w:sz w:val="20"/>
          <w:szCs w:val="20"/>
        </w:rPr>
        <w:t xml:space="preserve"> </w:t>
      </w:r>
    </w:p>
    <w:p w:rsidR="0063311B" w:rsidRDefault="0036504E" w:rsidP="00E516ED">
      <w:pPr>
        <w:rPr>
          <w:rFonts w:ascii="Verdana" w:hAnsi="Verdana"/>
          <w:sz w:val="20"/>
          <w:szCs w:val="20"/>
        </w:rPr>
      </w:pPr>
      <w:r>
        <w:rPr>
          <w:rFonts w:ascii="Verdana" w:hAnsi="Verdana"/>
          <w:sz w:val="20"/>
          <w:szCs w:val="20"/>
        </w:rPr>
        <w:t>Consistent with the framework identified in Part II, ABI considers that low levels of prices growth in the economy ought to anchor the Panel’s AWR deliberations.  This is because the likely impact of the AWR decision will be amplified by the low levels of pri</w:t>
      </w:r>
      <w:r w:rsidR="00B358F9">
        <w:rPr>
          <w:rFonts w:ascii="Verdana" w:hAnsi="Verdana"/>
          <w:sz w:val="20"/>
          <w:szCs w:val="20"/>
        </w:rPr>
        <w:t>ces growth evident</w:t>
      </w:r>
      <w:r>
        <w:rPr>
          <w:rFonts w:ascii="Verdana" w:hAnsi="Verdana"/>
          <w:sz w:val="20"/>
          <w:szCs w:val="20"/>
        </w:rPr>
        <w:t xml:space="preserve"> in the economy.  </w:t>
      </w:r>
    </w:p>
    <w:p w:rsidR="008E1C0A" w:rsidRPr="009807C5" w:rsidRDefault="008E1C0A" w:rsidP="008E1C0A">
      <w:pPr>
        <w:rPr>
          <w:rFonts w:ascii="Verdana" w:eastAsiaTheme="majorEastAsia" w:hAnsi="Verdana" w:cstheme="majorBidi"/>
          <w:iCs/>
          <w:color w:val="808080" w:themeColor="background1" w:themeShade="80"/>
          <w:spacing w:val="15"/>
          <w:sz w:val="28"/>
          <w:szCs w:val="28"/>
        </w:rPr>
      </w:pPr>
      <w:r w:rsidRPr="009807C5">
        <w:rPr>
          <w:rFonts w:ascii="Verdana" w:eastAsiaTheme="majorEastAsia" w:hAnsi="Verdana" w:cstheme="majorBidi"/>
          <w:iCs/>
          <w:color w:val="808080" w:themeColor="background1" w:themeShade="80"/>
          <w:spacing w:val="15"/>
          <w:sz w:val="28"/>
          <w:szCs w:val="28"/>
        </w:rPr>
        <w:t>Productivity</w:t>
      </w:r>
    </w:p>
    <w:p w:rsidR="006B3DCB" w:rsidRPr="009807C5" w:rsidRDefault="006B3DCB" w:rsidP="006B3DCB">
      <w:pPr>
        <w:rPr>
          <w:rFonts w:ascii="Verdana" w:hAnsi="Verdana"/>
          <w:sz w:val="20"/>
          <w:szCs w:val="20"/>
        </w:rPr>
      </w:pPr>
      <w:r w:rsidRPr="009807C5">
        <w:rPr>
          <w:rFonts w:ascii="Verdana" w:hAnsi="Verdana"/>
          <w:sz w:val="20"/>
          <w:szCs w:val="20"/>
        </w:rPr>
        <w:t xml:space="preserve">Any minimum wage increase beyond productivity gains contributed by award-reliant employees will increase labour costs and have broader consequences on firms, labour demand and economic competitiveness.  For this reason the Panel </w:t>
      </w:r>
      <w:r w:rsidR="00C17711">
        <w:rPr>
          <w:rFonts w:ascii="Verdana" w:hAnsi="Verdana"/>
          <w:sz w:val="20"/>
          <w:szCs w:val="20"/>
        </w:rPr>
        <w:t>should</w:t>
      </w:r>
      <w:r w:rsidR="00C17711" w:rsidRPr="009807C5">
        <w:rPr>
          <w:rFonts w:ascii="Verdana" w:hAnsi="Verdana"/>
          <w:sz w:val="20"/>
          <w:szCs w:val="20"/>
        </w:rPr>
        <w:t xml:space="preserve"> </w:t>
      </w:r>
      <w:r w:rsidRPr="009807C5">
        <w:rPr>
          <w:rFonts w:ascii="Verdana" w:hAnsi="Verdana"/>
          <w:sz w:val="20"/>
          <w:szCs w:val="20"/>
        </w:rPr>
        <w:t xml:space="preserve">consider the extent </w:t>
      </w:r>
      <w:r w:rsidRPr="009807C5">
        <w:rPr>
          <w:rFonts w:ascii="Verdana" w:hAnsi="Verdana"/>
          <w:sz w:val="20"/>
          <w:szCs w:val="20"/>
        </w:rPr>
        <w:lastRenderedPageBreak/>
        <w:t>to which recent developments in wages growth and productivity are able to support an increase in the minimum wage.</w:t>
      </w:r>
    </w:p>
    <w:p w:rsidR="008E1C0A" w:rsidRPr="009807C5" w:rsidRDefault="008E1C0A" w:rsidP="008E1C0A">
      <w:pPr>
        <w:rPr>
          <w:rFonts w:ascii="Verdana" w:hAnsi="Verdana"/>
          <w:sz w:val="20"/>
          <w:szCs w:val="20"/>
        </w:rPr>
      </w:pPr>
      <w:r w:rsidRPr="0049605A">
        <w:rPr>
          <w:rFonts w:ascii="Verdana" w:hAnsi="Verdana"/>
          <w:sz w:val="20"/>
          <w:szCs w:val="20"/>
        </w:rPr>
        <w:t>Labour productivity</w:t>
      </w:r>
      <w:r w:rsidR="00460D56" w:rsidRPr="0049605A">
        <w:rPr>
          <w:rFonts w:ascii="Verdana" w:hAnsi="Verdana"/>
          <w:sz w:val="20"/>
          <w:szCs w:val="20"/>
        </w:rPr>
        <w:t xml:space="preserve"> trended</w:t>
      </w:r>
      <w:r w:rsidRPr="0049605A">
        <w:rPr>
          <w:rFonts w:ascii="Verdana" w:hAnsi="Verdana"/>
          <w:sz w:val="20"/>
          <w:szCs w:val="20"/>
        </w:rPr>
        <w:t xml:space="preserve"> </w:t>
      </w:r>
      <w:r w:rsidR="00320439" w:rsidRPr="0049605A">
        <w:rPr>
          <w:rFonts w:ascii="Verdana" w:hAnsi="Verdana"/>
          <w:sz w:val="20"/>
          <w:szCs w:val="20"/>
        </w:rPr>
        <w:t>down</w:t>
      </w:r>
      <w:r w:rsidRPr="0049605A">
        <w:rPr>
          <w:rFonts w:ascii="Verdana" w:hAnsi="Verdana"/>
          <w:sz w:val="20"/>
          <w:szCs w:val="20"/>
        </w:rPr>
        <w:t xml:space="preserve"> over the past year (Chart </w:t>
      </w:r>
      <w:r w:rsidR="00E550BF" w:rsidRPr="0049605A">
        <w:rPr>
          <w:rFonts w:ascii="Verdana" w:hAnsi="Verdana"/>
          <w:sz w:val="20"/>
          <w:szCs w:val="20"/>
        </w:rPr>
        <w:t>4</w:t>
      </w:r>
      <w:r w:rsidRPr="0049605A">
        <w:rPr>
          <w:rFonts w:ascii="Verdana" w:hAnsi="Verdana"/>
          <w:sz w:val="20"/>
          <w:szCs w:val="20"/>
        </w:rPr>
        <w:t xml:space="preserve"> refers).  The latest results in the December quarte</w:t>
      </w:r>
      <w:r w:rsidR="0049605A" w:rsidRPr="0049605A">
        <w:rPr>
          <w:rFonts w:ascii="Verdana" w:hAnsi="Verdana"/>
          <w:sz w:val="20"/>
          <w:szCs w:val="20"/>
        </w:rPr>
        <w:t>r revealed</w:t>
      </w:r>
      <w:r w:rsidR="005D6E50" w:rsidRPr="0049605A">
        <w:rPr>
          <w:rFonts w:ascii="Verdana" w:hAnsi="Verdana"/>
          <w:sz w:val="20"/>
          <w:szCs w:val="20"/>
        </w:rPr>
        <w:t xml:space="preserve"> GDP per hour worked</w:t>
      </w:r>
      <w:r w:rsidRPr="0049605A">
        <w:rPr>
          <w:rFonts w:ascii="Verdana" w:hAnsi="Verdana"/>
          <w:sz w:val="20"/>
          <w:szCs w:val="20"/>
        </w:rPr>
        <w:t xml:space="preserve"> </w:t>
      </w:r>
      <w:r w:rsidR="0049605A" w:rsidRPr="0049605A">
        <w:rPr>
          <w:rFonts w:ascii="Verdana" w:hAnsi="Verdana"/>
          <w:sz w:val="20"/>
          <w:szCs w:val="20"/>
        </w:rPr>
        <w:t xml:space="preserve">fell by 1 per cent </w:t>
      </w:r>
      <w:r w:rsidRPr="0049605A">
        <w:rPr>
          <w:rFonts w:ascii="Verdana" w:hAnsi="Verdana"/>
          <w:sz w:val="20"/>
          <w:szCs w:val="20"/>
        </w:rPr>
        <w:t xml:space="preserve">while </w:t>
      </w:r>
      <w:r w:rsidR="000C0247" w:rsidRPr="0049605A">
        <w:rPr>
          <w:rFonts w:ascii="Verdana" w:hAnsi="Verdana"/>
          <w:sz w:val="20"/>
          <w:szCs w:val="20"/>
        </w:rPr>
        <w:t>Gross Value Added (</w:t>
      </w:r>
      <w:r w:rsidRPr="0049605A">
        <w:rPr>
          <w:rFonts w:ascii="Verdana" w:hAnsi="Verdana"/>
          <w:sz w:val="20"/>
          <w:szCs w:val="20"/>
        </w:rPr>
        <w:t>GVA</w:t>
      </w:r>
      <w:r w:rsidR="000C0247" w:rsidRPr="0049605A">
        <w:rPr>
          <w:rFonts w:ascii="Verdana" w:hAnsi="Verdana"/>
          <w:sz w:val="20"/>
          <w:szCs w:val="20"/>
        </w:rPr>
        <w:t>)</w:t>
      </w:r>
      <w:r w:rsidRPr="0049605A">
        <w:rPr>
          <w:rFonts w:ascii="Verdana" w:hAnsi="Verdana"/>
          <w:sz w:val="20"/>
          <w:szCs w:val="20"/>
        </w:rPr>
        <w:t xml:space="preserve"> per hou</w:t>
      </w:r>
      <w:r w:rsidR="0049605A" w:rsidRPr="0049605A">
        <w:rPr>
          <w:rFonts w:ascii="Verdana" w:hAnsi="Verdana"/>
          <w:sz w:val="20"/>
          <w:szCs w:val="20"/>
        </w:rPr>
        <w:t>r worked in the market sector fell</w:t>
      </w:r>
      <w:r w:rsidRPr="0049605A">
        <w:rPr>
          <w:rFonts w:ascii="Verdana" w:hAnsi="Verdana"/>
          <w:sz w:val="20"/>
          <w:szCs w:val="20"/>
        </w:rPr>
        <w:t xml:space="preserve"> by </w:t>
      </w:r>
      <w:r w:rsidR="0049605A" w:rsidRPr="0049605A">
        <w:rPr>
          <w:rFonts w:ascii="Verdana" w:hAnsi="Verdana"/>
          <w:sz w:val="20"/>
          <w:szCs w:val="20"/>
        </w:rPr>
        <w:t>0.9</w:t>
      </w:r>
      <w:r w:rsidR="00E3279A" w:rsidRPr="0049605A">
        <w:rPr>
          <w:rFonts w:ascii="Verdana" w:hAnsi="Verdana"/>
          <w:sz w:val="20"/>
          <w:szCs w:val="20"/>
        </w:rPr>
        <w:t xml:space="preserve"> per cent (tty). </w:t>
      </w:r>
      <w:r w:rsidRPr="0049605A">
        <w:rPr>
          <w:rFonts w:ascii="Verdana" w:hAnsi="Verdana"/>
          <w:sz w:val="20"/>
          <w:szCs w:val="20"/>
        </w:rPr>
        <w:t xml:space="preserve"> </w:t>
      </w:r>
    </w:p>
    <w:p w:rsidR="001E18BB" w:rsidRPr="0049605A" w:rsidRDefault="001E18BB" w:rsidP="001E18BB">
      <w:pPr>
        <w:numPr>
          <w:ilvl w:val="1"/>
          <w:numId w:val="0"/>
        </w:numPr>
        <w:jc w:val="center"/>
        <w:rPr>
          <w:rFonts w:ascii="Verdana" w:eastAsiaTheme="majorEastAsia" w:hAnsi="Verdana" w:cstheme="majorBidi"/>
          <w:b/>
          <w:iCs/>
          <w:spacing w:val="15"/>
          <w:sz w:val="16"/>
          <w:szCs w:val="16"/>
        </w:rPr>
      </w:pPr>
      <w:r w:rsidRPr="0049605A">
        <w:rPr>
          <w:rFonts w:ascii="Verdana" w:eastAsiaTheme="majorEastAsia" w:hAnsi="Verdana" w:cstheme="majorBidi"/>
          <w:b/>
          <w:iCs/>
          <w:spacing w:val="15"/>
          <w:sz w:val="16"/>
          <w:szCs w:val="16"/>
        </w:rPr>
        <w:t xml:space="preserve">Chart </w:t>
      </w:r>
      <w:r w:rsidR="00E550BF" w:rsidRPr="0049605A">
        <w:rPr>
          <w:rFonts w:ascii="Verdana" w:eastAsiaTheme="majorEastAsia" w:hAnsi="Verdana" w:cstheme="majorBidi"/>
          <w:b/>
          <w:iCs/>
          <w:spacing w:val="15"/>
          <w:sz w:val="16"/>
          <w:szCs w:val="16"/>
        </w:rPr>
        <w:t>4</w:t>
      </w:r>
      <w:r w:rsidRPr="0049605A">
        <w:rPr>
          <w:rFonts w:ascii="Verdana" w:eastAsiaTheme="majorEastAsia" w:hAnsi="Verdana" w:cstheme="majorBidi"/>
          <w:b/>
          <w:iCs/>
          <w:spacing w:val="15"/>
          <w:sz w:val="16"/>
          <w:szCs w:val="16"/>
        </w:rPr>
        <w:t xml:space="preserve"> – Measures of productivity g</w:t>
      </w:r>
      <w:r w:rsidR="002C4836" w:rsidRPr="0049605A">
        <w:rPr>
          <w:rFonts w:ascii="Verdana" w:eastAsiaTheme="majorEastAsia" w:hAnsi="Verdana" w:cstheme="majorBidi"/>
          <w:b/>
          <w:iCs/>
          <w:spacing w:val="15"/>
          <w:sz w:val="16"/>
          <w:szCs w:val="16"/>
        </w:rPr>
        <w:t>rowth and business insolvencies</w:t>
      </w:r>
    </w:p>
    <w:p w:rsidR="0049605A" w:rsidRPr="0049605A" w:rsidRDefault="0049605A" w:rsidP="001E18BB">
      <w:pPr>
        <w:jc w:val="center"/>
        <w:rPr>
          <w:rFonts w:ascii="Verdana" w:hAnsi="Verdana"/>
          <w:sz w:val="20"/>
          <w:szCs w:val="20"/>
        </w:rPr>
      </w:pPr>
      <w:r w:rsidRPr="0049605A">
        <w:rPr>
          <w:noProof/>
          <w:lang w:eastAsia="en-AU"/>
        </w:rPr>
        <w:drawing>
          <wp:inline distT="0" distB="0" distL="0" distR="0" wp14:anchorId="64D0F8C1" wp14:editId="3FE3F34F">
            <wp:extent cx="4436828" cy="2658392"/>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3099" cy="2674133"/>
                    </a:xfrm>
                    <a:prstGeom prst="rect">
                      <a:avLst/>
                    </a:prstGeom>
                    <a:noFill/>
                    <a:ln>
                      <a:noFill/>
                    </a:ln>
                  </pic:spPr>
                </pic:pic>
              </a:graphicData>
            </a:graphic>
          </wp:inline>
        </w:drawing>
      </w:r>
    </w:p>
    <w:p w:rsidR="001E18BB" w:rsidRPr="009807C5" w:rsidRDefault="001E18BB" w:rsidP="001E18BB">
      <w:pPr>
        <w:jc w:val="center"/>
        <w:rPr>
          <w:rFonts w:ascii="Verdana" w:hAnsi="Verdana"/>
          <w:sz w:val="14"/>
          <w:szCs w:val="20"/>
        </w:rPr>
      </w:pPr>
      <w:r w:rsidRPr="0049605A">
        <w:rPr>
          <w:rFonts w:ascii="Verdana" w:hAnsi="Verdana"/>
          <w:sz w:val="14"/>
          <w:szCs w:val="20"/>
        </w:rPr>
        <w:t>Source: ABS, AFSA</w:t>
      </w:r>
      <w:r w:rsidRPr="0049605A">
        <w:rPr>
          <w:rFonts w:ascii="Verdana" w:hAnsi="Verdana"/>
          <w:sz w:val="14"/>
          <w:szCs w:val="20"/>
        </w:rPr>
        <w:br/>
      </w:r>
      <w:r w:rsidR="00C14EC4" w:rsidRPr="0049605A">
        <w:rPr>
          <w:rFonts w:ascii="Verdana" w:hAnsi="Verdana"/>
          <w:sz w:val="14"/>
          <w:szCs w:val="20"/>
        </w:rPr>
        <w:t>Note: Average of previous four quarters used except for Business insolvencies which is the sum of the previous four quarters</w:t>
      </w:r>
    </w:p>
    <w:p w:rsidR="009F0053" w:rsidRDefault="009F0053" w:rsidP="00231E8E">
      <w:pPr>
        <w:rPr>
          <w:rFonts w:ascii="Verdana" w:hAnsi="Verdana"/>
          <w:sz w:val="20"/>
          <w:szCs w:val="20"/>
          <w:highlight w:val="cyan"/>
        </w:rPr>
      </w:pPr>
      <w:r w:rsidRPr="009807C5">
        <w:rPr>
          <w:rFonts w:ascii="Verdana" w:hAnsi="Verdana"/>
          <w:sz w:val="20"/>
          <w:szCs w:val="20"/>
        </w:rPr>
        <w:t>ABI supports the view that care should be taken when interpreting movements between periods, though productivity growth remains lower in more recent years than in the period between 2011 and 2013.</w:t>
      </w:r>
      <w:r w:rsidR="00D66030">
        <w:rPr>
          <w:rFonts w:ascii="Verdana" w:hAnsi="Verdana"/>
          <w:sz w:val="20"/>
          <w:szCs w:val="20"/>
        </w:rPr>
        <w:t xml:space="preserve">  It is particularly concerning that</w:t>
      </w:r>
      <w:r w:rsidR="009C16CC">
        <w:rPr>
          <w:rFonts w:ascii="Verdana" w:hAnsi="Verdana"/>
          <w:sz w:val="20"/>
          <w:szCs w:val="20"/>
        </w:rPr>
        <w:t xml:space="preserve"> this trend was reinforced with</w:t>
      </w:r>
      <w:r w:rsidR="00D66030">
        <w:rPr>
          <w:rFonts w:ascii="Verdana" w:hAnsi="Verdana"/>
          <w:sz w:val="20"/>
          <w:szCs w:val="20"/>
        </w:rPr>
        <w:t xml:space="preserve"> both market sector GVA and GDP per hour worked </w:t>
      </w:r>
      <w:r w:rsidR="001E59F1">
        <w:rPr>
          <w:rFonts w:ascii="Verdana" w:hAnsi="Verdana"/>
          <w:sz w:val="20"/>
          <w:szCs w:val="20"/>
        </w:rPr>
        <w:t xml:space="preserve">being </w:t>
      </w:r>
      <w:r w:rsidR="00D66030">
        <w:rPr>
          <w:rFonts w:ascii="Verdana" w:hAnsi="Verdana"/>
          <w:sz w:val="20"/>
          <w:szCs w:val="20"/>
        </w:rPr>
        <w:t>negative i</w:t>
      </w:r>
      <w:r w:rsidR="009C16CC">
        <w:rPr>
          <w:rFonts w:ascii="Verdana" w:hAnsi="Verdana"/>
          <w:sz w:val="20"/>
          <w:szCs w:val="20"/>
        </w:rPr>
        <w:t>n the December quarter.</w:t>
      </w:r>
      <w:r>
        <w:rPr>
          <w:rFonts w:ascii="Verdana" w:hAnsi="Verdana"/>
          <w:sz w:val="20"/>
          <w:szCs w:val="20"/>
        </w:rPr>
        <w:t xml:space="preserve">  Recent productivity trends suggest</w:t>
      </w:r>
      <w:r w:rsidR="00D66030">
        <w:rPr>
          <w:rFonts w:ascii="Verdana" w:hAnsi="Verdana"/>
          <w:sz w:val="20"/>
          <w:szCs w:val="20"/>
        </w:rPr>
        <w:t xml:space="preserve"> the scope for productivity dividends to underpin</w:t>
      </w:r>
      <w:r>
        <w:rPr>
          <w:rFonts w:ascii="Verdana" w:hAnsi="Verdana"/>
          <w:sz w:val="20"/>
          <w:szCs w:val="20"/>
        </w:rPr>
        <w:t xml:space="preserve"> minimum wage increases has </w:t>
      </w:r>
      <w:r w:rsidR="00D66030">
        <w:rPr>
          <w:rFonts w:ascii="Verdana" w:hAnsi="Verdana"/>
          <w:sz w:val="20"/>
          <w:szCs w:val="20"/>
        </w:rPr>
        <w:t>reduced relative to</w:t>
      </w:r>
      <w:r>
        <w:rPr>
          <w:rFonts w:ascii="Verdana" w:hAnsi="Verdana"/>
          <w:sz w:val="20"/>
          <w:szCs w:val="20"/>
        </w:rPr>
        <w:t xml:space="preserve"> previous years.</w:t>
      </w:r>
    </w:p>
    <w:p w:rsidR="001A5290" w:rsidRPr="009807C5" w:rsidRDefault="00ED2FB2" w:rsidP="00231E8E">
      <w:pPr>
        <w:rPr>
          <w:rFonts w:ascii="Verdana" w:hAnsi="Verdana"/>
          <w:sz w:val="20"/>
          <w:szCs w:val="20"/>
        </w:rPr>
      </w:pPr>
      <w:r>
        <w:rPr>
          <w:rFonts w:ascii="Verdana" w:hAnsi="Verdana"/>
          <w:sz w:val="20"/>
          <w:szCs w:val="20"/>
        </w:rPr>
        <w:t>R</w:t>
      </w:r>
      <w:r w:rsidR="001A5290" w:rsidRPr="00ED2FB2">
        <w:rPr>
          <w:rFonts w:ascii="Verdana" w:hAnsi="Verdana"/>
          <w:sz w:val="20"/>
          <w:szCs w:val="20"/>
        </w:rPr>
        <w:t xml:space="preserve">eal unit labour costs have bottomed out and are now increasing due to moderating productivity.  </w:t>
      </w:r>
      <w:r w:rsidR="00231E8E" w:rsidRPr="00ED2FB2">
        <w:rPr>
          <w:rFonts w:ascii="Verdana" w:hAnsi="Verdana"/>
          <w:sz w:val="20"/>
          <w:szCs w:val="20"/>
        </w:rPr>
        <w:t>While</w:t>
      </w:r>
      <w:r w:rsidR="001A5290" w:rsidRPr="00ED2FB2">
        <w:rPr>
          <w:rFonts w:ascii="Verdana" w:hAnsi="Verdana"/>
          <w:sz w:val="20"/>
          <w:szCs w:val="20"/>
        </w:rPr>
        <w:t xml:space="preserve"> </w:t>
      </w:r>
      <w:r w:rsidR="00886072" w:rsidRPr="00ED2FB2">
        <w:rPr>
          <w:rFonts w:ascii="Verdana" w:hAnsi="Verdana"/>
          <w:sz w:val="20"/>
          <w:szCs w:val="20"/>
        </w:rPr>
        <w:t>real unit labour costs</w:t>
      </w:r>
      <w:r w:rsidR="001A5290" w:rsidRPr="00ED2FB2">
        <w:rPr>
          <w:rFonts w:ascii="Verdana" w:hAnsi="Verdana"/>
          <w:sz w:val="20"/>
          <w:szCs w:val="20"/>
        </w:rPr>
        <w:t xml:space="preserve"> have been contained over the past decade, ABI notes</w:t>
      </w:r>
      <w:r w:rsidR="00231E8E" w:rsidRPr="00ED2FB2">
        <w:rPr>
          <w:rFonts w:ascii="Verdana" w:hAnsi="Verdana"/>
          <w:sz w:val="20"/>
          <w:szCs w:val="20"/>
        </w:rPr>
        <w:t xml:space="preserve"> </w:t>
      </w:r>
      <w:r w:rsidR="00886072" w:rsidRPr="00ED2FB2">
        <w:rPr>
          <w:rFonts w:ascii="Verdana" w:hAnsi="Verdana"/>
          <w:sz w:val="20"/>
          <w:szCs w:val="20"/>
        </w:rPr>
        <w:t>this has</w:t>
      </w:r>
      <w:r w:rsidR="00886072" w:rsidRPr="009807C5">
        <w:rPr>
          <w:rFonts w:ascii="Verdana" w:hAnsi="Verdana"/>
          <w:sz w:val="20"/>
          <w:szCs w:val="20"/>
        </w:rPr>
        <w:t xml:space="preserve"> primarily been the result of</w:t>
      </w:r>
      <w:r w:rsidR="00231E8E" w:rsidRPr="009807C5">
        <w:rPr>
          <w:rFonts w:ascii="Verdana" w:hAnsi="Verdana"/>
          <w:sz w:val="20"/>
          <w:szCs w:val="20"/>
        </w:rPr>
        <w:t xml:space="preserve"> low wages growth</w:t>
      </w:r>
      <w:r w:rsidR="00023291" w:rsidRPr="009807C5">
        <w:rPr>
          <w:rFonts w:ascii="Verdana" w:hAnsi="Verdana"/>
          <w:sz w:val="20"/>
          <w:szCs w:val="20"/>
        </w:rPr>
        <w:t xml:space="preserve"> among non</w:t>
      </w:r>
      <w:r w:rsidR="001E59F1">
        <w:rPr>
          <w:rFonts w:ascii="Verdana" w:hAnsi="Verdana"/>
          <w:sz w:val="20"/>
          <w:szCs w:val="20"/>
        </w:rPr>
        <w:t xml:space="preserve"> </w:t>
      </w:r>
      <w:r w:rsidR="00023291" w:rsidRPr="009807C5">
        <w:rPr>
          <w:rFonts w:ascii="Verdana" w:hAnsi="Verdana"/>
          <w:sz w:val="20"/>
          <w:szCs w:val="20"/>
        </w:rPr>
        <w:t>award</w:t>
      </w:r>
      <w:r w:rsidR="001E59F1">
        <w:rPr>
          <w:rFonts w:ascii="Verdana" w:hAnsi="Verdana"/>
          <w:sz w:val="20"/>
          <w:szCs w:val="20"/>
        </w:rPr>
        <w:t>-</w:t>
      </w:r>
      <w:r w:rsidR="00023291" w:rsidRPr="009807C5">
        <w:rPr>
          <w:rFonts w:ascii="Verdana" w:hAnsi="Verdana"/>
          <w:sz w:val="20"/>
          <w:szCs w:val="20"/>
        </w:rPr>
        <w:t xml:space="preserve">reliant </w:t>
      </w:r>
      <w:r w:rsidR="00995547" w:rsidRPr="009807C5">
        <w:rPr>
          <w:rFonts w:ascii="Verdana" w:hAnsi="Verdana"/>
          <w:sz w:val="20"/>
          <w:szCs w:val="20"/>
        </w:rPr>
        <w:t>employee</w:t>
      </w:r>
      <w:r w:rsidR="00023291" w:rsidRPr="009807C5">
        <w:rPr>
          <w:rFonts w:ascii="Verdana" w:hAnsi="Verdana"/>
          <w:sz w:val="20"/>
          <w:szCs w:val="20"/>
        </w:rPr>
        <w:t>s</w:t>
      </w:r>
      <w:r w:rsidR="001A5290" w:rsidRPr="009807C5">
        <w:rPr>
          <w:rFonts w:ascii="Verdana" w:hAnsi="Verdana"/>
          <w:sz w:val="20"/>
          <w:szCs w:val="20"/>
        </w:rPr>
        <w:t xml:space="preserve"> with minimum wage increases exceeding th</w:t>
      </w:r>
      <w:r w:rsidR="00E550BF">
        <w:rPr>
          <w:rFonts w:ascii="Verdana" w:hAnsi="Verdana"/>
          <w:sz w:val="20"/>
          <w:szCs w:val="20"/>
        </w:rPr>
        <w:t>e WPI over recent years (Chart 5</w:t>
      </w:r>
      <w:r w:rsidR="001A5290" w:rsidRPr="009807C5">
        <w:rPr>
          <w:rFonts w:ascii="Verdana" w:hAnsi="Verdana"/>
          <w:sz w:val="20"/>
          <w:szCs w:val="20"/>
        </w:rPr>
        <w:t xml:space="preserve"> refers).</w:t>
      </w:r>
      <w:r w:rsidR="008B0259" w:rsidRPr="009807C5">
        <w:rPr>
          <w:rFonts w:ascii="Verdana" w:hAnsi="Verdana"/>
          <w:sz w:val="20"/>
          <w:szCs w:val="20"/>
        </w:rPr>
        <w:t xml:space="preserve">  Award-reliant employee wages account for only a subset of all wages and the broader implications associated with contained labour costs do not necessarily apply to award-reliant segments of the labour force.  Given the disparity of wage increase</w:t>
      </w:r>
      <w:r w:rsidR="0050792F">
        <w:rPr>
          <w:rFonts w:ascii="Verdana" w:hAnsi="Verdana"/>
          <w:sz w:val="20"/>
          <w:szCs w:val="20"/>
        </w:rPr>
        <w:t xml:space="preserve"> spread</w:t>
      </w:r>
      <w:r w:rsidR="008B0259" w:rsidRPr="009807C5">
        <w:rPr>
          <w:rFonts w:ascii="Verdana" w:hAnsi="Verdana"/>
          <w:sz w:val="20"/>
          <w:szCs w:val="20"/>
        </w:rPr>
        <w:t xml:space="preserve">, real unit labour costs are likely increasing for firms that more intensively engage award-reliant employees, despite </w:t>
      </w:r>
      <w:r w:rsidR="0050792F">
        <w:rPr>
          <w:rFonts w:ascii="Verdana" w:hAnsi="Verdana"/>
          <w:sz w:val="20"/>
          <w:szCs w:val="20"/>
        </w:rPr>
        <w:t>overall</w:t>
      </w:r>
      <w:r w:rsidR="008B0259" w:rsidRPr="009807C5">
        <w:rPr>
          <w:rFonts w:ascii="Verdana" w:hAnsi="Verdana"/>
          <w:sz w:val="20"/>
          <w:szCs w:val="20"/>
        </w:rPr>
        <w:t xml:space="preserve"> wage restraint across the labour market</w:t>
      </w:r>
      <w:r w:rsidR="0050792F">
        <w:rPr>
          <w:rFonts w:ascii="Verdana" w:hAnsi="Verdana"/>
          <w:sz w:val="20"/>
          <w:szCs w:val="20"/>
        </w:rPr>
        <w:t xml:space="preserve"> as a whole</w:t>
      </w:r>
      <w:r w:rsidR="008B0259" w:rsidRPr="009807C5">
        <w:rPr>
          <w:rFonts w:ascii="Verdana" w:hAnsi="Verdana"/>
          <w:sz w:val="20"/>
          <w:szCs w:val="20"/>
        </w:rPr>
        <w:t>.</w:t>
      </w:r>
    </w:p>
    <w:p w:rsidR="00C2542E" w:rsidRDefault="00C2542E">
      <w:pPr>
        <w:rPr>
          <w:rFonts w:ascii="Verdana" w:eastAsiaTheme="majorEastAsia" w:hAnsi="Verdana" w:cstheme="majorBidi"/>
          <w:b/>
          <w:iCs/>
          <w:spacing w:val="15"/>
          <w:sz w:val="16"/>
          <w:szCs w:val="16"/>
        </w:rPr>
      </w:pPr>
      <w:r>
        <w:rPr>
          <w:rFonts w:ascii="Verdana" w:eastAsiaTheme="majorEastAsia" w:hAnsi="Verdana" w:cstheme="majorBidi"/>
          <w:b/>
          <w:iCs/>
          <w:spacing w:val="15"/>
          <w:sz w:val="16"/>
          <w:szCs w:val="16"/>
        </w:rPr>
        <w:br w:type="page"/>
      </w:r>
    </w:p>
    <w:p w:rsidR="001A5290" w:rsidRPr="009807C5" w:rsidRDefault="001A5290" w:rsidP="001A5290">
      <w:pPr>
        <w:numPr>
          <w:ilvl w:val="1"/>
          <w:numId w:val="0"/>
        </w:numPr>
        <w:jc w:val="center"/>
        <w:rPr>
          <w:rFonts w:ascii="Verdana" w:eastAsiaTheme="majorEastAsia" w:hAnsi="Verdana" w:cstheme="majorBidi"/>
          <w:b/>
          <w:iCs/>
          <w:spacing w:val="15"/>
          <w:sz w:val="16"/>
          <w:szCs w:val="16"/>
        </w:rPr>
      </w:pPr>
      <w:r w:rsidRPr="009807C5">
        <w:rPr>
          <w:rFonts w:ascii="Verdana" w:eastAsiaTheme="majorEastAsia" w:hAnsi="Verdana" w:cstheme="majorBidi"/>
          <w:b/>
          <w:iCs/>
          <w:spacing w:val="15"/>
          <w:sz w:val="16"/>
          <w:szCs w:val="16"/>
        </w:rPr>
        <w:lastRenderedPageBreak/>
        <w:t xml:space="preserve">Chart </w:t>
      </w:r>
      <w:r w:rsidR="00E550BF">
        <w:rPr>
          <w:rFonts w:ascii="Verdana" w:eastAsiaTheme="majorEastAsia" w:hAnsi="Verdana" w:cstheme="majorBidi"/>
          <w:b/>
          <w:iCs/>
          <w:spacing w:val="15"/>
          <w:sz w:val="16"/>
          <w:szCs w:val="16"/>
        </w:rPr>
        <w:t>5</w:t>
      </w:r>
      <w:r w:rsidRPr="009807C5">
        <w:rPr>
          <w:rFonts w:ascii="Verdana" w:eastAsiaTheme="majorEastAsia" w:hAnsi="Verdana" w:cstheme="majorBidi"/>
          <w:b/>
          <w:iCs/>
          <w:spacing w:val="15"/>
          <w:sz w:val="16"/>
          <w:szCs w:val="16"/>
        </w:rPr>
        <w:t xml:space="preserve"> – Difference between</w:t>
      </w:r>
      <w:r w:rsidR="002C4836">
        <w:rPr>
          <w:rFonts w:ascii="Verdana" w:eastAsiaTheme="majorEastAsia" w:hAnsi="Verdana" w:cstheme="majorBidi"/>
          <w:b/>
          <w:iCs/>
          <w:spacing w:val="15"/>
          <w:sz w:val="16"/>
          <w:szCs w:val="16"/>
        </w:rPr>
        <w:t xml:space="preserve"> WPI and minimum wage increases</w:t>
      </w:r>
    </w:p>
    <w:p w:rsidR="001A5290" w:rsidRPr="009807C5" w:rsidRDefault="001A5290" w:rsidP="001A5290">
      <w:pPr>
        <w:jc w:val="center"/>
        <w:rPr>
          <w:rFonts w:ascii="Verdana" w:hAnsi="Verdana"/>
          <w:sz w:val="14"/>
          <w:szCs w:val="20"/>
        </w:rPr>
      </w:pPr>
      <w:r w:rsidRPr="009807C5">
        <w:rPr>
          <w:noProof/>
          <w:lang w:eastAsia="en-AU"/>
        </w:rPr>
        <w:drawing>
          <wp:inline distT="0" distB="0" distL="0" distR="0" wp14:anchorId="26F9E675" wp14:editId="5C0AD84A">
            <wp:extent cx="4565015" cy="2743200"/>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65015" cy="2743200"/>
                    </a:xfrm>
                    <a:prstGeom prst="rect">
                      <a:avLst/>
                    </a:prstGeom>
                    <a:noFill/>
                    <a:ln>
                      <a:noFill/>
                    </a:ln>
                  </pic:spPr>
                </pic:pic>
              </a:graphicData>
            </a:graphic>
          </wp:inline>
        </w:drawing>
      </w:r>
    </w:p>
    <w:p w:rsidR="001A5290" w:rsidRPr="009807C5" w:rsidRDefault="001A5290" w:rsidP="001A5290">
      <w:pPr>
        <w:jc w:val="center"/>
        <w:rPr>
          <w:rFonts w:ascii="Verdana" w:hAnsi="Verdana"/>
          <w:sz w:val="14"/>
          <w:szCs w:val="20"/>
        </w:rPr>
      </w:pPr>
      <w:r w:rsidRPr="009807C5">
        <w:rPr>
          <w:rFonts w:ascii="Verdana" w:hAnsi="Verdana"/>
          <w:sz w:val="14"/>
          <w:szCs w:val="20"/>
        </w:rPr>
        <w:t xml:space="preserve">Source: ABS </w:t>
      </w:r>
      <w:r w:rsidRPr="009807C5">
        <w:rPr>
          <w:rFonts w:ascii="Verdana" w:hAnsi="Verdana"/>
          <w:sz w:val="14"/>
          <w:szCs w:val="20"/>
        </w:rPr>
        <w:br/>
        <w:t>Private sector WPI used</w:t>
      </w:r>
    </w:p>
    <w:p w:rsidR="009500C8" w:rsidRDefault="00B67618" w:rsidP="009500C8">
      <w:pPr>
        <w:rPr>
          <w:rFonts w:ascii="Verdana" w:hAnsi="Verdana"/>
          <w:sz w:val="20"/>
          <w:szCs w:val="20"/>
        </w:rPr>
      </w:pPr>
      <w:r>
        <w:rPr>
          <w:rFonts w:ascii="Verdana" w:hAnsi="Verdana"/>
          <w:sz w:val="20"/>
          <w:szCs w:val="20"/>
        </w:rPr>
        <w:t>It is particularly re</w:t>
      </w:r>
      <w:r w:rsidR="009500C8">
        <w:rPr>
          <w:rFonts w:ascii="Verdana" w:hAnsi="Verdana"/>
          <w:sz w:val="20"/>
          <w:szCs w:val="20"/>
        </w:rPr>
        <w:t>levant</w:t>
      </w:r>
      <w:r>
        <w:rPr>
          <w:rFonts w:ascii="Verdana" w:hAnsi="Verdana"/>
          <w:sz w:val="20"/>
          <w:szCs w:val="20"/>
        </w:rPr>
        <w:t xml:space="preserve"> that labour productivity gains over the past decade have not been broad-based</w:t>
      </w:r>
      <w:r w:rsidR="0050792F">
        <w:rPr>
          <w:rFonts w:ascii="Verdana" w:hAnsi="Verdana"/>
          <w:sz w:val="20"/>
          <w:szCs w:val="20"/>
        </w:rPr>
        <w:t xml:space="preserve"> or evenly spread</w:t>
      </w:r>
      <w:r>
        <w:rPr>
          <w:rFonts w:ascii="Verdana" w:hAnsi="Verdana"/>
          <w:sz w:val="20"/>
          <w:szCs w:val="20"/>
        </w:rPr>
        <w:t xml:space="preserve">.  The more award-reliant industries, including </w:t>
      </w:r>
      <w:r w:rsidR="0073125B" w:rsidRPr="00B67618">
        <w:rPr>
          <w:rFonts w:ascii="Verdana" w:hAnsi="Verdana"/>
          <w:i/>
          <w:sz w:val="20"/>
          <w:szCs w:val="20"/>
        </w:rPr>
        <w:t>Accommodation</w:t>
      </w:r>
      <w:r w:rsidRPr="00B67618">
        <w:rPr>
          <w:rFonts w:ascii="Verdana" w:hAnsi="Verdana"/>
          <w:i/>
          <w:sz w:val="20"/>
          <w:szCs w:val="20"/>
        </w:rPr>
        <w:t xml:space="preserve"> and food services</w:t>
      </w:r>
      <w:r>
        <w:rPr>
          <w:rFonts w:ascii="Verdana" w:hAnsi="Verdana"/>
          <w:sz w:val="20"/>
          <w:szCs w:val="20"/>
        </w:rPr>
        <w:t xml:space="preserve">, </w:t>
      </w:r>
      <w:r w:rsidRPr="00B67618">
        <w:rPr>
          <w:rFonts w:ascii="Verdana" w:hAnsi="Verdana"/>
          <w:i/>
          <w:sz w:val="20"/>
          <w:szCs w:val="20"/>
        </w:rPr>
        <w:t>Administrative and support services</w:t>
      </w:r>
      <w:r>
        <w:rPr>
          <w:rFonts w:ascii="Verdana" w:hAnsi="Verdana"/>
          <w:sz w:val="20"/>
          <w:szCs w:val="20"/>
        </w:rPr>
        <w:t xml:space="preserve">, and </w:t>
      </w:r>
      <w:r w:rsidRPr="00B67618">
        <w:rPr>
          <w:rFonts w:ascii="Verdana" w:hAnsi="Verdana"/>
          <w:i/>
          <w:sz w:val="20"/>
          <w:szCs w:val="20"/>
        </w:rPr>
        <w:t>Other services</w:t>
      </w:r>
      <w:r>
        <w:rPr>
          <w:rFonts w:ascii="Verdana" w:hAnsi="Verdana"/>
          <w:sz w:val="20"/>
          <w:szCs w:val="20"/>
        </w:rPr>
        <w:t xml:space="preserve"> have each recorded negative</w:t>
      </w:r>
      <w:r w:rsidR="009500C8">
        <w:rPr>
          <w:rFonts w:ascii="Verdana" w:hAnsi="Verdana"/>
          <w:sz w:val="20"/>
          <w:szCs w:val="20"/>
        </w:rPr>
        <w:t xml:space="preserve"> labour</w:t>
      </w:r>
      <w:r>
        <w:rPr>
          <w:rFonts w:ascii="Verdana" w:hAnsi="Verdana"/>
          <w:sz w:val="20"/>
          <w:szCs w:val="20"/>
        </w:rPr>
        <w:t xml:space="preserve"> productivity growth over the past decade.  </w:t>
      </w:r>
      <w:r w:rsidR="009500C8">
        <w:rPr>
          <w:rFonts w:ascii="Verdana" w:hAnsi="Verdana"/>
          <w:sz w:val="20"/>
          <w:szCs w:val="20"/>
        </w:rPr>
        <w:t xml:space="preserve">This is consistent with </w:t>
      </w:r>
      <w:r w:rsidR="009500C8" w:rsidRPr="009807C5">
        <w:rPr>
          <w:rFonts w:ascii="Verdana" w:hAnsi="Verdana"/>
          <w:sz w:val="20"/>
          <w:szCs w:val="20"/>
        </w:rPr>
        <w:t>ABI</w:t>
      </w:r>
      <w:r w:rsidR="009500C8">
        <w:rPr>
          <w:rFonts w:ascii="Verdana" w:hAnsi="Verdana"/>
          <w:sz w:val="20"/>
          <w:szCs w:val="20"/>
        </w:rPr>
        <w:t>’s</w:t>
      </w:r>
      <w:r w:rsidR="009500C8" w:rsidRPr="009807C5">
        <w:rPr>
          <w:rFonts w:ascii="Verdana" w:hAnsi="Verdana"/>
          <w:sz w:val="20"/>
          <w:szCs w:val="20"/>
        </w:rPr>
        <w:t xml:space="preserve"> conten</w:t>
      </w:r>
      <w:r w:rsidR="009500C8">
        <w:rPr>
          <w:rFonts w:ascii="Verdana" w:hAnsi="Verdana"/>
          <w:sz w:val="20"/>
          <w:szCs w:val="20"/>
        </w:rPr>
        <w:t>tion</w:t>
      </w:r>
      <w:r w:rsidR="009500C8" w:rsidRPr="009807C5">
        <w:rPr>
          <w:rFonts w:ascii="Verdana" w:hAnsi="Verdana"/>
          <w:sz w:val="20"/>
          <w:szCs w:val="20"/>
        </w:rPr>
        <w:t xml:space="preserve"> that productivity gains are generally the result of processes that allocate labour toward higher value</w:t>
      </w:r>
      <w:r w:rsidR="009500C8" w:rsidRPr="009807C5">
        <w:rPr>
          <w:rFonts w:ascii="Verdana" w:hAnsi="Verdana"/>
          <w:sz w:val="20"/>
          <w:szCs w:val="20"/>
        </w:rPr>
        <w:noBreakHyphen/>
        <w:t xml:space="preserve">added activities </w:t>
      </w:r>
      <w:r w:rsidR="009500C8">
        <w:rPr>
          <w:rFonts w:ascii="Verdana" w:hAnsi="Verdana"/>
          <w:sz w:val="20"/>
          <w:szCs w:val="20"/>
        </w:rPr>
        <w:t>with fewer</w:t>
      </w:r>
      <w:r w:rsidR="009500C8" w:rsidRPr="009807C5">
        <w:rPr>
          <w:rFonts w:ascii="Verdana" w:hAnsi="Verdana"/>
          <w:sz w:val="20"/>
          <w:szCs w:val="20"/>
        </w:rPr>
        <w:t xml:space="preserve"> opportunities </w:t>
      </w:r>
      <w:r w:rsidR="009500C8">
        <w:rPr>
          <w:rFonts w:ascii="Verdana" w:hAnsi="Verdana"/>
          <w:sz w:val="20"/>
          <w:szCs w:val="20"/>
        </w:rPr>
        <w:t>to do so</w:t>
      </w:r>
      <w:r w:rsidR="009500C8" w:rsidRPr="009807C5">
        <w:rPr>
          <w:rFonts w:ascii="Verdana" w:hAnsi="Verdana"/>
          <w:sz w:val="20"/>
          <w:szCs w:val="20"/>
        </w:rPr>
        <w:t xml:space="preserve"> among the award-reliant workforce.</w:t>
      </w:r>
    </w:p>
    <w:p w:rsidR="009807C5" w:rsidRDefault="0069513E" w:rsidP="00775FFC">
      <w:pPr>
        <w:rPr>
          <w:rFonts w:ascii="Verdana" w:hAnsi="Verdana"/>
          <w:sz w:val="20"/>
          <w:szCs w:val="20"/>
        </w:rPr>
      </w:pPr>
      <w:r>
        <w:rPr>
          <w:rFonts w:ascii="Verdana" w:hAnsi="Verdana"/>
          <w:sz w:val="20"/>
          <w:szCs w:val="20"/>
        </w:rPr>
        <w:t>Labour productivity gains over the past decade, which can be described as modest at best</w:t>
      </w:r>
      <w:r w:rsidR="003D59A0">
        <w:rPr>
          <w:rFonts w:ascii="Verdana" w:hAnsi="Verdana"/>
          <w:sz w:val="20"/>
          <w:szCs w:val="20"/>
        </w:rPr>
        <w:t xml:space="preserve"> (and negative in the December quarter)</w:t>
      </w:r>
      <w:r>
        <w:rPr>
          <w:rFonts w:ascii="Verdana" w:hAnsi="Verdana"/>
          <w:sz w:val="20"/>
          <w:szCs w:val="20"/>
        </w:rPr>
        <w:t xml:space="preserve">, have largely been driven by gains outside the most award-reliant industries. </w:t>
      </w:r>
    </w:p>
    <w:p w:rsidR="009500C8" w:rsidRDefault="009500C8" w:rsidP="009500C8">
      <w:pPr>
        <w:rPr>
          <w:rFonts w:ascii="Verdana" w:hAnsi="Verdana"/>
          <w:sz w:val="20"/>
          <w:szCs w:val="20"/>
        </w:rPr>
      </w:pPr>
      <w:r w:rsidRPr="009807C5">
        <w:rPr>
          <w:rFonts w:ascii="Verdana" w:hAnsi="Verdana"/>
          <w:sz w:val="20"/>
          <w:szCs w:val="20"/>
        </w:rPr>
        <w:t xml:space="preserve">Even if it is assumed that any productivity gains are broad-based, the fact that recent minimum wage increases have been significantly higher than WPI increases over recent years should guide the Panel’s assessment on how this relates to minimum-wage setting.  </w:t>
      </w:r>
    </w:p>
    <w:p w:rsidR="00DD4495" w:rsidRPr="00DD4495" w:rsidRDefault="00820C97" w:rsidP="00DD4495">
      <w:pPr>
        <w:numPr>
          <w:ilvl w:val="1"/>
          <w:numId w:val="0"/>
        </w:numPr>
        <w:rPr>
          <w:rFonts w:ascii="Verdana" w:eastAsiaTheme="majorEastAsia" w:hAnsi="Verdana" w:cstheme="majorBidi"/>
          <w:iCs/>
          <w:color w:val="808080" w:themeColor="background1" w:themeShade="80"/>
          <w:spacing w:val="15"/>
          <w:sz w:val="28"/>
          <w:szCs w:val="28"/>
        </w:rPr>
      </w:pPr>
      <w:r>
        <w:rPr>
          <w:rFonts w:ascii="Verdana" w:eastAsiaTheme="majorEastAsia" w:hAnsi="Verdana" w:cstheme="majorBidi"/>
          <w:iCs/>
          <w:color w:val="808080" w:themeColor="background1" w:themeShade="80"/>
          <w:spacing w:val="15"/>
          <w:sz w:val="28"/>
          <w:szCs w:val="28"/>
        </w:rPr>
        <w:t>Business</w:t>
      </w:r>
      <w:r w:rsidR="00DD4495" w:rsidRPr="00DD4495">
        <w:rPr>
          <w:rFonts w:ascii="Verdana" w:eastAsiaTheme="majorEastAsia" w:hAnsi="Verdana" w:cstheme="majorBidi"/>
          <w:iCs/>
          <w:color w:val="808080" w:themeColor="background1" w:themeShade="80"/>
          <w:spacing w:val="15"/>
          <w:sz w:val="28"/>
          <w:szCs w:val="28"/>
        </w:rPr>
        <w:t xml:space="preserve"> profits</w:t>
      </w:r>
    </w:p>
    <w:p w:rsidR="00DA2619" w:rsidRDefault="00DA2619" w:rsidP="0053646B">
      <w:pPr>
        <w:rPr>
          <w:rFonts w:ascii="Verdana" w:hAnsi="Verdana"/>
          <w:sz w:val="20"/>
          <w:szCs w:val="20"/>
        </w:rPr>
      </w:pPr>
      <w:r>
        <w:rPr>
          <w:rFonts w:ascii="Verdana" w:hAnsi="Verdana"/>
          <w:sz w:val="20"/>
          <w:szCs w:val="20"/>
        </w:rPr>
        <w:t xml:space="preserve">A recent contention made by some parties and commentators has been that business profits have been soaring while wages have flat lined.  Some go further to suggest that interventionist approaches are needed to achieve a rebalancing of wages and profits.  At the outset, ABI </w:t>
      </w:r>
      <w:r w:rsidR="00671CFB">
        <w:rPr>
          <w:rFonts w:ascii="Verdana" w:hAnsi="Verdana"/>
          <w:sz w:val="20"/>
          <w:szCs w:val="20"/>
        </w:rPr>
        <w:t xml:space="preserve">states </w:t>
      </w:r>
      <w:r>
        <w:rPr>
          <w:rFonts w:ascii="Verdana" w:hAnsi="Verdana"/>
          <w:sz w:val="20"/>
          <w:szCs w:val="20"/>
        </w:rPr>
        <w:t>its rejection of both of these assertions.</w:t>
      </w:r>
    </w:p>
    <w:p w:rsidR="00655984" w:rsidRDefault="00671CFB" w:rsidP="0053646B">
      <w:pPr>
        <w:rPr>
          <w:rFonts w:ascii="Verdana" w:hAnsi="Verdana"/>
          <w:sz w:val="20"/>
          <w:szCs w:val="20"/>
        </w:rPr>
      </w:pPr>
      <w:r>
        <w:rPr>
          <w:rFonts w:ascii="Verdana" w:hAnsi="Verdana"/>
          <w:sz w:val="20"/>
          <w:szCs w:val="20"/>
        </w:rPr>
        <w:t>Improved profitability is not evenly distributed.</w:t>
      </w:r>
      <w:r w:rsidR="003D59A0">
        <w:rPr>
          <w:rFonts w:ascii="Verdana" w:hAnsi="Verdana"/>
          <w:sz w:val="20"/>
          <w:szCs w:val="20"/>
        </w:rPr>
        <w:t xml:space="preserve">  </w:t>
      </w:r>
      <w:r>
        <w:rPr>
          <w:rFonts w:ascii="Verdana" w:hAnsi="Verdana"/>
          <w:sz w:val="20"/>
          <w:szCs w:val="20"/>
        </w:rPr>
        <w:t>C</w:t>
      </w:r>
      <w:r w:rsidR="00655984">
        <w:rPr>
          <w:rFonts w:ascii="Verdana" w:hAnsi="Verdana"/>
          <w:sz w:val="20"/>
          <w:szCs w:val="20"/>
        </w:rPr>
        <w:t>ompany gross operating profits among the most award</w:t>
      </w:r>
      <w:r w:rsidR="00655984">
        <w:rPr>
          <w:rFonts w:ascii="Verdana" w:hAnsi="Verdana"/>
          <w:sz w:val="20"/>
          <w:szCs w:val="20"/>
        </w:rPr>
        <w:noBreakHyphen/>
        <w:t xml:space="preserve">reliant industries have grown at a much slower pace (or even </w:t>
      </w:r>
      <w:r>
        <w:rPr>
          <w:rFonts w:ascii="Verdana" w:hAnsi="Verdana"/>
          <w:sz w:val="20"/>
          <w:szCs w:val="20"/>
        </w:rPr>
        <w:t xml:space="preserve">recorded </w:t>
      </w:r>
      <w:r w:rsidR="00655984">
        <w:rPr>
          <w:rFonts w:ascii="Verdana" w:hAnsi="Verdana"/>
          <w:sz w:val="20"/>
          <w:szCs w:val="20"/>
        </w:rPr>
        <w:t>negative</w:t>
      </w:r>
      <w:r>
        <w:rPr>
          <w:rFonts w:ascii="Verdana" w:hAnsi="Verdana"/>
          <w:sz w:val="20"/>
          <w:szCs w:val="20"/>
        </w:rPr>
        <w:t xml:space="preserve"> growth</w:t>
      </w:r>
      <w:r w:rsidR="00655984">
        <w:rPr>
          <w:rFonts w:ascii="Verdana" w:hAnsi="Verdana"/>
          <w:sz w:val="20"/>
          <w:szCs w:val="20"/>
        </w:rPr>
        <w:t>) relative to those in the rest of the economy</w:t>
      </w:r>
      <w:r w:rsidR="00BE1AE8">
        <w:rPr>
          <w:rFonts w:ascii="Verdana" w:hAnsi="Verdana"/>
          <w:sz w:val="20"/>
          <w:szCs w:val="20"/>
        </w:rPr>
        <w:t xml:space="preserve"> in recent times</w:t>
      </w:r>
      <w:r w:rsidR="00655984">
        <w:rPr>
          <w:rFonts w:ascii="Verdana" w:hAnsi="Verdana"/>
          <w:sz w:val="20"/>
          <w:szCs w:val="20"/>
        </w:rPr>
        <w:t xml:space="preserve">.  Business profits </w:t>
      </w:r>
      <w:r>
        <w:rPr>
          <w:rFonts w:ascii="Verdana" w:hAnsi="Verdana"/>
          <w:sz w:val="20"/>
          <w:szCs w:val="20"/>
        </w:rPr>
        <w:lastRenderedPageBreak/>
        <w:t xml:space="preserve">aggregated </w:t>
      </w:r>
      <w:r w:rsidR="00655984">
        <w:rPr>
          <w:rFonts w:ascii="Verdana" w:hAnsi="Verdana"/>
          <w:sz w:val="20"/>
          <w:szCs w:val="20"/>
        </w:rPr>
        <w:t xml:space="preserve">at the macro level cannot be relied on to infer the capacity of firms to deliver higher wages to award-reliant </w:t>
      </w:r>
      <w:r w:rsidR="000445D7">
        <w:rPr>
          <w:rFonts w:ascii="Verdana" w:hAnsi="Verdana"/>
          <w:sz w:val="20"/>
          <w:szCs w:val="20"/>
        </w:rPr>
        <w:t>employees</w:t>
      </w:r>
      <w:r w:rsidR="00655984">
        <w:rPr>
          <w:rFonts w:ascii="Verdana" w:hAnsi="Verdana"/>
          <w:sz w:val="20"/>
          <w:szCs w:val="20"/>
        </w:rPr>
        <w:t>.</w:t>
      </w:r>
    </w:p>
    <w:p w:rsidR="002E5DF6" w:rsidRDefault="00655984" w:rsidP="0053646B">
      <w:pPr>
        <w:rPr>
          <w:rFonts w:ascii="Verdana" w:hAnsi="Verdana"/>
          <w:sz w:val="20"/>
          <w:szCs w:val="20"/>
        </w:rPr>
      </w:pPr>
      <w:r>
        <w:rPr>
          <w:rFonts w:ascii="Verdana" w:hAnsi="Verdana"/>
          <w:sz w:val="20"/>
          <w:szCs w:val="20"/>
        </w:rPr>
        <w:t xml:space="preserve">Further, </w:t>
      </w:r>
      <w:r w:rsidR="006102C4">
        <w:rPr>
          <w:rFonts w:ascii="Verdana" w:hAnsi="Verdana"/>
          <w:sz w:val="20"/>
          <w:szCs w:val="20"/>
        </w:rPr>
        <w:t>patterns of business profitability need to</w:t>
      </w:r>
      <w:r w:rsidR="00224D73">
        <w:rPr>
          <w:rFonts w:ascii="Verdana" w:hAnsi="Verdana"/>
          <w:sz w:val="20"/>
          <w:szCs w:val="20"/>
        </w:rPr>
        <w:t xml:space="preserve"> be</w:t>
      </w:r>
      <w:r w:rsidR="006102C4">
        <w:rPr>
          <w:rFonts w:ascii="Verdana" w:hAnsi="Verdana"/>
          <w:sz w:val="20"/>
          <w:szCs w:val="20"/>
        </w:rPr>
        <w:t xml:space="preserve"> seen within a longer run context.  In the short to medium term profits’ share of income tends to be highly affected by movements in Australia’s terms of trade rather than any underlying structural factors related to Australia’s workplace relations system.  </w:t>
      </w:r>
    </w:p>
    <w:p w:rsidR="00B30AB3" w:rsidRDefault="006102C4" w:rsidP="0053646B">
      <w:pPr>
        <w:rPr>
          <w:rFonts w:ascii="Verdana" w:hAnsi="Verdana"/>
          <w:sz w:val="20"/>
          <w:szCs w:val="20"/>
        </w:rPr>
      </w:pPr>
      <w:r>
        <w:rPr>
          <w:rFonts w:ascii="Verdana" w:hAnsi="Verdana"/>
          <w:sz w:val="20"/>
          <w:szCs w:val="20"/>
        </w:rPr>
        <w:t xml:space="preserve">The most recent uptick in profits’ share of income from 2016 </w:t>
      </w:r>
      <w:r w:rsidR="002E5DF6">
        <w:rPr>
          <w:rFonts w:ascii="Verdana" w:hAnsi="Verdana"/>
          <w:sz w:val="20"/>
          <w:szCs w:val="20"/>
        </w:rPr>
        <w:t>coincides with</w:t>
      </w:r>
      <w:r>
        <w:rPr>
          <w:rFonts w:ascii="Verdana" w:hAnsi="Verdana"/>
          <w:sz w:val="20"/>
          <w:szCs w:val="20"/>
        </w:rPr>
        <w:t xml:space="preserve"> a </w:t>
      </w:r>
      <w:r w:rsidR="002E5DF6">
        <w:rPr>
          <w:rFonts w:ascii="Verdana" w:hAnsi="Verdana"/>
          <w:sz w:val="20"/>
          <w:szCs w:val="20"/>
        </w:rPr>
        <w:t>recovery in Australia’s terms of trade</w:t>
      </w:r>
      <w:r>
        <w:rPr>
          <w:rFonts w:ascii="Verdana" w:hAnsi="Verdana"/>
          <w:sz w:val="20"/>
          <w:szCs w:val="20"/>
        </w:rPr>
        <w:t xml:space="preserve">.  </w:t>
      </w:r>
      <w:r w:rsidR="00B30AB3">
        <w:rPr>
          <w:rFonts w:ascii="Verdana" w:hAnsi="Verdana"/>
          <w:sz w:val="20"/>
          <w:szCs w:val="20"/>
        </w:rPr>
        <w:t>As the RBA noted in its February Monetary Policy Meeting:</w:t>
      </w:r>
    </w:p>
    <w:p w:rsidR="00B30AB3" w:rsidRPr="00B30AB3" w:rsidRDefault="00B30AB3" w:rsidP="00B30AB3">
      <w:pPr>
        <w:ind w:left="720"/>
        <w:rPr>
          <w:rFonts w:ascii="Verdana" w:hAnsi="Verdana"/>
          <w:i/>
          <w:sz w:val="20"/>
          <w:szCs w:val="20"/>
        </w:rPr>
      </w:pPr>
      <w:r w:rsidRPr="00B30AB3">
        <w:rPr>
          <w:rFonts w:ascii="Verdana" w:hAnsi="Verdana"/>
          <w:i/>
          <w:sz w:val="20"/>
          <w:szCs w:val="20"/>
        </w:rPr>
        <w:t xml:space="preserve">Stronger growth in the world economy had contributed to higher commodity prices over 2017, although supply factors and policy measures in China had also been important. </w:t>
      </w:r>
      <w:r w:rsidR="00C17711">
        <w:rPr>
          <w:rFonts w:ascii="Verdana" w:hAnsi="Verdana"/>
          <w:i/>
          <w:sz w:val="20"/>
          <w:szCs w:val="20"/>
        </w:rPr>
        <w:t xml:space="preserve"> </w:t>
      </w:r>
      <w:r w:rsidRPr="00B30AB3">
        <w:rPr>
          <w:rFonts w:ascii="Verdana" w:hAnsi="Verdana"/>
          <w:i/>
          <w:sz w:val="20"/>
          <w:szCs w:val="20"/>
        </w:rPr>
        <w:t xml:space="preserve">Members noted that higher-than-expected commodity prices had supported Australia's terms of trade over 2017 and that the forecast of the terms of trade had consequently been revised a little higher for the near term. </w:t>
      </w:r>
      <w:r w:rsidR="00C17711">
        <w:rPr>
          <w:rFonts w:ascii="Verdana" w:hAnsi="Verdana"/>
          <w:i/>
          <w:sz w:val="20"/>
          <w:szCs w:val="20"/>
        </w:rPr>
        <w:t xml:space="preserve"> </w:t>
      </w:r>
      <w:r w:rsidRPr="00B30AB3">
        <w:rPr>
          <w:rFonts w:ascii="Verdana" w:hAnsi="Verdana"/>
          <w:i/>
          <w:sz w:val="20"/>
          <w:szCs w:val="20"/>
        </w:rPr>
        <w:t xml:space="preserve">Nonetheless, the terms of trade were still expected to decline over the following two years, partly reflecting prospective increases in low-cost supplies of bulk commodities. </w:t>
      </w:r>
    </w:p>
    <w:p w:rsidR="00B30AB3" w:rsidRDefault="00B30AB3" w:rsidP="00B30AB3">
      <w:pPr>
        <w:ind w:left="720"/>
        <w:rPr>
          <w:rFonts w:ascii="Verdana" w:hAnsi="Verdana"/>
          <w:i/>
          <w:sz w:val="20"/>
          <w:szCs w:val="20"/>
        </w:rPr>
      </w:pPr>
      <w:r w:rsidRPr="00F50244">
        <w:rPr>
          <w:rFonts w:ascii="Verdana" w:hAnsi="Verdana"/>
          <w:i/>
          <w:sz w:val="20"/>
          <w:szCs w:val="20"/>
        </w:rPr>
        <w:t xml:space="preserve">Minutes of the Monetary Policy Meeting of the Reserve Bank Board – </w:t>
      </w:r>
      <w:r w:rsidRPr="00F50244">
        <w:rPr>
          <w:rFonts w:ascii="Verdana" w:hAnsi="Verdana"/>
          <w:bCs/>
          <w:i/>
          <w:sz w:val="20"/>
          <w:szCs w:val="20"/>
        </w:rPr>
        <w:t>6</w:t>
      </w:r>
      <w:r>
        <w:rPr>
          <w:rFonts w:ascii="Verdana" w:hAnsi="Verdana"/>
          <w:bCs/>
          <w:i/>
          <w:sz w:val="20"/>
          <w:szCs w:val="20"/>
        </w:rPr>
        <w:t>/2/</w:t>
      </w:r>
      <w:r w:rsidRPr="00F50244">
        <w:rPr>
          <w:rFonts w:ascii="Verdana" w:hAnsi="Verdana"/>
          <w:bCs/>
          <w:i/>
          <w:sz w:val="20"/>
          <w:szCs w:val="20"/>
        </w:rPr>
        <w:t>2018</w:t>
      </w:r>
      <w:r w:rsidRPr="00F50244">
        <w:rPr>
          <w:rFonts w:ascii="Verdana" w:hAnsi="Verdana"/>
          <w:bCs/>
          <w:i/>
          <w:sz w:val="20"/>
          <w:szCs w:val="20"/>
        </w:rPr>
        <w:br/>
      </w:r>
      <w:r w:rsidRPr="00F50244">
        <w:rPr>
          <w:rFonts w:ascii="Verdana" w:hAnsi="Verdana"/>
          <w:i/>
          <w:sz w:val="20"/>
          <w:szCs w:val="20"/>
        </w:rPr>
        <w:t>https://www.rba.gov.au/monetary-policy/rba-board-minutes/2018/2018-02-06.html</w:t>
      </w:r>
    </w:p>
    <w:p w:rsidR="006102C4" w:rsidRDefault="006102C4" w:rsidP="0053646B">
      <w:pPr>
        <w:rPr>
          <w:rFonts w:ascii="Verdana" w:hAnsi="Verdana"/>
          <w:sz w:val="20"/>
          <w:szCs w:val="20"/>
        </w:rPr>
      </w:pPr>
      <w:r>
        <w:rPr>
          <w:rFonts w:ascii="Verdana" w:hAnsi="Verdana"/>
          <w:sz w:val="20"/>
          <w:szCs w:val="20"/>
        </w:rPr>
        <w:t>The increase in profits’ share of income</w:t>
      </w:r>
      <w:r w:rsidR="00224D73">
        <w:rPr>
          <w:rFonts w:ascii="Verdana" w:hAnsi="Verdana"/>
          <w:sz w:val="20"/>
          <w:szCs w:val="20"/>
        </w:rPr>
        <w:t xml:space="preserve"> has</w:t>
      </w:r>
      <w:r>
        <w:rPr>
          <w:rFonts w:ascii="Verdana" w:hAnsi="Verdana"/>
          <w:sz w:val="20"/>
          <w:szCs w:val="20"/>
        </w:rPr>
        <w:t xml:space="preserve"> </w:t>
      </w:r>
      <w:r w:rsidR="00224D73">
        <w:rPr>
          <w:rFonts w:ascii="Verdana" w:hAnsi="Verdana"/>
          <w:sz w:val="20"/>
          <w:szCs w:val="20"/>
        </w:rPr>
        <w:t>pared back</w:t>
      </w:r>
      <w:r>
        <w:rPr>
          <w:rFonts w:ascii="Verdana" w:hAnsi="Verdana"/>
          <w:sz w:val="20"/>
          <w:szCs w:val="20"/>
        </w:rPr>
        <w:t xml:space="preserve"> a broader trend of declining p</w:t>
      </w:r>
      <w:r w:rsidR="00224D73">
        <w:rPr>
          <w:rFonts w:ascii="Verdana" w:hAnsi="Verdana"/>
          <w:sz w:val="20"/>
          <w:szCs w:val="20"/>
        </w:rPr>
        <w:t>rofits evident from around 2011</w:t>
      </w:r>
      <w:r>
        <w:rPr>
          <w:rFonts w:ascii="Verdana" w:hAnsi="Verdana"/>
          <w:sz w:val="20"/>
          <w:szCs w:val="20"/>
        </w:rPr>
        <w:t xml:space="preserve"> which was largely due to</w:t>
      </w:r>
      <w:r w:rsidR="00224D73">
        <w:rPr>
          <w:rFonts w:ascii="Verdana" w:hAnsi="Verdana"/>
          <w:sz w:val="20"/>
          <w:szCs w:val="20"/>
        </w:rPr>
        <w:t xml:space="preserve"> a</w:t>
      </w:r>
      <w:r>
        <w:rPr>
          <w:rFonts w:ascii="Verdana" w:hAnsi="Verdana"/>
          <w:sz w:val="20"/>
          <w:szCs w:val="20"/>
        </w:rPr>
        <w:t xml:space="preserve"> falling terms of trade. </w:t>
      </w:r>
      <w:r w:rsidR="002E5DF6">
        <w:rPr>
          <w:rFonts w:ascii="Verdana" w:hAnsi="Verdana"/>
          <w:sz w:val="20"/>
          <w:szCs w:val="20"/>
        </w:rPr>
        <w:t xml:space="preserve"> When viewed in this medium-term context, profits are merely consistent with</w:t>
      </w:r>
      <w:r w:rsidR="001C447A">
        <w:rPr>
          <w:rFonts w:ascii="Verdana" w:hAnsi="Verdana"/>
          <w:sz w:val="20"/>
          <w:szCs w:val="20"/>
        </w:rPr>
        <w:t xml:space="preserve"> trend levels</w:t>
      </w:r>
      <w:r w:rsidR="002E5DF6">
        <w:rPr>
          <w:rFonts w:ascii="Verdana" w:hAnsi="Verdana"/>
          <w:sz w:val="20"/>
          <w:szCs w:val="20"/>
        </w:rPr>
        <w:t xml:space="preserve">.  </w:t>
      </w:r>
    </w:p>
    <w:p w:rsidR="00DD4495" w:rsidRPr="00DD4495" w:rsidRDefault="00DD4495" w:rsidP="006A1EBB">
      <w:pPr>
        <w:numPr>
          <w:ilvl w:val="1"/>
          <w:numId w:val="0"/>
        </w:numPr>
        <w:spacing w:after="140"/>
        <w:rPr>
          <w:rFonts w:ascii="Verdana" w:eastAsiaTheme="majorEastAsia" w:hAnsi="Verdana" w:cstheme="majorBidi"/>
          <w:iCs/>
          <w:color w:val="808080" w:themeColor="background1" w:themeShade="80"/>
          <w:spacing w:val="15"/>
          <w:sz w:val="28"/>
          <w:szCs w:val="28"/>
        </w:rPr>
      </w:pPr>
      <w:r w:rsidRPr="00DD4495">
        <w:rPr>
          <w:rFonts w:ascii="Verdana" w:eastAsiaTheme="majorEastAsia" w:hAnsi="Verdana" w:cstheme="majorBidi"/>
          <w:iCs/>
          <w:color w:val="808080" w:themeColor="background1" w:themeShade="80"/>
          <w:spacing w:val="15"/>
          <w:sz w:val="28"/>
          <w:szCs w:val="28"/>
        </w:rPr>
        <w:t>Labour market conditions</w:t>
      </w:r>
    </w:p>
    <w:p w:rsidR="00B11F36" w:rsidRDefault="00F87321" w:rsidP="006A1EBB">
      <w:pPr>
        <w:rPr>
          <w:rFonts w:ascii="Verdana" w:hAnsi="Verdana"/>
          <w:sz w:val="20"/>
          <w:szCs w:val="20"/>
        </w:rPr>
      </w:pPr>
      <w:r w:rsidRPr="00F87321">
        <w:rPr>
          <w:rFonts w:ascii="Verdana" w:hAnsi="Verdana"/>
          <w:sz w:val="20"/>
          <w:szCs w:val="20"/>
        </w:rPr>
        <w:t>Employment indicators</w:t>
      </w:r>
      <w:r w:rsidR="00950394">
        <w:rPr>
          <w:rFonts w:ascii="Verdana" w:hAnsi="Verdana"/>
          <w:sz w:val="20"/>
          <w:szCs w:val="20"/>
        </w:rPr>
        <w:t xml:space="preserve"> </w:t>
      </w:r>
      <w:r w:rsidR="003E42FD">
        <w:rPr>
          <w:rFonts w:ascii="Verdana" w:hAnsi="Verdana"/>
          <w:sz w:val="20"/>
          <w:szCs w:val="20"/>
        </w:rPr>
        <w:t>have strengthened since</w:t>
      </w:r>
      <w:r w:rsidR="00950394">
        <w:rPr>
          <w:rFonts w:ascii="Verdana" w:hAnsi="Verdana"/>
          <w:sz w:val="20"/>
          <w:szCs w:val="20"/>
        </w:rPr>
        <w:t xml:space="preserve"> the ti</w:t>
      </w:r>
      <w:r w:rsidR="003E42FD">
        <w:rPr>
          <w:rFonts w:ascii="Verdana" w:hAnsi="Verdana"/>
          <w:sz w:val="20"/>
          <w:szCs w:val="20"/>
        </w:rPr>
        <w:t xml:space="preserve">me of the </w:t>
      </w:r>
      <w:r w:rsidR="00702FA4">
        <w:rPr>
          <w:rFonts w:ascii="Verdana" w:hAnsi="Verdana"/>
          <w:sz w:val="20"/>
          <w:szCs w:val="20"/>
        </w:rPr>
        <w:t xml:space="preserve">2017 </w:t>
      </w:r>
      <w:r w:rsidR="003E42FD">
        <w:rPr>
          <w:rFonts w:ascii="Verdana" w:hAnsi="Verdana"/>
          <w:sz w:val="20"/>
          <w:szCs w:val="20"/>
        </w:rPr>
        <w:t>decision (</w:t>
      </w:r>
      <w:r w:rsidR="003E42FD" w:rsidRPr="002C4836">
        <w:rPr>
          <w:rFonts w:ascii="Verdana" w:hAnsi="Verdana"/>
          <w:sz w:val="20"/>
          <w:szCs w:val="20"/>
        </w:rPr>
        <w:t xml:space="preserve">Table </w:t>
      </w:r>
      <w:r w:rsidR="00E550BF">
        <w:rPr>
          <w:rFonts w:ascii="Verdana" w:hAnsi="Verdana"/>
          <w:sz w:val="20"/>
          <w:szCs w:val="20"/>
        </w:rPr>
        <w:t>2</w:t>
      </w:r>
      <w:r w:rsidR="00950394">
        <w:rPr>
          <w:rFonts w:ascii="Verdana" w:hAnsi="Verdana"/>
          <w:sz w:val="20"/>
          <w:szCs w:val="20"/>
        </w:rPr>
        <w:t xml:space="preserve"> refers)</w:t>
      </w:r>
      <w:r w:rsidR="00F13B38">
        <w:rPr>
          <w:rFonts w:ascii="Verdana" w:hAnsi="Verdana"/>
          <w:sz w:val="20"/>
          <w:szCs w:val="20"/>
        </w:rPr>
        <w:t xml:space="preserve">.  </w:t>
      </w:r>
      <w:r w:rsidR="006A1EBB">
        <w:rPr>
          <w:rFonts w:ascii="Verdana" w:hAnsi="Verdana"/>
          <w:sz w:val="20"/>
          <w:szCs w:val="20"/>
        </w:rPr>
        <w:t xml:space="preserve">Improving labour market conditions </w:t>
      </w:r>
      <w:r w:rsidR="00702FA4">
        <w:rPr>
          <w:rFonts w:ascii="Verdana" w:hAnsi="Verdana"/>
          <w:sz w:val="20"/>
          <w:szCs w:val="20"/>
        </w:rPr>
        <w:t xml:space="preserve">have </w:t>
      </w:r>
      <w:r w:rsidR="006A1EBB">
        <w:rPr>
          <w:rFonts w:ascii="Verdana" w:hAnsi="Verdana"/>
          <w:sz w:val="20"/>
          <w:szCs w:val="20"/>
        </w:rPr>
        <w:t>been underwritten by str</w:t>
      </w:r>
      <w:r w:rsidR="001D3692">
        <w:rPr>
          <w:rFonts w:ascii="Verdana" w:hAnsi="Verdana"/>
          <w:sz w:val="20"/>
          <w:szCs w:val="20"/>
        </w:rPr>
        <w:t>ong employment growth</w:t>
      </w:r>
      <w:r w:rsidR="00702FA4">
        <w:rPr>
          <w:rFonts w:ascii="Verdana" w:hAnsi="Verdana"/>
          <w:sz w:val="20"/>
          <w:szCs w:val="20"/>
        </w:rPr>
        <w:t xml:space="preserve">. </w:t>
      </w:r>
      <w:r w:rsidR="00C17711">
        <w:rPr>
          <w:rFonts w:ascii="Verdana" w:hAnsi="Verdana"/>
          <w:sz w:val="20"/>
          <w:szCs w:val="20"/>
        </w:rPr>
        <w:t xml:space="preserve"> </w:t>
      </w:r>
      <w:r w:rsidR="00702FA4">
        <w:rPr>
          <w:rFonts w:ascii="Verdana" w:hAnsi="Verdana"/>
          <w:sz w:val="20"/>
          <w:szCs w:val="20"/>
        </w:rPr>
        <w:t>Employment</w:t>
      </w:r>
      <w:r w:rsidR="001D3692">
        <w:rPr>
          <w:rFonts w:ascii="Verdana" w:hAnsi="Verdana"/>
          <w:sz w:val="20"/>
          <w:szCs w:val="20"/>
        </w:rPr>
        <w:t xml:space="preserve"> grew</w:t>
      </w:r>
      <w:r w:rsidR="006A1EBB">
        <w:rPr>
          <w:rFonts w:ascii="Verdana" w:hAnsi="Verdana"/>
          <w:sz w:val="20"/>
          <w:szCs w:val="20"/>
        </w:rPr>
        <w:t xml:space="preserve"> by 3.3 per cent in the year to January 2018 (Chart </w:t>
      </w:r>
      <w:r w:rsidR="00D51FB6">
        <w:rPr>
          <w:rFonts w:ascii="Verdana" w:hAnsi="Verdana"/>
          <w:sz w:val="20"/>
          <w:szCs w:val="20"/>
        </w:rPr>
        <w:t>6</w:t>
      </w:r>
      <w:r w:rsidR="006A1EBB">
        <w:rPr>
          <w:rFonts w:ascii="Verdana" w:hAnsi="Verdana"/>
          <w:sz w:val="20"/>
          <w:szCs w:val="20"/>
        </w:rPr>
        <w:t xml:space="preserve"> refers).  </w:t>
      </w:r>
      <w:r w:rsidR="00950394">
        <w:rPr>
          <w:rFonts w:ascii="Verdana" w:hAnsi="Verdana"/>
          <w:sz w:val="20"/>
          <w:szCs w:val="20"/>
        </w:rPr>
        <w:t xml:space="preserve">The unemployment rate </w:t>
      </w:r>
      <w:r w:rsidR="003E42FD">
        <w:rPr>
          <w:rFonts w:ascii="Verdana" w:hAnsi="Verdana"/>
          <w:sz w:val="20"/>
          <w:szCs w:val="20"/>
        </w:rPr>
        <w:t xml:space="preserve">has fallen </w:t>
      </w:r>
      <w:r w:rsidR="00950394">
        <w:rPr>
          <w:rFonts w:ascii="Verdana" w:hAnsi="Verdana"/>
          <w:sz w:val="20"/>
          <w:szCs w:val="20"/>
        </w:rPr>
        <w:t>while</w:t>
      </w:r>
      <w:r w:rsidR="00F13B38">
        <w:rPr>
          <w:rFonts w:ascii="Verdana" w:hAnsi="Verdana"/>
          <w:sz w:val="20"/>
          <w:szCs w:val="20"/>
        </w:rPr>
        <w:t xml:space="preserve"> underemployment </w:t>
      </w:r>
      <w:r w:rsidR="003E42FD">
        <w:rPr>
          <w:rFonts w:ascii="Verdana" w:hAnsi="Verdana"/>
          <w:sz w:val="20"/>
          <w:szCs w:val="20"/>
        </w:rPr>
        <w:t xml:space="preserve">is no longer increasing.  </w:t>
      </w:r>
      <w:r w:rsidR="006A1EBB">
        <w:rPr>
          <w:rFonts w:ascii="Verdana" w:hAnsi="Verdana"/>
          <w:sz w:val="20"/>
          <w:szCs w:val="20"/>
        </w:rPr>
        <w:t>Overall labour market utilisation is improving, though the underutilisation rate sits slightly higher than the average over the past decade</w:t>
      </w:r>
      <w:r w:rsidR="00894A35">
        <w:rPr>
          <w:rFonts w:ascii="Verdana" w:hAnsi="Verdana"/>
          <w:sz w:val="20"/>
          <w:szCs w:val="20"/>
        </w:rPr>
        <w:t xml:space="preserve"> (Chart </w:t>
      </w:r>
      <w:r w:rsidR="00D51FB6">
        <w:rPr>
          <w:rFonts w:ascii="Verdana" w:hAnsi="Verdana"/>
          <w:sz w:val="20"/>
          <w:szCs w:val="20"/>
        </w:rPr>
        <w:t>7</w:t>
      </w:r>
      <w:r w:rsidR="00894A35">
        <w:rPr>
          <w:rFonts w:ascii="Verdana" w:hAnsi="Verdana"/>
          <w:sz w:val="20"/>
          <w:szCs w:val="20"/>
        </w:rPr>
        <w:t xml:space="preserve"> refers).</w:t>
      </w:r>
      <w:r w:rsidR="006A1EBB">
        <w:rPr>
          <w:rFonts w:ascii="Verdana" w:hAnsi="Verdana"/>
          <w:sz w:val="20"/>
          <w:szCs w:val="20"/>
        </w:rPr>
        <w:t xml:space="preserve"> </w:t>
      </w:r>
    </w:p>
    <w:p w:rsidR="005F3F22" w:rsidRDefault="005F3F22">
      <w:pPr>
        <w:rPr>
          <w:rFonts w:ascii="Verdana" w:hAnsi="Verdana"/>
          <w:sz w:val="20"/>
          <w:szCs w:val="20"/>
        </w:rPr>
      </w:pPr>
      <w:r>
        <w:rPr>
          <w:rFonts w:ascii="Verdana" w:hAnsi="Verdana"/>
          <w:sz w:val="20"/>
          <w:szCs w:val="20"/>
        </w:rPr>
        <w:br w:type="page"/>
      </w:r>
    </w:p>
    <w:p w:rsidR="005F3F22" w:rsidRDefault="005F3F22" w:rsidP="006A1EBB">
      <w:pPr>
        <w:rPr>
          <w:rFonts w:ascii="Verdana" w:hAnsi="Verdana"/>
          <w:sz w:val="20"/>
          <w:szCs w:val="20"/>
        </w:rPr>
      </w:pPr>
    </w:p>
    <w:p w:rsidR="00DD4495" w:rsidRPr="002C4836" w:rsidRDefault="00DD4495" w:rsidP="005F3F22">
      <w:pPr>
        <w:rPr>
          <w:rFonts w:ascii="Verdana" w:eastAsiaTheme="majorEastAsia" w:hAnsi="Verdana" w:cstheme="majorBidi"/>
          <w:b/>
          <w:iCs/>
          <w:spacing w:val="15"/>
          <w:sz w:val="16"/>
          <w:szCs w:val="16"/>
        </w:rPr>
      </w:pPr>
      <w:r w:rsidRPr="002C4836">
        <w:rPr>
          <w:rFonts w:ascii="Verdana" w:eastAsiaTheme="majorEastAsia" w:hAnsi="Verdana" w:cstheme="majorBidi"/>
          <w:b/>
          <w:iCs/>
          <w:spacing w:val="15"/>
          <w:sz w:val="16"/>
          <w:szCs w:val="16"/>
        </w:rPr>
        <w:t xml:space="preserve">Table </w:t>
      </w:r>
      <w:r w:rsidR="00E550BF">
        <w:rPr>
          <w:rFonts w:ascii="Verdana" w:eastAsiaTheme="majorEastAsia" w:hAnsi="Verdana" w:cstheme="majorBidi"/>
          <w:b/>
          <w:iCs/>
          <w:spacing w:val="15"/>
          <w:sz w:val="16"/>
          <w:szCs w:val="16"/>
        </w:rPr>
        <w:t>2</w:t>
      </w:r>
      <w:r w:rsidRPr="002C4836">
        <w:rPr>
          <w:rFonts w:ascii="Verdana" w:eastAsiaTheme="majorEastAsia" w:hAnsi="Verdana" w:cstheme="majorBidi"/>
          <w:b/>
          <w:iCs/>
          <w:spacing w:val="15"/>
          <w:sz w:val="16"/>
          <w:szCs w:val="16"/>
        </w:rPr>
        <w:t xml:space="preserve"> – Labour </w:t>
      </w:r>
      <w:r w:rsidR="00412B83" w:rsidRPr="002C4836">
        <w:rPr>
          <w:rFonts w:ascii="Verdana" w:eastAsiaTheme="majorEastAsia" w:hAnsi="Verdana" w:cstheme="majorBidi"/>
          <w:b/>
          <w:iCs/>
          <w:spacing w:val="15"/>
          <w:sz w:val="16"/>
          <w:szCs w:val="16"/>
        </w:rPr>
        <w:t>market</w:t>
      </w:r>
      <w:r w:rsidRPr="002C4836">
        <w:rPr>
          <w:rFonts w:ascii="Verdana" w:eastAsiaTheme="majorEastAsia" w:hAnsi="Verdana" w:cstheme="majorBidi"/>
          <w:b/>
          <w:iCs/>
          <w:spacing w:val="15"/>
          <w:sz w:val="16"/>
          <w:szCs w:val="16"/>
        </w:rPr>
        <w:t xml:space="preserve"> indicators</w:t>
      </w:r>
    </w:p>
    <w:tbl>
      <w:tblPr>
        <w:tblStyle w:val="TableGrid6"/>
        <w:tblW w:w="9012" w:type="dxa"/>
        <w:tblLook w:val="04A0" w:firstRow="1" w:lastRow="0" w:firstColumn="1" w:lastColumn="0" w:noHBand="0" w:noVBand="1"/>
      </w:tblPr>
      <w:tblGrid>
        <w:gridCol w:w="5353"/>
        <w:gridCol w:w="1843"/>
        <w:gridCol w:w="1816"/>
      </w:tblGrid>
      <w:tr w:rsidR="009816F2" w:rsidRPr="002C4836" w:rsidTr="009816F2">
        <w:tc>
          <w:tcPr>
            <w:tcW w:w="5353" w:type="dxa"/>
            <w:shd w:val="clear" w:color="auto" w:fill="E36C0A" w:themeFill="accent6" w:themeFillShade="BF"/>
          </w:tcPr>
          <w:p w:rsidR="009816F2" w:rsidRPr="002C4836" w:rsidRDefault="009816F2" w:rsidP="009816F2">
            <w:pPr>
              <w:rPr>
                <w:color w:val="FFFFFF" w:themeColor="background1"/>
              </w:rPr>
            </w:pPr>
            <w:r w:rsidRPr="002C4836">
              <w:rPr>
                <w:b/>
                <w:color w:val="FFFFFF" w:themeColor="background1"/>
              </w:rPr>
              <w:t>Indicator</w:t>
            </w:r>
          </w:p>
        </w:tc>
        <w:tc>
          <w:tcPr>
            <w:tcW w:w="1843" w:type="dxa"/>
            <w:shd w:val="clear" w:color="auto" w:fill="E36C0A" w:themeFill="accent6" w:themeFillShade="BF"/>
          </w:tcPr>
          <w:p w:rsidR="009816F2" w:rsidRPr="002C4836" w:rsidRDefault="009816F2" w:rsidP="006A776D">
            <w:pPr>
              <w:jc w:val="center"/>
              <w:rPr>
                <w:color w:val="FFFFFF" w:themeColor="background1"/>
              </w:rPr>
            </w:pPr>
            <w:r w:rsidRPr="002C4836">
              <w:rPr>
                <w:b/>
                <w:color w:val="FFFFFF" w:themeColor="background1"/>
              </w:rPr>
              <w:t>201</w:t>
            </w:r>
            <w:r w:rsidR="006A776D" w:rsidRPr="002C4836">
              <w:rPr>
                <w:b/>
                <w:color w:val="FFFFFF" w:themeColor="background1"/>
              </w:rPr>
              <w:t>7</w:t>
            </w:r>
            <w:r w:rsidRPr="002C4836">
              <w:rPr>
                <w:b/>
                <w:color w:val="FFFFFF" w:themeColor="background1"/>
              </w:rPr>
              <w:t xml:space="preserve"> decision</w:t>
            </w:r>
          </w:p>
        </w:tc>
        <w:tc>
          <w:tcPr>
            <w:tcW w:w="1816" w:type="dxa"/>
            <w:shd w:val="clear" w:color="auto" w:fill="E36C0A" w:themeFill="accent6" w:themeFillShade="BF"/>
          </w:tcPr>
          <w:p w:rsidR="009816F2" w:rsidRPr="002C4836" w:rsidRDefault="009816F2" w:rsidP="009816F2">
            <w:pPr>
              <w:jc w:val="center"/>
              <w:rPr>
                <w:color w:val="FFFFFF" w:themeColor="background1"/>
              </w:rPr>
            </w:pPr>
            <w:r w:rsidRPr="002C4836">
              <w:rPr>
                <w:b/>
                <w:color w:val="FFFFFF" w:themeColor="background1"/>
              </w:rPr>
              <w:t>Contemporary</w:t>
            </w:r>
          </w:p>
        </w:tc>
      </w:tr>
      <w:tr w:rsidR="009816F2" w:rsidRPr="002C4836" w:rsidTr="0097616B">
        <w:tc>
          <w:tcPr>
            <w:tcW w:w="5353" w:type="dxa"/>
          </w:tcPr>
          <w:p w:rsidR="009816F2" w:rsidRPr="002C4836" w:rsidRDefault="009816F2" w:rsidP="009816F2">
            <w:r w:rsidRPr="002C4836">
              <w:t>employment growth (%chg, tty)</w:t>
            </w:r>
          </w:p>
          <w:p w:rsidR="009816F2" w:rsidRPr="002C4836" w:rsidRDefault="009816F2" w:rsidP="006A776D">
            <w:r w:rsidRPr="002C4836">
              <w:rPr>
                <w:sz w:val="14"/>
              </w:rPr>
              <w:t>April 201</w:t>
            </w:r>
            <w:r w:rsidR="006A776D" w:rsidRPr="002C4836">
              <w:rPr>
                <w:sz w:val="14"/>
              </w:rPr>
              <w:t>7</w:t>
            </w:r>
            <w:r w:rsidRPr="002C4836">
              <w:rPr>
                <w:sz w:val="14"/>
              </w:rPr>
              <w:t xml:space="preserve"> / </w:t>
            </w:r>
            <w:r w:rsidR="006A776D" w:rsidRPr="002C4836">
              <w:rPr>
                <w:sz w:val="14"/>
              </w:rPr>
              <w:t>January</w:t>
            </w:r>
            <w:r w:rsidRPr="002C4836">
              <w:rPr>
                <w:sz w:val="14"/>
              </w:rPr>
              <w:t xml:space="preserve"> 201</w:t>
            </w:r>
            <w:r w:rsidR="00662D58" w:rsidRPr="002C4836">
              <w:rPr>
                <w:sz w:val="14"/>
              </w:rPr>
              <w:t>8</w:t>
            </w:r>
          </w:p>
        </w:tc>
        <w:tc>
          <w:tcPr>
            <w:tcW w:w="1843" w:type="dxa"/>
          </w:tcPr>
          <w:p w:rsidR="009816F2" w:rsidRPr="002C4836" w:rsidRDefault="006A776D" w:rsidP="009816F2">
            <w:pPr>
              <w:jc w:val="center"/>
            </w:pPr>
            <w:r w:rsidRPr="002C4836">
              <w:t>1.3</w:t>
            </w:r>
            <w:r w:rsidR="009816F2" w:rsidRPr="002C4836">
              <w:t xml:space="preserve"> per cent</w:t>
            </w:r>
          </w:p>
        </w:tc>
        <w:tc>
          <w:tcPr>
            <w:tcW w:w="1816" w:type="dxa"/>
          </w:tcPr>
          <w:p w:rsidR="009816F2" w:rsidRPr="002C4836" w:rsidRDefault="006A776D" w:rsidP="006A776D">
            <w:pPr>
              <w:jc w:val="center"/>
            </w:pPr>
            <w:r w:rsidRPr="002C4836">
              <w:t>3.3</w:t>
            </w:r>
            <w:r w:rsidR="00F87321" w:rsidRPr="002C4836">
              <w:t xml:space="preserve"> per cent</w:t>
            </w:r>
          </w:p>
        </w:tc>
      </w:tr>
      <w:tr w:rsidR="009816F2" w:rsidRPr="002C4836" w:rsidTr="0097616B">
        <w:trPr>
          <w:trHeight w:val="65"/>
        </w:trPr>
        <w:tc>
          <w:tcPr>
            <w:tcW w:w="5353" w:type="dxa"/>
          </w:tcPr>
          <w:p w:rsidR="009816F2" w:rsidRPr="002C4836" w:rsidRDefault="009816F2" w:rsidP="009816F2">
            <w:r w:rsidRPr="002C4836">
              <w:t>growth in hours worked</w:t>
            </w:r>
            <w:r w:rsidR="00704BD2" w:rsidRPr="002C4836">
              <w:t xml:space="preserve"> (monthly)</w:t>
            </w:r>
            <w:r w:rsidRPr="002C4836">
              <w:t xml:space="preserve"> (%chg, tty)</w:t>
            </w:r>
          </w:p>
          <w:p w:rsidR="009816F2" w:rsidRPr="002C4836" w:rsidRDefault="009816F2" w:rsidP="00662D58">
            <w:r w:rsidRPr="002C4836">
              <w:rPr>
                <w:sz w:val="14"/>
              </w:rPr>
              <w:t>April 201</w:t>
            </w:r>
            <w:r w:rsidR="006A776D" w:rsidRPr="002C4836">
              <w:rPr>
                <w:sz w:val="14"/>
              </w:rPr>
              <w:t>7</w:t>
            </w:r>
            <w:r w:rsidRPr="002C4836">
              <w:rPr>
                <w:sz w:val="14"/>
              </w:rPr>
              <w:t xml:space="preserve"> / </w:t>
            </w:r>
            <w:r w:rsidR="00662D58" w:rsidRPr="002C4836">
              <w:rPr>
                <w:sz w:val="14"/>
              </w:rPr>
              <w:t>January</w:t>
            </w:r>
            <w:r w:rsidRPr="002C4836">
              <w:rPr>
                <w:sz w:val="14"/>
              </w:rPr>
              <w:t xml:space="preserve"> 201</w:t>
            </w:r>
            <w:r w:rsidR="00662D58" w:rsidRPr="002C4836">
              <w:rPr>
                <w:sz w:val="14"/>
              </w:rPr>
              <w:t>8</w:t>
            </w:r>
          </w:p>
        </w:tc>
        <w:tc>
          <w:tcPr>
            <w:tcW w:w="1843" w:type="dxa"/>
          </w:tcPr>
          <w:p w:rsidR="009816F2" w:rsidRPr="002C4836" w:rsidRDefault="00704BD2" w:rsidP="00704BD2">
            <w:pPr>
              <w:jc w:val="center"/>
            </w:pPr>
            <w:r w:rsidRPr="002C4836">
              <w:t>1.3</w:t>
            </w:r>
            <w:r w:rsidR="00AA3EBF" w:rsidRPr="002C4836">
              <w:t xml:space="preserve"> </w:t>
            </w:r>
            <w:r w:rsidR="009816F2" w:rsidRPr="002C4836">
              <w:t>per cent</w:t>
            </w:r>
          </w:p>
        </w:tc>
        <w:tc>
          <w:tcPr>
            <w:tcW w:w="1816" w:type="dxa"/>
          </w:tcPr>
          <w:p w:rsidR="009816F2" w:rsidRPr="002C4836" w:rsidRDefault="00CF6D9D" w:rsidP="002D2940">
            <w:pPr>
              <w:spacing w:after="200" w:line="276" w:lineRule="auto"/>
              <w:jc w:val="center"/>
            </w:pPr>
            <w:r w:rsidRPr="002C4836">
              <w:t>0.5</w:t>
            </w:r>
            <w:r w:rsidR="00F87321" w:rsidRPr="002C4836">
              <w:t xml:space="preserve"> per cent</w:t>
            </w:r>
          </w:p>
        </w:tc>
      </w:tr>
      <w:tr w:rsidR="009816F2" w:rsidRPr="002C4836" w:rsidTr="0097616B">
        <w:tc>
          <w:tcPr>
            <w:tcW w:w="5353" w:type="dxa"/>
          </w:tcPr>
          <w:p w:rsidR="009816F2" w:rsidRPr="002C4836" w:rsidRDefault="009816F2" w:rsidP="009816F2">
            <w:r w:rsidRPr="002C4836">
              <w:t>unemployment rate</w:t>
            </w:r>
          </w:p>
          <w:p w:rsidR="009816F2" w:rsidRPr="002C4836" w:rsidRDefault="009816F2" w:rsidP="002D2940">
            <w:r w:rsidRPr="002C4836">
              <w:rPr>
                <w:sz w:val="14"/>
              </w:rPr>
              <w:t>April 201</w:t>
            </w:r>
            <w:r w:rsidR="006A776D" w:rsidRPr="002C4836">
              <w:rPr>
                <w:sz w:val="14"/>
              </w:rPr>
              <w:t>7</w:t>
            </w:r>
            <w:r w:rsidRPr="002C4836">
              <w:rPr>
                <w:sz w:val="14"/>
              </w:rPr>
              <w:t xml:space="preserve"> / </w:t>
            </w:r>
            <w:r w:rsidR="00662D58" w:rsidRPr="002C4836">
              <w:rPr>
                <w:sz w:val="14"/>
              </w:rPr>
              <w:t>January</w:t>
            </w:r>
            <w:r w:rsidRPr="002C4836">
              <w:rPr>
                <w:sz w:val="14"/>
              </w:rPr>
              <w:t xml:space="preserve"> 201</w:t>
            </w:r>
            <w:r w:rsidR="00662D58" w:rsidRPr="002C4836">
              <w:rPr>
                <w:sz w:val="14"/>
              </w:rPr>
              <w:t>8</w:t>
            </w:r>
          </w:p>
        </w:tc>
        <w:tc>
          <w:tcPr>
            <w:tcW w:w="1843" w:type="dxa"/>
          </w:tcPr>
          <w:p w:rsidR="009816F2" w:rsidRPr="002C4836" w:rsidRDefault="00AA3EBF" w:rsidP="006A776D">
            <w:pPr>
              <w:jc w:val="center"/>
            </w:pPr>
            <w:r w:rsidRPr="002C4836">
              <w:t>5</w:t>
            </w:r>
            <w:r w:rsidR="009816F2" w:rsidRPr="002C4836">
              <w:t>.</w:t>
            </w:r>
            <w:r w:rsidR="006A776D" w:rsidRPr="002C4836">
              <w:t>8</w:t>
            </w:r>
            <w:r w:rsidR="009816F2" w:rsidRPr="002C4836">
              <w:t xml:space="preserve"> per cent</w:t>
            </w:r>
          </w:p>
        </w:tc>
        <w:tc>
          <w:tcPr>
            <w:tcW w:w="1816" w:type="dxa"/>
          </w:tcPr>
          <w:p w:rsidR="009816F2" w:rsidRPr="002C4836" w:rsidRDefault="00F87321" w:rsidP="009816F2">
            <w:pPr>
              <w:jc w:val="center"/>
            </w:pPr>
            <w:r w:rsidRPr="002C4836">
              <w:t>5.</w:t>
            </w:r>
            <w:r w:rsidR="006A776D" w:rsidRPr="002C4836">
              <w:t>5</w:t>
            </w:r>
            <w:r w:rsidRPr="002C4836">
              <w:t xml:space="preserve"> per cent</w:t>
            </w:r>
          </w:p>
        </w:tc>
      </w:tr>
      <w:tr w:rsidR="009816F2" w:rsidRPr="002C4836" w:rsidTr="0097616B">
        <w:trPr>
          <w:trHeight w:val="223"/>
        </w:trPr>
        <w:tc>
          <w:tcPr>
            <w:tcW w:w="5353" w:type="dxa"/>
          </w:tcPr>
          <w:p w:rsidR="009816F2" w:rsidRPr="002C4836" w:rsidRDefault="009816F2" w:rsidP="009816F2">
            <w:r w:rsidRPr="002C4836">
              <w:t>participation rate</w:t>
            </w:r>
          </w:p>
          <w:p w:rsidR="009816F2" w:rsidRPr="002C4836" w:rsidRDefault="009816F2" w:rsidP="002D2940">
            <w:r w:rsidRPr="002C4836">
              <w:rPr>
                <w:sz w:val="14"/>
              </w:rPr>
              <w:t>April 201</w:t>
            </w:r>
            <w:r w:rsidR="006A776D" w:rsidRPr="002C4836">
              <w:rPr>
                <w:sz w:val="14"/>
              </w:rPr>
              <w:t>7</w:t>
            </w:r>
            <w:r w:rsidRPr="002C4836">
              <w:rPr>
                <w:sz w:val="14"/>
              </w:rPr>
              <w:t xml:space="preserve"> / </w:t>
            </w:r>
            <w:r w:rsidR="00662D58" w:rsidRPr="002C4836">
              <w:rPr>
                <w:sz w:val="14"/>
              </w:rPr>
              <w:t>January</w:t>
            </w:r>
            <w:r w:rsidRPr="002C4836">
              <w:rPr>
                <w:sz w:val="14"/>
              </w:rPr>
              <w:t xml:space="preserve"> 201</w:t>
            </w:r>
            <w:r w:rsidR="00662D58" w:rsidRPr="002C4836">
              <w:rPr>
                <w:sz w:val="14"/>
              </w:rPr>
              <w:t>8</w:t>
            </w:r>
          </w:p>
        </w:tc>
        <w:tc>
          <w:tcPr>
            <w:tcW w:w="1843" w:type="dxa"/>
          </w:tcPr>
          <w:p w:rsidR="009816F2" w:rsidRPr="002C4836" w:rsidRDefault="009816F2" w:rsidP="009816F2">
            <w:pPr>
              <w:jc w:val="center"/>
            </w:pPr>
            <w:r w:rsidRPr="002C4836">
              <w:t>64.8 per cent</w:t>
            </w:r>
          </w:p>
        </w:tc>
        <w:tc>
          <w:tcPr>
            <w:tcW w:w="1816" w:type="dxa"/>
          </w:tcPr>
          <w:p w:rsidR="009816F2" w:rsidRPr="002C4836" w:rsidRDefault="006A776D" w:rsidP="009816F2">
            <w:pPr>
              <w:jc w:val="center"/>
            </w:pPr>
            <w:r w:rsidRPr="002C4836">
              <w:t>65</w:t>
            </w:r>
            <w:r w:rsidR="00F87321" w:rsidRPr="002C4836">
              <w:t>.</w:t>
            </w:r>
            <w:r w:rsidR="009A6724" w:rsidRPr="002C4836">
              <w:t>6</w:t>
            </w:r>
            <w:r w:rsidR="00F87321" w:rsidRPr="002C4836">
              <w:t xml:space="preserve"> per cent</w:t>
            </w:r>
          </w:p>
        </w:tc>
      </w:tr>
      <w:tr w:rsidR="009816F2" w:rsidRPr="002C4836" w:rsidTr="0097616B">
        <w:tc>
          <w:tcPr>
            <w:tcW w:w="5353" w:type="dxa"/>
          </w:tcPr>
          <w:p w:rsidR="009816F2" w:rsidRPr="002C4836" w:rsidRDefault="009816F2" w:rsidP="00ED0B88">
            <w:r w:rsidRPr="002C4836">
              <w:t>youth unemployment rate</w:t>
            </w:r>
            <w:r w:rsidRPr="002C4836">
              <w:br/>
            </w:r>
            <w:r w:rsidRPr="002C4836">
              <w:rPr>
                <w:sz w:val="14"/>
              </w:rPr>
              <w:t>April 201</w:t>
            </w:r>
            <w:r w:rsidR="00ED0B88" w:rsidRPr="002C4836">
              <w:rPr>
                <w:sz w:val="14"/>
              </w:rPr>
              <w:t>7</w:t>
            </w:r>
            <w:r w:rsidRPr="002C4836">
              <w:rPr>
                <w:sz w:val="14"/>
              </w:rPr>
              <w:t xml:space="preserve"> / </w:t>
            </w:r>
            <w:r w:rsidR="00662D58" w:rsidRPr="002C4836">
              <w:rPr>
                <w:sz w:val="14"/>
              </w:rPr>
              <w:t>January</w:t>
            </w:r>
            <w:r w:rsidR="001C7FC7" w:rsidRPr="002C4836">
              <w:rPr>
                <w:sz w:val="14"/>
              </w:rPr>
              <w:t xml:space="preserve"> </w:t>
            </w:r>
            <w:r w:rsidRPr="002C4836">
              <w:rPr>
                <w:sz w:val="14"/>
              </w:rPr>
              <w:t>201</w:t>
            </w:r>
            <w:r w:rsidR="00662D58" w:rsidRPr="002C4836">
              <w:rPr>
                <w:sz w:val="14"/>
              </w:rPr>
              <w:t>8</w:t>
            </w:r>
          </w:p>
        </w:tc>
        <w:tc>
          <w:tcPr>
            <w:tcW w:w="1843" w:type="dxa"/>
          </w:tcPr>
          <w:p w:rsidR="009816F2" w:rsidRPr="002C4836" w:rsidRDefault="009816F2" w:rsidP="00ED0B88">
            <w:pPr>
              <w:jc w:val="center"/>
            </w:pPr>
            <w:r w:rsidRPr="002C4836">
              <w:t>1</w:t>
            </w:r>
            <w:r w:rsidR="00AA3EBF" w:rsidRPr="002C4836">
              <w:t>2</w:t>
            </w:r>
            <w:r w:rsidRPr="002C4836">
              <w:t>.</w:t>
            </w:r>
            <w:r w:rsidR="00ED0B88" w:rsidRPr="002C4836">
              <w:t>8</w:t>
            </w:r>
            <w:r w:rsidRPr="002C4836">
              <w:t xml:space="preserve"> per cent</w:t>
            </w:r>
          </w:p>
        </w:tc>
        <w:tc>
          <w:tcPr>
            <w:tcW w:w="1816" w:type="dxa"/>
          </w:tcPr>
          <w:p w:rsidR="009816F2" w:rsidRPr="002C4836" w:rsidRDefault="009816F2" w:rsidP="002D2940">
            <w:pPr>
              <w:jc w:val="center"/>
            </w:pPr>
            <w:r w:rsidRPr="002C4836">
              <w:t>1</w:t>
            </w:r>
            <w:r w:rsidR="00ED0B88" w:rsidRPr="002C4836">
              <w:t>2</w:t>
            </w:r>
            <w:r w:rsidRPr="002C4836">
              <w:t>.</w:t>
            </w:r>
            <w:r w:rsidR="009A6724" w:rsidRPr="002C4836">
              <w:t>3</w:t>
            </w:r>
            <w:r w:rsidRPr="002C4836">
              <w:t xml:space="preserve"> per cent</w:t>
            </w:r>
          </w:p>
        </w:tc>
      </w:tr>
      <w:tr w:rsidR="009816F2" w:rsidRPr="002C4836" w:rsidTr="0097616B">
        <w:tc>
          <w:tcPr>
            <w:tcW w:w="5353" w:type="dxa"/>
          </w:tcPr>
          <w:p w:rsidR="009816F2" w:rsidRPr="002C4836" w:rsidRDefault="009816F2" w:rsidP="009816F2">
            <w:r w:rsidRPr="002C4836">
              <w:t>long-term unemployment ratio</w:t>
            </w:r>
          </w:p>
          <w:p w:rsidR="009816F2" w:rsidRPr="002C4836" w:rsidRDefault="00280B74" w:rsidP="00ED0B88">
            <w:r w:rsidRPr="002C4836">
              <w:rPr>
                <w:sz w:val="14"/>
              </w:rPr>
              <w:t>April</w:t>
            </w:r>
            <w:r w:rsidR="009816F2" w:rsidRPr="002C4836">
              <w:rPr>
                <w:sz w:val="14"/>
              </w:rPr>
              <w:t xml:space="preserve"> 201</w:t>
            </w:r>
            <w:r w:rsidR="00ED0B88" w:rsidRPr="002C4836">
              <w:rPr>
                <w:sz w:val="14"/>
              </w:rPr>
              <w:t>7</w:t>
            </w:r>
            <w:r w:rsidR="009816F2" w:rsidRPr="002C4836">
              <w:rPr>
                <w:sz w:val="14"/>
              </w:rPr>
              <w:t xml:space="preserve"> / </w:t>
            </w:r>
            <w:r w:rsidR="00662D58" w:rsidRPr="002C4836">
              <w:rPr>
                <w:sz w:val="14"/>
              </w:rPr>
              <w:t>January</w:t>
            </w:r>
            <w:r w:rsidR="009816F2" w:rsidRPr="002C4836">
              <w:rPr>
                <w:sz w:val="14"/>
              </w:rPr>
              <w:t xml:space="preserve"> 201</w:t>
            </w:r>
            <w:r w:rsidR="00662D58" w:rsidRPr="002C4836">
              <w:rPr>
                <w:sz w:val="14"/>
              </w:rPr>
              <w:t>8</w:t>
            </w:r>
          </w:p>
        </w:tc>
        <w:tc>
          <w:tcPr>
            <w:tcW w:w="1843" w:type="dxa"/>
          </w:tcPr>
          <w:p w:rsidR="009816F2" w:rsidRPr="002C4836" w:rsidRDefault="009816F2" w:rsidP="00ED0B88">
            <w:pPr>
              <w:jc w:val="center"/>
            </w:pPr>
            <w:r w:rsidRPr="002C4836">
              <w:t>2</w:t>
            </w:r>
            <w:r w:rsidR="00ED0B88" w:rsidRPr="002C4836">
              <w:t>4</w:t>
            </w:r>
            <w:r w:rsidRPr="002C4836">
              <w:t>.</w:t>
            </w:r>
            <w:r w:rsidR="00ED0B88" w:rsidRPr="002C4836">
              <w:t>1</w:t>
            </w:r>
            <w:r w:rsidRPr="002C4836">
              <w:t xml:space="preserve"> per cent</w:t>
            </w:r>
          </w:p>
        </w:tc>
        <w:tc>
          <w:tcPr>
            <w:tcW w:w="1816" w:type="dxa"/>
          </w:tcPr>
          <w:p w:rsidR="009816F2" w:rsidRPr="002C4836" w:rsidRDefault="001C7FC7" w:rsidP="008B022B">
            <w:pPr>
              <w:jc w:val="center"/>
            </w:pPr>
            <w:r w:rsidRPr="002C4836">
              <w:t>23</w:t>
            </w:r>
            <w:r w:rsidR="00AE13F9" w:rsidRPr="002C4836">
              <w:t>.4</w:t>
            </w:r>
            <w:r w:rsidR="008B022B" w:rsidRPr="002C4836">
              <w:t xml:space="preserve"> per cent</w:t>
            </w:r>
          </w:p>
        </w:tc>
      </w:tr>
      <w:tr w:rsidR="009816F2" w:rsidRPr="002C4836" w:rsidTr="0097616B">
        <w:tc>
          <w:tcPr>
            <w:tcW w:w="5353" w:type="dxa"/>
          </w:tcPr>
          <w:p w:rsidR="009816F2" w:rsidRPr="002C4836" w:rsidRDefault="009816F2" w:rsidP="00704BD2">
            <w:pPr>
              <w:tabs>
                <w:tab w:val="left" w:pos="402"/>
              </w:tabs>
            </w:pPr>
            <w:r w:rsidRPr="002C4836">
              <w:t>average weekly ordinary time earnings (full time) (%chg, tty)</w:t>
            </w:r>
            <w:r w:rsidR="00F43E78" w:rsidRPr="002C4836">
              <w:rPr>
                <w:sz w:val="14"/>
              </w:rPr>
              <w:t xml:space="preserve"> </w:t>
            </w:r>
            <w:r w:rsidRPr="002C4836">
              <w:rPr>
                <w:sz w:val="14"/>
              </w:rPr>
              <w:t>November 201</w:t>
            </w:r>
            <w:r w:rsidR="00704BD2" w:rsidRPr="002C4836">
              <w:rPr>
                <w:sz w:val="14"/>
              </w:rPr>
              <w:t>6</w:t>
            </w:r>
            <w:r w:rsidRPr="002C4836">
              <w:rPr>
                <w:sz w:val="14"/>
              </w:rPr>
              <w:t xml:space="preserve"> / November 201</w:t>
            </w:r>
            <w:r w:rsidR="00704BD2" w:rsidRPr="002C4836">
              <w:rPr>
                <w:sz w:val="14"/>
              </w:rPr>
              <w:t>7</w:t>
            </w:r>
          </w:p>
        </w:tc>
        <w:tc>
          <w:tcPr>
            <w:tcW w:w="1843" w:type="dxa"/>
          </w:tcPr>
          <w:p w:rsidR="009816F2" w:rsidRPr="002C4836" w:rsidRDefault="00704BD2" w:rsidP="002D2940">
            <w:pPr>
              <w:jc w:val="center"/>
            </w:pPr>
            <w:r w:rsidRPr="002C4836">
              <w:t>2.2</w:t>
            </w:r>
            <w:r w:rsidR="009816F2" w:rsidRPr="002C4836">
              <w:t xml:space="preserve"> per cent</w:t>
            </w:r>
          </w:p>
        </w:tc>
        <w:tc>
          <w:tcPr>
            <w:tcW w:w="1816" w:type="dxa"/>
          </w:tcPr>
          <w:p w:rsidR="009816F2" w:rsidRPr="002C4836" w:rsidRDefault="00E1424A" w:rsidP="009816F2">
            <w:pPr>
              <w:jc w:val="center"/>
            </w:pPr>
            <w:r w:rsidRPr="002C4836">
              <w:t>2</w:t>
            </w:r>
            <w:r w:rsidR="009816F2" w:rsidRPr="002C4836">
              <w:t>.</w:t>
            </w:r>
            <w:r w:rsidR="00AE13F9" w:rsidRPr="002C4836">
              <w:t>4</w:t>
            </w:r>
            <w:r w:rsidR="009816F2" w:rsidRPr="002C4836">
              <w:t xml:space="preserve"> per cent</w:t>
            </w:r>
          </w:p>
        </w:tc>
      </w:tr>
      <w:tr w:rsidR="009816F2" w:rsidRPr="002D2940" w:rsidTr="0097616B">
        <w:tc>
          <w:tcPr>
            <w:tcW w:w="5353" w:type="dxa"/>
          </w:tcPr>
          <w:p w:rsidR="009816F2" w:rsidRPr="002C4836" w:rsidRDefault="009816F2" w:rsidP="009816F2">
            <w:r w:rsidRPr="002C4836">
              <w:t>wage price index (private sector) (%chg, tty)</w:t>
            </w:r>
          </w:p>
          <w:p w:rsidR="009816F2" w:rsidRPr="002C4836" w:rsidRDefault="009816F2" w:rsidP="002D2940">
            <w:r w:rsidRPr="002C4836">
              <w:rPr>
                <w:sz w:val="14"/>
              </w:rPr>
              <w:t>March 201</w:t>
            </w:r>
            <w:r w:rsidR="00143A09" w:rsidRPr="002C4836">
              <w:rPr>
                <w:sz w:val="14"/>
              </w:rPr>
              <w:t>7</w:t>
            </w:r>
            <w:r w:rsidRPr="002C4836">
              <w:rPr>
                <w:sz w:val="14"/>
              </w:rPr>
              <w:t xml:space="preserve"> / December 201</w:t>
            </w:r>
            <w:r w:rsidR="00143A09" w:rsidRPr="002C4836">
              <w:rPr>
                <w:sz w:val="14"/>
              </w:rPr>
              <w:t>7</w:t>
            </w:r>
          </w:p>
        </w:tc>
        <w:tc>
          <w:tcPr>
            <w:tcW w:w="1843" w:type="dxa"/>
          </w:tcPr>
          <w:p w:rsidR="009816F2" w:rsidRPr="002C4836" w:rsidRDefault="002E256E" w:rsidP="002D2940">
            <w:pPr>
              <w:jc w:val="center"/>
            </w:pPr>
            <w:r w:rsidRPr="002C4836">
              <w:t>1</w:t>
            </w:r>
            <w:r w:rsidR="009816F2" w:rsidRPr="002C4836">
              <w:t>.</w:t>
            </w:r>
            <w:r w:rsidR="00143A09" w:rsidRPr="002C4836">
              <w:t>8</w:t>
            </w:r>
            <w:r w:rsidR="009816F2" w:rsidRPr="002C4836">
              <w:t xml:space="preserve"> per cent</w:t>
            </w:r>
          </w:p>
        </w:tc>
        <w:tc>
          <w:tcPr>
            <w:tcW w:w="1816" w:type="dxa"/>
          </w:tcPr>
          <w:p w:rsidR="009816F2" w:rsidRPr="002D2940" w:rsidRDefault="00AA3EBF" w:rsidP="002D2940">
            <w:pPr>
              <w:jc w:val="center"/>
            </w:pPr>
            <w:r w:rsidRPr="002C4836">
              <w:t>1</w:t>
            </w:r>
            <w:r w:rsidR="009816F2" w:rsidRPr="002C4836">
              <w:t>.</w:t>
            </w:r>
            <w:r w:rsidR="00AE13F9" w:rsidRPr="002C4836">
              <w:t>9</w:t>
            </w:r>
            <w:r w:rsidR="009816F2" w:rsidRPr="002C4836">
              <w:t xml:space="preserve"> per cent</w:t>
            </w:r>
          </w:p>
        </w:tc>
      </w:tr>
    </w:tbl>
    <w:p w:rsidR="00F87321" w:rsidRPr="00A822AB" w:rsidRDefault="00F87321" w:rsidP="006A1EBB">
      <w:pPr>
        <w:spacing w:after="240" w:line="240" w:lineRule="auto"/>
        <w:jc w:val="center"/>
        <w:rPr>
          <w:rFonts w:ascii="Verdana" w:hAnsi="Verdana"/>
          <w:sz w:val="14"/>
          <w:szCs w:val="20"/>
        </w:rPr>
      </w:pPr>
      <w:r w:rsidRPr="002D2940">
        <w:rPr>
          <w:rFonts w:ascii="Verdana" w:hAnsi="Verdana"/>
          <w:sz w:val="14"/>
          <w:szCs w:val="20"/>
        </w:rPr>
        <w:t>Source: ABS</w:t>
      </w:r>
      <w:r w:rsidRPr="002D2940">
        <w:rPr>
          <w:rFonts w:ascii="Verdana" w:hAnsi="Verdana"/>
          <w:sz w:val="14"/>
          <w:szCs w:val="20"/>
        </w:rPr>
        <w:br/>
        <w:t>Notes: Data listed under the column “2</w:t>
      </w:r>
      <w:r w:rsidR="00950394" w:rsidRPr="002D2940">
        <w:rPr>
          <w:rFonts w:ascii="Verdana" w:hAnsi="Verdana"/>
          <w:sz w:val="14"/>
          <w:szCs w:val="20"/>
        </w:rPr>
        <w:t>01</w:t>
      </w:r>
      <w:r w:rsidR="00834B5F">
        <w:rPr>
          <w:rFonts w:ascii="Verdana" w:hAnsi="Verdana"/>
          <w:sz w:val="14"/>
          <w:szCs w:val="20"/>
        </w:rPr>
        <w:t>6</w:t>
      </w:r>
      <w:r w:rsidRPr="002D2940">
        <w:rPr>
          <w:rFonts w:ascii="Verdana" w:hAnsi="Verdana"/>
          <w:sz w:val="14"/>
          <w:szCs w:val="20"/>
        </w:rPr>
        <w:t xml:space="preserve"> decision” references data that was available at the time of the 201</w:t>
      </w:r>
      <w:r w:rsidR="00834B5F">
        <w:rPr>
          <w:rFonts w:ascii="Verdana" w:hAnsi="Verdana"/>
          <w:sz w:val="14"/>
          <w:szCs w:val="20"/>
        </w:rPr>
        <w:t>6</w:t>
      </w:r>
      <w:r w:rsidRPr="002D2940">
        <w:rPr>
          <w:rFonts w:ascii="Verdana" w:hAnsi="Verdana"/>
          <w:sz w:val="14"/>
          <w:szCs w:val="20"/>
        </w:rPr>
        <w:t>-1</w:t>
      </w:r>
      <w:r w:rsidR="00834B5F">
        <w:rPr>
          <w:rFonts w:ascii="Verdana" w:hAnsi="Verdana"/>
          <w:sz w:val="14"/>
          <w:szCs w:val="20"/>
        </w:rPr>
        <w:t>7</w:t>
      </w:r>
      <w:r w:rsidRPr="002D2940">
        <w:rPr>
          <w:rFonts w:ascii="Verdana" w:hAnsi="Verdana"/>
          <w:sz w:val="14"/>
          <w:szCs w:val="20"/>
        </w:rPr>
        <w:t xml:space="preserve"> decision and does not include any subsequent revisions.  Seasonally adjusted </w:t>
      </w:r>
      <w:r w:rsidR="00A822AB" w:rsidRPr="002D2940">
        <w:rPr>
          <w:rFonts w:ascii="Verdana" w:hAnsi="Verdana"/>
          <w:sz w:val="14"/>
          <w:szCs w:val="20"/>
        </w:rPr>
        <w:t xml:space="preserve">figures </w:t>
      </w:r>
      <w:r w:rsidRPr="002D2940">
        <w:rPr>
          <w:rFonts w:ascii="Verdana" w:hAnsi="Verdana"/>
          <w:sz w:val="14"/>
          <w:szCs w:val="20"/>
        </w:rPr>
        <w:t>used where available.</w:t>
      </w:r>
    </w:p>
    <w:p w:rsidR="00636E51" w:rsidRDefault="00636E51" w:rsidP="006A1EBB">
      <w:pPr>
        <w:spacing w:after="0"/>
        <w:jc w:val="center"/>
        <w:rPr>
          <w:rFonts w:ascii="Verdana" w:eastAsiaTheme="majorEastAsia" w:hAnsi="Verdana" w:cstheme="majorBidi"/>
          <w:b/>
          <w:iCs/>
          <w:spacing w:val="15"/>
          <w:sz w:val="16"/>
          <w:szCs w:val="16"/>
        </w:rPr>
      </w:pPr>
    </w:p>
    <w:p w:rsidR="00B11F36" w:rsidRDefault="00B11F36" w:rsidP="006A1EBB">
      <w:pPr>
        <w:spacing w:after="0"/>
        <w:jc w:val="center"/>
        <w:rPr>
          <w:rFonts w:ascii="Verdana" w:eastAsiaTheme="majorEastAsia" w:hAnsi="Verdana" w:cstheme="majorBidi"/>
          <w:b/>
          <w:iCs/>
          <w:spacing w:val="15"/>
          <w:sz w:val="16"/>
          <w:szCs w:val="16"/>
        </w:rPr>
      </w:pPr>
    </w:p>
    <w:p w:rsidR="00F43E78" w:rsidRPr="00DD4495" w:rsidRDefault="00F43E78" w:rsidP="006A1EBB">
      <w:pPr>
        <w:spacing w:after="0"/>
        <w:jc w:val="center"/>
        <w:rPr>
          <w:rFonts w:ascii="Verdana" w:eastAsiaTheme="majorEastAsia" w:hAnsi="Verdana" w:cstheme="majorBidi"/>
          <w:b/>
          <w:iCs/>
          <w:spacing w:val="15"/>
          <w:sz w:val="16"/>
          <w:szCs w:val="16"/>
        </w:rPr>
      </w:pPr>
      <w:r>
        <w:rPr>
          <w:rFonts w:ascii="Verdana" w:eastAsiaTheme="majorEastAsia" w:hAnsi="Verdana" w:cstheme="majorBidi"/>
          <w:b/>
          <w:iCs/>
          <w:spacing w:val="15"/>
          <w:sz w:val="16"/>
          <w:szCs w:val="16"/>
        </w:rPr>
        <w:t xml:space="preserve">Chart </w:t>
      </w:r>
      <w:r w:rsidR="00D51FB6">
        <w:rPr>
          <w:rFonts w:ascii="Verdana" w:eastAsiaTheme="majorEastAsia" w:hAnsi="Verdana" w:cstheme="majorBidi"/>
          <w:b/>
          <w:iCs/>
          <w:spacing w:val="15"/>
          <w:sz w:val="16"/>
          <w:szCs w:val="16"/>
        </w:rPr>
        <w:t>6</w:t>
      </w:r>
      <w:r w:rsidRPr="00DD4495">
        <w:rPr>
          <w:rFonts w:ascii="Verdana" w:eastAsiaTheme="majorEastAsia" w:hAnsi="Verdana" w:cstheme="majorBidi"/>
          <w:b/>
          <w:iCs/>
          <w:spacing w:val="15"/>
          <w:sz w:val="16"/>
          <w:szCs w:val="16"/>
        </w:rPr>
        <w:t xml:space="preserve"> – Labour market conditions</w:t>
      </w:r>
    </w:p>
    <w:p w:rsidR="00F43E78" w:rsidRDefault="009527C2" w:rsidP="006A1EBB">
      <w:pPr>
        <w:spacing w:after="0" w:line="240" w:lineRule="auto"/>
        <w:jc w:val="center"/>
        <w:rPr>
          <w:rFonts w:ascii="Verdana" w:hAnsi="Verdana"/>
          <w:sz w:val="14"/>
          <w:szCs w:val="20"/>
        </w:rPr>
      </w:pPr>
      <w:r w:rsidRPr="009527C2">
        <w:rPr>
          <w:noProof/>
          <w:lang w:eastAsia="en-AU"/>
        </w:rPr>
        <w:drawing>
          <wp:inline distT="0" distB="0" distL="0" distR="0" wp14:anchorId="44001C3B" wp14:editId="5347E12B">
            <wp:extent cx="5588758" cy="331913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3112" cy="3339537"/>
                    </a:xfrm>
                    <a:prstGeom prst="rect">
                      <a:avLst/>
                    </a:prstGeom>
                    <a:noFill/>
                    <a:ln>
                      <a:noFill/>
                    </a:ln>
                  </pic:spPr>
                </pic:pic>
              </a:graphicData>
            </a:graphic>
          </wp:inline>
        </w:drawing>
      </w:r>
    </w:p>
    <w:p w:rsidR="00F43E78" w:rsidRPr="00DD4495" w:rsidRDefault="00F43E78" w:rsidP="006A1EBB">
      <w:pPr>
        <w:spacing w:after="0" w:line="240" w:lineRule="auto"/>
        <w:jc w:val="center"/>
        <w:rPr>
          <w:rFonts w:ascii="Verdana" w:hAnsi="Verdana"/>
          <w:sz w:val="14"/>
          <w:szCs w:val="20"/>
        </w:rPr>
      </w:pPr>
      <w:r w:rsidRPr="00DD4495">
        <w:rPr>
          <w:rFonts w:ascii="Verdana" w:hAnsi="Verdana"/>
          <w:sz w:val="14"/>
          <w:szCs w:val="20"/>
        </w:rPr>
        <w:t xml:space="preserve">Source: </w:t>
      </w:r>
      <w:r>
        <w:rPr>
          <w:rFonts w:ascii="Verdana" w:hAnsi="Verdana"/>
          <w:sz w:val="14"/>
          <w:szCs w:val="20"/>
        </w:rPr>
        <w:t>ABS</w:t>
      </w:r>
    </w:p>
    <w:p w:rsidR="00636E51" w:rsidRDefault="00636E51">
      <w:pPr>
        <w:rPr>
          <w:rFonts w:ascii="Verdana" w:eastAsiaTheme="majorEastAsia" w:hAnsi="Verdana" w:cstheme="majorBidi"/>
          <w:b/>
          <w:iCs/>
          <w:spacing w:val="15"/>
          <w:sz w:val="16"/>
          <w:szCs w:val="16"/>
        </w:rPr>
      </w:pPr>
      <w:r>
        <w:rPr>
          <w:rFonts w:ascii="Verdana" w:eastAsiaTheme="majorEastAsia" w:hAnsi="Verdana" w:cstheme="majorBidi"/>
          <w:b/>
          <w:iCs/>
          <w:spacing w:val="15"/>
          <w:sz w:val="16"/>
          <w:szCs w:val="16"/>
        </w:rPr>
        <w:br w:type="page"/>
      </w:r>
    </w:p>
    <w:p w:rsidR="00F248EB" w:rsidRDefault="00DB7F11" w:rsidP="003607FD">
      <w:pPr>
        <w:numPr>
          <w:ilvl w:val="1"/>
          <w:numId w:val="0"/>
        </w:numPr>
        <w:spacing w:after="0"/>
        <w:jc w:val="center"/>
        <w:rPr>
          <w:noProof/>
          <w:lang w:eastAsia="en-AU"/>
        </w:rPr>
      </w:pPr>
      <w:r w:rsidRPr="00DD4495">
        <w:rPr>
          <w:rFonts w:ascii="Verdana" w:eastAsiaTheme="majorEastAsia" w:hAnsi="Verdana" w:cstheme="majorBidi"/>
          <w:b/>
          <w:iCs/>
          <w:spacing w:val="15"/>
          <w:sz w:val="16"/>
          <w:szCs w:val="16"/>
        </w:rPr>
        <w:lastRenderedPageBreak/>
        <w:t xml:space="preserve">Chart </w:t>
      </w:r>
      <w:r w:rsidR="00D51FB6">
        <w:rPr>
          <w:rFonts w:ascii="Verdana" w:eastAsiaTheme="majorEastAsia" w:hAnsi="Verdana" w:cstheme="majorBidi"/>
          <w:b/>
          <w:iCs/>
          <w:spacing w:val="15"/>
          <w:sz w:val="16"/>
          <w:szCs w:val="16"/>
        </w:rPr>
        <w:t>7</w:t>
      </w:r>
      <w:r w:rsidRPr="00DD4495">
        <w:rPr>
          <w:rFonts w:ascii="Verdana" w:eastAsiaTheme="majorEastAsia" w:hAnsi="Verdana" w:cstheme="majorBidi"/>
          <w:b/>
          <w:iCs/>
          <w:spacing w:val="15"/>
          <w:sz w:val="16"/>
          <w:szCs w:val="16"/>
        </w:rPr>
        <w:t xml:space="preserve">– </w:t>
      </w:r>
      <w:r>
        <w:rPr>
          <w:rFonts w:ascii="Verdana" w:eastAsiaTheme="majorEastAsia" w:hAnsi="Verdana" w:cstheme="majorBidi"/>
          <w:b/>
          <w:iCs/>
          <w:spacing w:val="15"/>
          <w:sz w:val="16"/>
          <w:szCs w:val="16"/>
        </w:rPr>
        <w:t>Underutilisation of the labour force</w:t>
      </w:r>
    </w:p>
    <w:p w:rsidR="009527C2" w:rsidRDefault="00C5114D" w:rsidP="00D07420">
      <w:pPr>
        <w:numPr>
          <w:ilvl w:val="1"/>
          <w:numId w:val="0"/>
        </w:numPr>
        <w:jc w:val="center"/>
        <w:rPr>
          <w:rFonts w:ascii="Verdana" w:hAnsi="Verdana"/>
          <w:sz w:val="20"/>
          <w:szCs w:val="20"/>
        </w:rPr>
      </w:pPr>
      <w:r w:rsidRPr="00C5114D">
        <w:rPr>
          <w:noProof/>
          <w:lang w:eastAsia="en-AU"/>
        </w:rPr>
        <w:drawing>
          <wp:inline distT="0" distB="0" distL="0" distR="0" wp14:anchorId="07961161" wp14:editId="23257927">
            <wp:extent cx="6030595" cy="3581539"/>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0595" cy="3581539"/>
                    </a:xfrm>
                    <a:prstGeom prst="rect">
                      <a:avLst/>
                    </a:prstGeom>
                    <a:noFill/>
                    <a:ln>
                      <a:noFill/>
                    </a:ln>
                  </pic:spPr>
                </pic:pic>
              </a:graphicData>
            </a:graphic>
          </wp:inline>
        </w:drawing>
      </w:r>
    </w:p>
    <w:p w:rsidR="00F248EB" w:rsidRDefault="00F248EB" w:rsidP="00F248EB">
      <w:pPr>
        <w:jc w:val="center"/>
        <w:rPr>
          <w:rFonts w:ascii="Verdana" w:hAnsi="Verdana"/>
          <w:sz w:val="20"/>
          <w:szCs w:val="20"/>
        </w:rPr>
      </w:pPr>
      <w:r w:rsidRPr="00DD4495">
        <w:rPr>
          <w:rFonts w:ascii="Verdana" w:hAnsi="Verdana"/>
          <w:sz w:val="14"/>
          <w:szCs w:val="20"/>
        </w:rPr>
        <w:t xml:space="preserve">Source: </w:t>
      </w:r>
      <w:r>
        <w:rPr>
          <w:rFonts w:ascii="Verdana" w:hAnsi="Verdana"/>
          <w:sz w:val="14"/>
          <w:szCs w:val="20"/>
        </w:rPr>
        <w:t>ABS</w:t>
      </w:r>
      <w:r w:rsidRPr="00F87321" w:rsidDel="00272F1D">
        <w:rPr>
          <w:rFonts w:ascii="Verdana" w:hAnsi="Verdana"/>
          <w:sz w:val="20"/>
          <w:szCs w:val="20"/>
        </w:rPr>
        <w:t xml:space="preserve"> </w:t>
      </w:r>
    </w:p>
    <w:p w:rsidR="00AD2533" w:rsidRDefault="00AD2533" w:rsidP="00DB7F11">
      <w:pPr>
        <w:spacing w:before="240"/>
        <w:rPr>
          <w:rFonts w:ascii="Verdana" w:hAnsi="Verdana"/>
          <w:sz w:val="20"/>
          <w:szCs w:val="20"/>
        </w:rPr>
      </w:pPr>
      <w:r>
        <w:rPr>
          <w:rFonts w:ascii="Verdana" w:hAnsi="Verdana"/>
          <w:sz w:val="20"/>
          <w:szCs w:val="20"/>
        </w:rPr>
        <w:t xml:space="preserve">Underemployment is also a more profound challenge </w:t>
      </w:r>
      <w:r w:rsidR="006E7A1F">
        <w:rPr>
          <w:rFonts w:ascii="Verdana" w:hAnsi="Verdana"/>
          <w:sz w:val="20"/>
          <w:szCs w:val="20"/>
        </w:rPr>
        <w:t>among</w:t>
      </w:r>
      <w:r>
        <w:rPr>
          <w:rFonts w:ascii="Verdana" w:hAnsi="Verdana"/>
          <w:sz w:val="20"/>
          <w:szCs w:val="20"/>
        </w:rPr>
        <w:t xml:space="preserve"> five most award-reliant industries (compared with other industries)</w:t>
      </w:r>
      <w:r w:rsidR="006E7A1F">
        <w:rPr>
          <w:rFonts w:ascii="Verdana" w:hAnsi="Verdana"/>
          <w:sz w:val="20"/>
          <w:szCs w:val="20"/>
        </w:rPr>
        <w:t xml:space="preserve"> with only the </w:t>
      </w:r>
      <w:r w:rsidR="006E7A1F" w:rsidRPr="006E7A1F">
        <w:rPr>
          <w:rFonts w:ascii="Verdana" w:hAnsi="Verdana"/>
          <w:i/>
          <w:sz w:val="20"/>
          <w:szCs w:val="20"/>
        </w:rPr>
        <w:t>Other Services</w:t>
      </w:r>
      <w:r w:rsidR="006E7A1F">
        <w:rPr>
          <w:rFonts w:ascii="Verdana" w:hAnsi="Verdana"/>
          <w:sz w:val="20"/>
          <w:szCs w:val="20"/>
        </w:rPr>
        <w:t xml:space="preserve"> category performing in line with all industries (Table 3 refers).  A</w:t>
      </w:r>
      <w:r>
        <w:rPr>
          <w:rFonts w:ascii="Verdana" w:hAnsi="Verdana"/>
          <w:sz w:val="20"/>
          <w:szCs w:val="20"/>
        </w:rPr>
        <w:t xml:space="preserve"> trend of increasing underemployment over the past decade is evident in th</w:t>
      </w:r>
      <w:r w:rsidR="006E7A1F">
        <w:rPr>
          <w:rFonts w:ascii="Verdana" w:hAnsi="Verdana"/>
          <w:sz w:val="20"/>
          <w:szCs w:val="20"/>
        </w:rPr>
        <w:t>e five most award-reliant</w:t>
      </w:r>
      <w:r w:rsidR="00E550BF">
        <w:rPr>
          <w:rFonts w:ascii="Verdana" w:hAnsi="Verdana"/>
          <w:sz w:val="20"/>
          <w:szCs w:val="20"/>
        </w:rPr>
        <w:t xml:space="preserve"> industries (Chart </w:t>
      </w:r>
      <w:r w:rsidR="00D51FB6">
        <w:rPr>
          <w:rFonts w:ascii="Verdana" w:hAnsi="Verdana"/>
          <w:sz w:val="20"/>
          <w:szCs w:val="20"/>
        </w:rPr>
        <w:t>8</w:t>
      </w:r>
      <w:r>
        <w:rPr>
          <w:rFonts w:ascii="Verdana" w:hAnsi="Verdana"/>
          <w:sz w:val="20"/>
          <w:szCs w:val="20"/>
        </w:rPr>
        <w:t xml:space="preserve"> refers).</w:t>
      </w:r>
      <w:r w:rsidR="004406F0">
        <w:rPr>
          <w:rFonts w:ascii="Verdana" w:hAnsi="Verdana"/>
          <w:sz w:val="20"/>
          <w:szCs w:val="20"/>
        </w:rPr>
        <w:t xml:space="preserve">  Across these industries the underemployment ratio is between around 2 and </w:t>
      </w:r>
      <w:r w:rsidR="0032452C">
        <w:rPr>
          <w:rFonts w:ascii="Verdana" w:hAnsi="Verdana"/>
          <w:sz w:val="20"/>
          <w:szCs w:val="20"/>
        </w:rPr>
        <w:t>6</w:t>
      </w:r>
      <w:r w:rsidR="004406F0">
        <w:rPr>
          <w:rFonts w:ascii="Verdana" w:hAnsi="Verdana"/>
          <w:sz w:val="20"/>
          <w:szCs w:val="20"/>
        </w:rPr>
        <w:t xml:space="preserve"> percentage points higher than it was a decade ago.</w:t>
      </w:r>
      <w:r w:rsidR="00B11F36">
        <w:rPr>
          <w:rFonts w:ascii="Verdana" w:hAnsi="Verdana"/>
          <w:sz w:val="20"/>
          <w:szCs w:val="20"/>
        </w:rPr>
        <w:br/>
      </w:r>
    </w:p>
    <w:p w:rsidR="00AD2533" w:rsidRPr="00DD4495" w:rsidRDefault="00AD2533" w:rsidP="00AD2533">
      <w:pPr>
        <w:numPr>
          <w:ilvl w:val="1"/>
          <w:numId w:val="0"/>
        </w:numPr>
        <w:jc w:val="center"/>
        <w:rPr>
          <w:rFonts w:ascii="Verdana" w:eastAsiaTheme="majorEastAsia" w:hAnsi="Verdana" w:cstheme="majorBidi"/>
          <w:b/>
          <w:iCs/>
          <w:spacing w:val="15"/>
          <w:sz w:val="16"/>
          <w:szCs w:val="16"/>
        </w:rPr>
      </w:pPr>
      <w:r>
        <w:rPr>
          <w:rFonts w:ascii="Verdana" w:eastAsiaTheme="majorEastAsia" w:hAnsi="Verdana" w:cstheme="majorBidi"/>
          <w:b/>
          <w:iCs/>
          <w:spacing w:val="15"/>
          <w:sz w:val="16"/>
          <w:szCs w:val="16"/>
        </w:rPr>
        <w:t>Table</w:t>
      </w:r>
      <w:r w:rsidRPr="00DD4495">
        <w:rPr>
          <w:rFonts w:ascii="Verdana" w:eastAsiaTheme="majorEastAsia" w:hAnsi="Verdana" w:cstheme="majorBidi"/>
          <w:b/>
          <w:iCs/>
          <w:spacing w:val="15"/>
          <w:sz w:val="16"/>
          <w:szCs w:val="16"/>
        </w:rPr>
        <w:t xml:space="preserve"> </w:t>
      </w:r>
      <w:r>
        <w:rPr>
          <w:rFonts w:ascii="Verdana" w:eastAsiaTheme="majorEastAsia" w:hAnsi="Verdana" w:cstheme="majorBidi"/>
          <w:b/>
          <w:iCs/>
          <w:spacing w:val="15"/>
          <w:sz w:val="16"/>
          <w:szCs w:val="16"/>
        </w:rPr>
        <w:t>3</w:t>
      </w:r>
      <w:r w:rsidRPr="00DD4495">
        <w:rPr>
          <w:rFonts w:ascii="Verdana" w:eastAsiaTheme="majorEastAsia" w:hAnsi="Verdana" w:cstheme="majorBidi"/>
          <w:b/>
          <w:iCs/>
          <w:spacing w:val="15"/>
          <w:sz w:val="16"/>
          <w:szCs w:val="16"/>
        </w:rPr>
        <w:t xml:space="preserve">– </w:t>
      </w:r>
      <w:r>
        <w:rPr>
          <w:rFonts w:ascii="Verdana" w:eastAsiaTheme="majorEastAsia" w:hAnsi="Verdana" w:cstheme="majorBidi"/>
          <w:b/>
          <w:iCs/>
          <w:spacing w:val="15"/>
          <w:sz w:val="16"/>
          <w:szCs w:val="16"/>
        </w:rPr>
        <w:t>Underemployment by industry</w:t>
      </w:r>
      <w:r w:rsidR="00C20D44">
        <w:rPr>
          <w:rFonts w:ascii="Verdana" w:eastAsiaTheme="majorEastAsia" w:hAnsi="Verdana" w:cstheme="majorBidi"/>
          <w:b/>
          <w:iCs/>
          <w:spacing w:val="15"/>
          <w:sz w:val="16"/>
          <w:szCs w:val="16"/>
        </w:rPr>
        <w:t xml:space="preserve"> (average over year to </w:t>
      </w:r>
      <w:r w:rsidR="0009648E">
        <w:rPr>
          <w:rFonts w:ascii="Verdana" w:eastAsiaTheme="majorEastAsia" w:hAnsi="Verdana" w:cstheme="majorBidi"/>
          <w:b/>
          <w:iCs/>
          <w:spacing w:val="15"/>
          <w:sz w:val="16"/>
          <w:szCs w:val="16"/>
        </w:rPr>
        <w:t>November</w:t>
      </w:r>
      <w:r w:rsidR="00C20D44">
        <w:rPr>
          <w:rFonts w:ascii="Verdana" w:eastAsiaTheme="majorEastAsia" w:hAnsi="Verdana" w:cstheme="majorBidi"/>
          <w:b/>
          <w:iCs/>
          <w:spacing w:val="15"/>
          <w:sz w:val="16"/>
          <w:szCs w:val="16"/>
        </w:rPr>
        <w:t xml:space="preserve"> 2017)</w:t>
      </w:r>
    </w:p>
    <w:tbl>
      <w:tblPr>
        <w:tblStyle w:val="TableGrid6"/>
        <w:tblW w:w="9467" w:type="dxa"/>
        <w:jc w:val="center"/>
        <w:tblLook w:val="04A0" w:firstRow="1" w:lastRow="0" w:firstColumn="1" w:lastColumn="0" w:noHBand="0" w:noVBand="1"/>
      </w:tblPr>
      <w:tblGrid>
        <w:gridCol w:w="3123"/>
        <w:gridCol w:w="4052"/>
        <w:gridCol w:w="2292"/>
      </w:tblGrid>
      <w:tr w:rsidR="00C20D44" w:rsidRPr="00AB401F" w:rsidTr="00DB7F11">
        <w:trPr>
          <w:jc w:val="center"/>
        </w:trPr>
        <w:tc>
          <w:tcPr>
            <w:tcW w:w="3184" w:type="dxa"/>
            <w:shd w:val="clear" w:color="auto" w:fill="E36C0A" w:themeFill="accent6" w:themeFillShade="BF"/>
          </w:tcPr>
          <w:p w:rsidR="00C20D44" w:rsidRPr="002D2940" w:rsidRDefault="00C20D44" w:rsidP="00F248EB">
            <w:pPr>
              <w:rPr>
                <w:color w:val="FFFFFF" w:themeColor="background1"/>
              </w:rPr>
            </w:pPr>
            <w:r>
              <w:rPr>
                <w:b/>
                <w:color w:val="FFFFFF" w:themeColor="background1"/>
              </w:rPr>
              <w:t>Industry</w:t>
            </w:r>
          </w:p>
        </w:tc>
        <w:tc>
          <w:tcPr>
            <w:tcW w:w="4172" w:type="dxa"/>
            <w:shd w:val="clear" w:color="auto" w:fill="E36C0A" w:themeFill="accent6" w:themeFillShade="BF"/>
          </w:tcPr>
          <w:p w:rsidR="00C20D44" w:rsidRPr="002D2940" w:rsidRDefault="00C20D44" w:rsidP="00F77EC0">
            <w:pPr>
              <w:jc w:val="center"/>
              <w:rPr>
                <w:color w:val="FFFFFF" w:themeColor="background1"/>
              </w:rPr>
            </w:pPr>
            <w:r w:rsidRPr="00DB7F11">
              <w:rPr>
                <w:b/>
                <w:color w:val="FFFFFF" w:themeColor="background1"/>
              </w:rPr>
              <w:t>% award-reliant non-managerial employees (May 2016)</w:t>
            </w:r>
          </w:p>
        </w:tc>
        <w:tc>
          <w:tcPr>
            <w:tcW w:w="2111" w:type="dxa"/>
            <w:shd w:val="clear" w:color="auto" w:fill="E36C0A" w:themeFill="accent6" w:themeFillShade="BF"/>
          </w:tcPr>
          <w:p w:rsidR="00C20D44" w:rsidRPr="002D2940" w:rsidRDefault="00C20D44">
            <w:pPr>
              <w:jc w:val="center"/>
              <w:rPr>
                <w:color w:val="FFFFFF" w:themeColor="background1"/>
              </w:rPr>
            </w:pPr>
            <w:r>
              <w:rPr>
                <w:b/>
                <w:color w:val="FFFFFF" w:themeColor="background1"/>
              </w:rPr>
              <w:t>Underemployment ratio</w:t>
            </w:r>
          </w:p>
        </w:tc>
      </w:tr>
      <w:tr w:rsidR="00C20D44" w:rsidRPr="00AB401F" w:rsidTr="00DB7F11">
        <w:trPr>
          <w:jc w:val="center"/>
        </w:trPr>
        <w:tc>
          <w:tcPr>
            <w:tcW w:w="3184" w:type="dxa"/>
          </w:tcPr>
          <w:p w:rsidR="00C20D44" w:rsidRPr="00DB7F11" w:rsidRDefault="00C20D44" w:rsidP="00F77EC0">
            <w:r w:rsidRPr="00F77EC0">
              <w:t>Accommodation</w:t>
            </w:r>
            <w:r w:rsidRPr="00DB7F11">
              <w:t xml:space="preserve"> and food services</w:t>
            </w:r>
          </w:p>
        </w:tc>
        <w:tc>
          <w:tcPr>
            <w:tcW w:w="4172" w:type="dxa"/>
          </w:tcPr>
          <w:p w:rsidR="00C20D44" w:rsidRPr="002D2940" w:rsidRDefault="00C20D44" w:rsidP="00F248EB">
            <w:pPr>
              <w:jc w:val="center"/>
              <w:rPr>
                <w:highlight w:val="magenta"/>
              </w:rPr>
            </w:pPr>
            <w:r>
              <w:t>42.7</w:t>
            </w:r>
            <w:r w:rsidRPr="002D2940">
              <w:t xml:space="preserve"> per cent</w:t>
            </w:r>
          </w:p>
        </w:tc>
        <w:tc>
          <w:tcPr>
            <w:tcW w:w="2111" w:type="dxa"/>
          </w:tcPr>
          <w:p w:rsidR="00C20D44" w:rsidRPr="002D2940" w:rsidRDefault="00321018" w:rsidP="001B2D0C">
            <w:pPr>
              <w:jc w:val="center"/>
              <w:rPr>
                <w:highlight w:val="magenta"/>
              </w:rPr>
            </w:pPr>
            <w:r>
              <w:t>2</w:t>
            </w:r>
            <w:r w:rsidR="001B2D0C">
              <w:t>0</w:t>
            </w:r>
            <w:r w:rsidR="00C20D44">
              <w:t>.</w:t>
            </w:r>
            <w:r w:rsidR="001B2D0C">
              <w:t>9</w:t>
            </w:r>
            <w:r w:rsidR="00C20D44" w:rsidRPr="002D2940">
              <w:t xml:space="preserve"> per cent</w:t>
            </w:r>
          </w:p>
        </w:tc>
      </w:tr>
      <w:tr w:rsidR="00C20D44" w:rsidRPr="00AB401F" w:rsidTr="00DB7F11">
        <w:trPr>
          <w:trHeight w:val="65"/>
          <w:jc w:val="center"/>
        </w:trPr>
        <w:tc>
          <w:tcPr>
            <w:tcW w:w="3184" w:type="dxa"/>
          </w:tcPr>
          <w:p w:rsidR="00C20D44" w:rsidRPr="002D2940" w:rsidRDefault="00C20D44" w:rsidP="00F248EB">
            <w:r>
              <w:t>Administrative and support services</w:t>
            </w:r>
          </w:p>
        </w:tc>
        <w:tc>
          <w:tcPr>
            <w:tcW w:w="4172" w:type="dxa"/>
          </w:tcPr>
          <w:p w:rsidR="00C20D44" w:rsidRPr="002D2940" w:rsidRDefault="00C20D44" w:rsidP="00F248EB">
            <w:pPr>
              <w:jc w:val="center"/>
            </w:pPr>
            <w:r>
              <w:t>42.1</w:t>
            </w:r>
            <w:r w:rsidRPr="002D2940">
              <w:t xml:space="preserve"> per cent</w:t>
            </w:r>
          </w:p>
        </w:tc>
        <w:tc>
          <w:tcPr>
            <w:tcW w:w="2111" w:type="dxa"/>
          </w:tcPr>
          <w:p w:rsidR="00C20D44" w:rsidRPr="002D2940" w:rsidRDefault="00321018" w:rsidP="001B2D0C">
            <w:pPr>
              <w:spacing w:after="200" w:line="276" w:lineRule="auto"/>
              <w:jc w:val="center"/>
              <w:rPr>
                <w:highlight w:val="magenta"/>
              </w:rPr>
            </w:pPr>
            <w:r>
              <w:t>1</w:t>
            </w:r>
            <w:r w:rsidR="001B2D0C">
              <w:t>4</w:t>
            </w:r>
            <w:r>
              <w:t>.</w:t>
            </w:r>
            <w:r w:rsidR="001B2D0C">
              <w:t>1</w:t>
            </w:r>
            <w:r w:rsidR="00C20D44" w:rsidRPr="002D2940">
              <w:t xml:space="preserve"> per cent</w:t>
            </w:r>
          </w:p>
        </w:tc>
      </w:tr>
      <w:tr w:rsidR="00C20D44" w:rsidRPr="00AB401F" w:rsidTr="00DB7F11">
        <w:trPr>
          <w:jc w:val="center"/>
        </w:trPr>
        <w:tc>
          <w:tcPr>
            <w:tcW w:w="3184" w:type="dxa"/>
          </w:tcPr>
          <w:p w:rsidR="00C20D44" w:rsidRPr="002D2940" w:rsidRDefault="00C20D44" w:rsidP="00F248EB">
            <w:r>
              <w:t>Health care and social assistance</w:t>
            </w:r>
          </w:p>
        </w:tc>
        <w:tc>
          <w:tcPr>
            <w:tcW w:w="4172" w:type="dxa"/>
          </w:tcPr>
          <w:p w:rsidR="00C20D44" w:rsidRPr="002D2940" w:rsidRDefault="00C20D44" w:rsidP="00F248EB">
            <w:pPr>
              <w:jc w:val="center"/>
            </w:pPr>
            <w:r>
              <w:t>28.8</w:t>
            </w:r>
            <w:r w:rsidRPr="002D2940">
              <w:t xml:space="preserve"> per cent</w:t>
            </w:r>
          </w:p>
        </w:tc>
        <w:tc>
          <w:tcPr>
            <w:tcW w:w="2111" w:type="dxa"/>
          </w:tcPr>
          <w:p w:rsidR="00C20D44" w:rsidRPr="002D2940" w:rsidRDefault="001B2D0C" w:rsidP="001B2D0C">
            <w:pPr>
              <w:jc w:val="center"/>
              <w:rPr>
                <w:highlight w:val="magenta"/>
              </w:rPr>
            </w:pPr>
            <w:r>
              <w:t>10.4</w:t>
            </w:r>
            <w:r w:rsidR="00C20D44" w:rsidRPr="002D2940">
              <w:t xml:space="preserve"> per cent</w:t>
            </w:r>
          </w:p>
        </w:tc>
      </w:tr>
      <w:tr w:rsidR="00C20D44" w:rsidRPr="00AB401F" w:rsidTr="00DB7F11">
        <w:trPr>
          <w:trHeight w:val="223"/>
          <w:jc w:val="center"/>
        </w:trPr>
        <w:tc>
          <w:tcPr>
            <w:tcW w:w="3184" w:type="dxa"/>
          </w:tcPr>
          <w:p w:rsidR="00C20D44" w:rsidRPr="002D2940" w:rsidRDefault="00C20D44" w:rsidP="00F248EB">
            <w:r>
              <w:t>Other services</w:t>
            </w:r>
          </w:p>
        </w:tc>
        <w:tc>
          <w:tcPr>
            <w:tcW w:w="4172" w:type="dxa"/>
          </w:tcPr>
          <w:p w:rsidR="00C20D44" w:rsidRPr="002D2940" w:rsidRDefault="00C20D44" w:rsidP="00F248EB">
            <w:pPr>
              <w:jc w:val="center"/>
            </w:pPr>
            <w:r>
              <w:t>34.3</w:t>
            </w:r>
            <w:r w:rsidRPr="002D2940">
              <w:t xml:space="preserve"> per cent</w:t>
            </w:r>
          </w:p>
        </w:tc>
        <w:tc>
          <w:tcPr>
            <w:tcW w:w="2111" w:type="dxa"/>
          </w:tcPr>
          <w:p w:rsidR="00C20D44" w:rsidRPr="002D2940" w:rsidRDefault="001B2D0C" w:rsidP="00F248EB">
            <w:pPr>
              <w:jc w:val="center"/>
              <w:rPr>
                <w:highlight w:val="magenta"/>
              </w:rPr>
            </w:pPr>
            <w:r>
              <w:t>8.8</w:t>
            </w:r>
            <w:r w:rsidR="00C20D44" w:rsidRPr="002D2940">
              <w:t xml:space="preserve"> per cent</w:t>
            </w:r>
          </w:p>
        </w:tc>
      </w:tr>
      <w:tr w:rsidR="00C20D44" w:rsidRPr="00AB401F" w:rsidTr="00DB7F11">
        <w:trPr>
          <w:trHeight w:val="77"/>
          <w:jc w:val="center"/>
        </w:trPr>
        <w:tc>
          <w:tcPr>
            <w:tcW w:w="3184" w:type="dxa"/>
          </w:tcPr>
          <w:p w:rsidR="00C20D44" w:rsidRPr="002D2940" w:rsidRDefault="00C20D44" w:rsidP="00F248EB">
            <w:r>
              <w:t>Retail trade</w:t>
            </w:r>
          </w:p>
        </w:tc>
        <w:tc>
          <w:tcPr>
            <w:tcW w:w="4172" w:type="dxa"/>
          </w:tcPr>
          <w:p w:rsidR="00C20D44" w:rsidRPr="002D2940" w:rsidRDefault="00C20D44" w:rsidP="00F248EB">
            <w:pPr>
              <w:jc w:val="center"/>
            </w:pPr>
            <w:r>
              <w:t>34.5</w:t>
            </w:r>
            <w:r w:rsidRPr="002D2940">
              <w:t xml:space="preserve"> per cent</w:t>
            </w:r>
          </w:p>
        </w:tc>
        <w:tc>
          <w:tcPr>
            <w:tcW w:w="2111" w:type="dxa"/>
          </w:tcPr>
          <w:p w:rsidR="00C20D44" w:rsidRPr="002D2940" w:rsidRDefault="00C20D44" w:rsidP="00321018">
            <w:pPr>
              <w:jc w:val="center"/>
              <w:rPr>
                <w:highlight w:val="magenta"/>
              </w:rPr>
            </w:pPr>
            <w:r>
              <w:t>17.</w:t>
            </w:r>
            <w:r w:rsidR="001B2D0C">
              <w:t>1</w:t>
            </w:r>
            <w:r w:rsidRPr="002D2940">
              <w:t xml:space="preserve"> per cent</w:t>
            </w:r>
          </w:p>
        </w:tc>
      </w:tr>
      <w:tr w:rsidR="00C20D44" w:rsidRPr="00AB401F" w:rsidTr="00C20D44">
        <w:trPr>
          <w:jc w:val="center"/>
        </w:trPr>
        <w:tc>
          <w:tcPr>
            <w:tcW w:w="3184" w:type="dxa"/>
          </w:tcPr>
          <w:p w:rsidR="00C20D44" w:rsidRDefault="00C20D44" w:rsidP="00F248EB">
            <w:r>
              <w:t>All industries</w:t>
            </w:r>
          </w:p>
        </w:tc>
        <w:tc>
          <w:tcPr>
            <w:tcW w:w="4172" w:type="dxa"/>
          </w:tcPr>
          <w:p w:rsidR="00C20D44" w:rsidRDefault="003969BC" w:rsidP="00F248EB">
            <w:pPr>
              <w:jc w:val="center"/>
            </w:pPr>
            <w:r>
              <w:t>24.5 per cent</w:t>
            </w:r>
          </w:p>
        </w:tc>
        <w:tc>
          <w:tcPr>
            <w:tcW w:w="2111" w:type="dxa"/>
          </w:tcPr>
          <w:p w:rsidR="00C20D44" w:rsidRPr="002D2940" w:rsidRDefault="00F03F0C" w:rsidP="00F248EB">
            <w:pPr>
              <w:jc w:val="center"/>
            </w:pPr>
            <w:r>
              <w:t>9.</w:t>
            </w:r>
            <w:r w:rsidR="00321018">
              <w:t>0</w:t>
            </w:r>
            <w:r>
              <w:t xml:space="preserve"> per cent</w:t>
            </w:r>
          </w:p>
        </w:tc>
      </w:tr>
    </w:tbl>
    <w:p w:rsidR="00A2042E" w:rsidRDefault="00A2042E" w:rsidP="00DB7F11">
      <w:pPr>
        <w:spacing w:before="120" w:after="120"/>
        <w:jc w:val="center"/>
        <w:rPr>
          <w:rFonts w:ascii="Verdana" w:hAnsi="Verdana"/>
          <w:sz w:val="20"/>
          <w:szCs w:val="20"/>
        </w:rPr>
      </w:pPr>
      <w:r w:rsidRPr="002D2940">
        <w:rPr>
          <w:rFonts w:ascii="Verdana" w:hAnsi="Verdana"/>
          <w:sz w:val="14"/>
          <w:szCs w:val="20"/>
        </w:rPr>
        <w:t>Source: ABS</w:t>
      </w:r>
    </w:p>
    <w:p w:rsidR="00636E51" w:rsidRDefault="00636E51" w:rsidP="00DB7F11">
      <w:pPr>
        <w:numPr>
          <w:ilvl w:val="1"/>
          <w:numId w:val="0"/>
        </w:numPr>
        <w:jc w:val="center"/>
        <w:rPr>
          <w:rFonts w:ascii="Verdana" w:eastAsiaTheme="majorEastAsia" w:hAnsi="Verdana" w:cstheme="majorBidi"/>
          <w:b/>
          <w:iCs/>
          <w:spacing w:val="15"/>
          <w:sz w:val="16"/>
          <w:szCs w:val="16"/>
        </w:rPr>
      </w:pPr>
      <w:r>
        <w:rPr>
          <w:rFonts w:ascii="Verdana" w:eastAsiaTheme="majorEastAsia" w:hAnsi="Verdana" w:cstheme="majorBidi"/>
          <w:b/>
          <w:iCs/>
          <w:spacing w:val="15"/>
          <w:sz w:val="16"/>
          <w:szCs w:val="16"/>
        </w:rPr>
        <w:br/>
      </w:r>
    </w:p>
    <w:p w:rsidR="00DB7F11" w:rsidRPr="00DD4495" w:rsidRDefault="00DB7F11" w:rsidP="005F3F22">
      <w:pPr>
        <w:jc w:val="center"/>
        <w:rPr>
          <w:rFonts w:ascii="Verdana" w:eastAsiaTheme="majorEastAsia" w:hAnsi="Verdana" w:cstheme="majorBidi"/>
          <w:b/>
          <w:iCs/>
          <w:spacing w:val="15"/>
          <w:sz w:val="16"/>
          <w:szCs w:val="16"/>
        </w:rPr>
      </w:pPr>
      <w:r w:rsidRPr="00DD4495">
        <w:rPr>
          <w:rFonts w:ascii="Verdana" w:eastAsiaTheme="majorEastAsia" w:hAnsi="Verdana" w:cstheme="majorBidi"/>
          <w:b/>
          <w:iCs/>
          <w:spacing w:val="15"/>
          <w:sz w:val="16"/>
          <w:szCs w:val="16"/>
        </w:rPr>
        <w:lastRenderedPageBreak/>
        <w:t xml:space="preserve">Chart </w:t>
      </w:r>
      <w:r w:rsidR="00D51FB6">
        <w:rPr>
          <w:rFonts w:ascii="Verdana" w:eastAsiaTheme="majorEastAsia" w:hAnsi="Verdana" w:cstheme="majorBidi"/>
          <w:b/>
          <w:iCs/>
          <w:spacing w:val="15"/>
          <w:sz w:val="16"/>
          <w:szCs w:val="16"/>
        </w:rPr>
        <w:t>8</w:t>
      </w:r>
      <w:r w:rsidRPr="00DD4495">
        <w:rPr>
          <w:rFonts w:ascii="Verdana" w:eastAsiaTheme="majorEastAsia" w:hAnsi="Verdana" w:cstheme="majorBidi"/>
          <w:b/>
          <w:iCs/>
          <w:spacing w:val="15"/>
          <w:sz w:val="16"/>
          <w:szCs w:val="16"/>
        </w:rPr>
        <w:t xml:space="preserve">– </w:t>
      </w:r>
      <w:r>
        <w:rPr>
          <w:rFonts w:ascii="Verdana" w:eastAsiaTheme="majorEastAsia" w:hAnsi="Verdana" w:cstheme="majorBidi"/>
          <w:b/>
          <w:iCs/>
          <w:spacing w:val="15"/>
          <w:sz w:val="16"/>
          <w:szCs w:val="16"/>
        </w:rPr>
        <w:t>Underemployment in award-reliant industries</w:t>
      </w:r>
    </w:p>
    <w:p w:rsidR="00DB7F11" w:rsidRDefault="00336DC8" w:rsidP="00DB7F11">
      <w:pPr>
        <w:jc w:val="center"/>
        <w:rPr>
          <w:rFonts w:ascii="Verdana" w:eastAsiaTheme="majorEastAsia" w:hAnsi="Verdana" w:cstheme="majorBidi"/>
          <w:b/>
          <w:iCs/>
          <w:spacing w:val="15"/>
          <w:sz w:val="16"/>
          <w:szCs w:val="16"/>
        </w:rPr>
      </w:pPr>
      <w:r w:rsidRPr="00336DC8">
        <w:rPr>
          <w:noProof/>
          <w:lang w:eastAsia="en-AU"/>
        </w:rPr>
        <w:drawing>
          <wp:inline distT="0" distB="0" distL="0" distR="0" wp14:anchorId="6FA58882" wp14:editId="3C72DE09">
            <wp:extent cx="5479415" cy="3521075"/>
            <wp:effectExtent l="0" t="0" r="6985"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9415" cy="3521075"/>
                    </a:xfrm>
                    <a:prstGeom prst="rect">
                      <a:avLst/>
                    </a:prstGeom>
                    <a:noFill/>
                    <a:ln>
                      <a:noFill/>
                    </a:ln>
                  </pic:spPr>
                </pic:pic>
              </a:graphicData>
            </a:graphic>
          </wp:inline>
        </w:drawing>
      </w:r>
    </w:p>
    <w:p w:rsidR="00DB7F11" w:rsidRPr="00D07420" w:rsidRDefault="00DB7F11" w:rsidP="00CB4EE5">
      <w:pPr>
        <w:jc w:val="center"/>
        <w:rPr>
          <w:rFonts w:ascii="Verdana" w:hAnsi="Verdana"/>
          <w:sz w:val="14"/>
          <w:szCs w:val="20"/>
        </w:rPr>
      </w:pPr>
      <w:r w:rsidRPr="00DD4495">
        <w:rPr>
          <w:rFonts w:ascii="Verdana" w:hAnsi="Verdana"/>
          <w:sz w:val="14"/>
          <w:szCs w:val="20"/>
        </w:rPr>
        <w:t xml:space="preserve">Source: </w:t>
      </w:r>
      <w:r>
        <w:rPr>
          <w:rFonts w:ascii="Verdana" w:hAnsi="Verdana"/>
          <w:sz w:val="14"/>
          <w:szCs w:val="20"/>
        </w:rPr>
        <w:t xml:space="preserve">ABS </w:t>
      </w:r>
      <w:r w:rsidR="00684F61">
        <w:rPr>
          <w:rFonts w:ascii="Verdana" w:hAnsi="Verdana"/>
          <w:sz w:val="14"/>
          <w:szCs w:val="20"/>
        </w:rPr>
        <w:br/>
        <w:t>Note: Data is the average of previous four quarters</w:t>
      </w:r>
    </w:p>
    <w:p w:rsidR="003910E0" w:rsidRDefault="006265EF" w:rsidP="002D2940">
      <w:pPr>
        <w:spacing w:before="240"/>
        <w:rPr>
          <w:rFonts w:ascii="Verdana" w:hAnsi="Verdana"/>
          <w:sz w:val="20"/>
          <w:szCs w:val="20"/>
        </w:rPr>
      </w:pPr>
      <w:r>
        <w:rPr>
          <w:rFonts w:ascii="Verdana" w:hAnsi="Verdana"/>
          <w:sz w:val="20"/>
          <w:szCs w:val="20"/>
        </w:rPr>
        <w:t>In addition,</w:t>
      </w:r>
      <w:r w:rsidR="00F87321" w:rsidRPr="00F87321">
        <w:rPr>
          <w:rFonts w:ascii="Verdana" w:hAnsi="Verdana"/>
          <w:sz w:val="20"/>
          <w:szCs w:val="20"/>
        </w:rPr>
        <w:t xml:space="preserve"> ABI notes that youth</w:t>
      </w:r>
      <w:r w:rsidR="002955D4">
        <w:rPr>
          <w:rFonts w:ascii="Verdana" w:hAnsi="Verdana"/>
          <w:sz w:val="20"/>
          <w:szCs w:val="20"/>
        </w:rPr>
        <w:t xml:space="preserve"> and long term</w:t>
      </w:r>
      <w:r w:rsidR="00F87321" w:rsidRPr="00F87321">
        <w:rPr>
          <w:rFonts w:ascii="Verdana" w:hAnsi="Verdana"/>
          <w:sz w:val="20"/>
          <w:szCs w:val="20"/>
        </w:rPr>
        <w:t xml:space="preserve"> unemployment </w:t>
      </w:r>
      <w:r>
        <w:rPr>
          <w:rFonts w:ascii="Verdana" w:hAnsi="Verdana"/>
          <w:sz w:val="20"/>
          <w:szCs w:val="20"/>
        </w:rPr>
        <w:t xml:space="preserve">remain </w:t>
      </w:r>
      <w:r w:rsidR="00636E51">
        <w:rPr>
          <w:rFonts w:ascii="Verdana" w:hAnsi="Verdana"/>
          <w:sz w:val="20"/>
          <w:szCs w:val="20"/>
        </w:rPr>
        <w:t>at elevated levels</w:t>
      </w:r>
      <w:r w:rsidR="00636E51" w:rsidRPr="00F87321">
        <w:rPr>
          <w:rFonts w:ascii="Verdana" w:hAnsi="Verdana"/>
          <w:sz w:val="20"/>
          <w:szCs w:val="20"/>
        </w:rPr>
        <w:t xml:space="preserve"> </w:t>
      </w:r>
      <w:r w:rsidR="00F87321" w:rsidRPr="00F87321">
        <w:rPr>
          <w:rFonts w:ascii="Verdana" w:hAnsi="Verdana"/>
          <w:sz w:val="20"/>
          <w:szCs w:val="20"/>
        </w:rPr>
        <w:t xml:space="preserve">(Chart </w:t>
      </w:r>
      <w:r w:rsidR="00D51FB6">
        <w:rPr>
          <w:rFonts w:ascii="Verdana" w:hAnsi="Verdana"/>
          <w:sz w:val="20"/>
          <w:szCs w:val="20"/>
        </w:rPr>
        <w:t>9</w:t>
      </w:r>
      <w:r w:rsidR="00F87321" w:rsidRPr="00F87321">
        <w:rPr>
          <w:rFonts w:ascii="Verdana" w:hAnsi="Verdana"/>
          <w:sz w:val="20"/>
          <w:szCs w:val="20"/>
        </w:rPr>
        <w:t xml:space="preserve"> refers)</w:t>
      </w:r>
      <w:r w:rsidR="0032452C">
        <w:rPr>
          <w:rFonts w:ascii="Verdana" w:hAnsi="Verdana"/>
          <w:sz w:val="20"/>
          <w:szCs w:val="20"/>
        </w:rPr>
        <w:t xml:space="preserve">.  While youth unemployment has declined in line with more favourable labour market conditions, it remains significantly higher than for the broader population. </w:t>
      </w:r>
    </w:p>
    <w:p w:rsidR="0012525D" w:rsidRDefault="0012525D" w:rsidP="002D2940">
      <w:pPr>
        <w:spacing w:before="240"/>
        <w:rPr>
          <w:rFonts w:ascii="Verdana" w:hAnsi="Verdana"/>
          <w:sz w:val="20"/>
          <w:szCs w:val="20"/>
        </w:rPr>
      </w:pPr>
      <w:r>
        <w:rPr>
          <w:rFonts w:ascii="Verdana" w:hAnsi="Verdana"/>
          <w:sz w:val="20"/>
          <w:szCs w:val="20"/>
        </w:rPr>
        <w:t xml:space="preserve">Regional disparities in employment indicators remain a concern.  To illustrate, 23 out of 88 SA4 regions have youth unemployment rates above 15 per cent with some recording rates of close to or more than 30 per cent (Table 4 refers).  </w:t>
      </w:r>
      <w:r w:rsidR="00C17711">
        <w:rPr>
          <w:rFonts w:ascii="Verdana" w:hAnsi="Verdana"/>
          <w:sz w:val="20"/>
          <w:szCs w:val="20"/>
        </w:rPr>
        <w:t>T</w:t>
      </w:r>
      <w:r>
        <w:rPr>
          <w:rFonts w:ascii="Verdana" w:hAnsi="Verdana"/>
          <w:sz w:val="20"/>
          <w:szCs w:val="20"/>
        </w:rPr>
        <w:t>his suggests that</w:t>
      </w:r>
      <w:r w:rsidR="00670520">
        <w:rPr>
          <w:rFonts w:ascii="Verdana" w:hAnsi="Verdana"/>
          <w:sz w:val="20"/>
          <w:szCs w:val="20"/>
        </w:rPr>
        <w:t xml:space="preserve"> even if</w:t>
      </w:r>
      <w:r>
        <w:rPr>
          <w:rFonts w:ascii="Verdana" w:hAnsi="Verdana"/>
          <w:sz w:val="20"/>
          <w:szCs w:val="20"/>
        </w:rPr>
        <w:t xml:space="preserve"> conditions </w:t>
      </w:r>
      <w:r w:rsidR="00670520">
        <w:rPr>
          <w:rFonts w:ascii="Verdana" w:hAnsi="Verdana"/>
          <w:sz w:val="20"/>
          <w:szCs w:val="20"/>
        </w:rPr>
        <w:t>were interpreted to be</w:t>
      </w:r>
      <w:r>
        <w:rPr>
          <w:rFonts w:ascii="Verdana" w:hAnsi="Verdana"/>
          <w:sz w:val="20"/>
          <w:szCs w:val="20"/>
        </w:rPr>
        <w:t xml:space="preserve"> more accommodative in the broader economy, pinch points exist within the labour market both geographically, as well as within certain subsets of the labour force.  When deliberating on the impact of a potential minimum wage increase on employment outcomes, the Panel should consider potential outcomes </w:t>
      </w:r>
      <w:r w:rsidR="00670520">
        <w:rPr>
          <w:rFonts w:ascii="Verdana" w:hAnsi="Verdana"/>
          <w:sz w:val="20"/>
          <w:szCs w:val="20"/>
        </w:rPr>
        <w:t xml:space="preserve">as they are experienced </w:t>
      </w:r>
      <w:r w:rsidR="00340A96">
        <w:rPr>
          <w:rFonts w:ascii="Verdana" w:hAnsi="Verdana"/>
          <w:sz w:val="20"/>
          <w:szCs w:val="20"/>
        </w:rPr>
        <w:t>at the national and the regional level</w:t>
      </w:r>
      <w:r w:rsidR="00C76ACE">
        <w:rPr>
          <w:rFonts w:ascii="Verdana" w:hAnsi="Verdana"/>
          <w:sz w:val="20"/>
          <w:szCs w:val="20"/>
        </w:rPr>
        <w:t>.</w:t>
      </w:r>
    </w:p>
    <w:p w:rsidR="00F87321" w:rsidRPr="00F87321" w:rsidRDefault="00B707A9" w:rsidP="00F87321">
      <w:pPr>
        <w:rPr>
          <w:rFonts w:ascii="Verdana" w:hAnsi="Verdana"/>
          <w:sz w:val="20"/>
          <w:szCs w:val="20"/>
        </w:rPr>
      </w:pPr>
      <w:r>
        <w:rPr>
          <w:rFonts w:ascii="Verdana" w:hAnsi="Verdana"/>
          <w:sz w:val="20"/>
          <w:szCs w:val="20"/>
        </w:rPr>
        <w:t>M</w:t>
      </w:r>
      <w:r w:rsidR="00F87321" w:rsidRPr="00F87321">
        <w:rPr>
          <w:rFonts w:ascii="Verdana" w:hAnsi="Verdana"/>
          <w:sz w:val="20"/>
          <w:szCs w:val="20"/>
        </w:rPr>
        <w:t xml:space="preserve">inimum wage increases beyond </w:t>
      </w:r>
      <w:r w:rsidR="00CD0F7B">
        <w:rPr>
          <w:rFonts w:ascii="Verdana" w:hAnsi="Verdana"/>
          <w:sz w:val="20"/>
          <w:szCs w:val="20"/>
        </w:rPr>
        <w:t xml:space="preserve">those </w:t>
      </w:r>
      <w:r w:rsidR="00F87321" w:rsidRPr="00F87321">
        <w:rPr>
          <w:rFonts w:ascii="Verdana" w:hAnsi="Verdana"/>
          <w:sz w:val="20"/>
          <w:szCs w:val="20"/>
        </w:rPr>
        <w:t xml:space="preserve">which are affordable by firms will necessarily have a disproportionate impact on the most vulnerable members of the workforce.  Whether it makes good business sense to hire a new employee will, </w:t>
      </w:r>
      <w:r w:rsidR="00670520">
        <w:rPr>
          <w:rFonts w:ascii="Verdana" w:hAnsi="Verdana"/>
          <w:sz w:val="20"/>
          <w:szCs w:val="20"/>
        </w:rPr>
        <w:t xml:space="preserve">in terms of decision-making </w:t>
      </w:r>
      <w:r w:rsidR="00F87321" w:rsidRPr="00F87321">
        <w:rPr>
          <w:rFonts w:ascii="Verdana" w:hAnsi="Verdana"/>
          <w:sz w:val="20"/>
          <w:szCs w:val="20"/>
        </w:rPr>
        <w:t>at the margin, depend on whether that firm expects the additional output generated by that employee to exceed the additional cost of wages</w:t>
      </w:r>
      <w:r w:rsidR="00C731C9">
        <w:rPr>
          <w:rFonts w:ascii="Verdana" w:hAnsi="Verdana"/>
          <w:sz w:val="20"/>
          <w:szCs w:val="20"/>
        </w:rPr>
        <w:t xml:space="preserve"> and on</w:t>
      </w:r>
      <w:r w:rsidR="00C76ACE">
        <w:rPr>
          <w:rFonts w:ascii="Verdana" w:hAnsi="Verdana"/>
          <w:sz w:val="20"/>
          <w:szCs w:val="20"/>
        </w:rPr>
        <w:t>-</w:t>
      </w:r>
      <w:r w:rsidR="00C731C9">
        <w:rPr>
          <w:rFonts w:ascii="Verdana" w:hAnsi="Verdana"/>
          <w:sz w:val="20"/>
          <w:szCs w:val="20"/>
        </w:rPr>
        <w:t>costs</w:t>
      </w:r>
      <w:r w:rsidR="00F87321" w:rsidRPr="00F87321">
        <w:rPr>
          <w:rFonts w:ascii="Verdana" w:hAnsi="Verdana"/>
          <w:sz w:val="20"/>
          <w:szCs w:val="20"/>
        </w:rPr>
        <w:t xml:space="preserve">.  </w:t>
      </w:r>
      <w:r w:rsidR="00340A96">
        <w:rPr>
          <w:rFonts w:ascii="Verdana" w:hAnsi="Verdana"/>
          <w:sz w:val="20"/>
          <w:szCs w:val="20"/>
        </w:rPr>
        <w:t>T</w:t>
      </w:r>
      <w:r w:rsidR="00F87321" w:rsidRPr="00F87321">
        <w:rPr>
          <w:rFonts w:ascii="Verdana" w:hAnsi="Verdana"/>
          <w:sz w:val="20"/>
          <w:szCs w:val="20"/>
        </w:rPr>
        <w:t>he extent to which the minimum wage acts as a barrier to employment depend</w:t>
      </w:r>
      <w:r w:rsidR="00340A96">
        <w:rPr>
          <w:rFonts w:ascii="Verdana" w:hAnsi="Verdana"/>
          <w:sz w:val="20"/>
          <w:szCs w:val="20"/>
        </w:rPr>
        <w:t>s</w:t>
      </w:r>
      <w:r w:rsidR="00F87321" w:rsidRPr="00F87321">
        <w:rPr>
          <w:rFonts w:ascii="Verdana" w:hAnsi="Verdana"/>
          <w:sz w:val="20"/>
          <w:szCs w:val="20"/>
        </w:rPr>
        <w:t xml:space="preserve"> on </w:t>
      </w:r>
      <w:r w:rsidR="00340A96">
        <w:rPr>
          <w:rFonts w:ascii="Verdana" w:hAnsi="Verdana"/>
          <w:sz w:val="20"/>
          <w:szCs w:val="20"/>
        </w:rPr>
        <w:t xml:space="preserve">both </w:t>
      </w:r>
      <w:r w:rsidR="00F87321" w:rsidRPr="00F87321">
        <w:rPr>
          <w:rFonts w:ascii="Verdana" w:hAnsi="Verdana"/>
          <w:sz w:val="20"/>
          <w:szCs w:val="20"/>
        </w:rPr>
        <w:t xml:space="preserve">historical </w:t>
      </w:r>
      <w:r w:rsidR="00340A96">
        <w:rPr>
          <w:rFonts w:ascii="Verdana" w:hAnsi="Verdana"/>
          <w:sz w:val="20"/>
          <w:szCs w:val="20"/>
        </w:rPr>
        <w:t xml:space="preserve">and proposed </w:t>
      </w:r>
      <w:r w:rsidR="00F87321" w:rsidRPr="00F87321">
        <w:rPr>
          <w:rFonts w:ascii="Verdana" w:hAnsi="Verdana"/>
          <w:sz w:val="20"/>
          <w:szCs w:val="20"/>
        </w:rPr>
        <w:t>increases.  As the Productivity Commission</w:t>
      </w:r>
      <w:r w:rsidR="006467ED">
        <w:rPr>
          <w:rFonts w:ascii="Verdana" w:hAnsi="Verdana"/>
          <w:sz w:val="20"/>
          <w:szCs w:val="20"/>
        </w:rPr>
        <w:t xml:space="preserve"> </w:t>
      </w:r>
      <w:r w:rsidR="000B1CDE">
        <w:rPr>
          <w:rFonts w:ascii="Verdana" w:hAnsi="Verdana"/>
          <w:sz w:val="20"/>
          <w:szCs w:val="20"/>
        </w:rPr>
        <w:t>has</w:t>
      </w:r>
      <w:r w:rsidR="000B1CDE" w:rsidRPr="00F87321">
        <w:rPr>
          <w:rFonts w:ascii="Verdana" w:hAnsi="Verdana"/>
          <w:sz w:val="20"/>
          <w:szCs w:val="20"/>
        </w:rPr>
        <w:t xml:space="preserve"> </w:t>
      </w:r>
      <w:r w:rsidR="00F87321" w:rsidRPr="00F87321">
        <w:rPr>
          <w:rFonts w:ascii="Verdana" w:hAnsi="Verdana"/>
          <w:sz w:val="20"/>
          <w:szCs w:val="20"/>
        </w:rPr>
        <w:t>noted:</w:t>
      </w:r>
    </w:p>
    <w:p w:rsidR="002321CD" w:rsidRPr="006E004C" w:rsidRDefault="00F87321" w:rsidP="002D2940">
      <w:pPr>
        <w:ind w:left="720"/>
        <w:rPr>
          <w:rFonts w:ascii="Verdana" w:hAnsi="Verdana"/>
          <w:sz w:val="20"/>
          <w:szCs w:val="20"/>
        </w:rPr>
      </w:pPr>
      <w:r w:rsidRPr="00F87321">
        <w:rPr>
          <w:rFonts w:ascii="Verdana" w:hAnsi="Verdana"/>
          <w:i/>
          <w:sz w:val="20"/>
          <w:szCs w:val="20"/>
        </w:rPr>
        <w:lastRenderedPageBreak/>
        <w:t>“Arguably, the FWC should care somewhat more about the risks of overshooting in its minimum wage increases (with the consequences this has for unemployment) and change its decisions to reflect this. (An analogy is that, when catching a train, it is best to arrive earlier than the expected departure time since the cost of a little waiting is much less than the cost of missing the train.)</w:t>
      </w:r>
      <w:r w:rsidRPr="00116254">
        <w:rPr>
          <w:rFonts w:ascii="Verdana" w:hAnsi="Verdana"/>
          <w:sz w:val="20"/>
          <w:szCs w:val="20"/>
        </w:rPr>
        <w:t>”</w:t>
      </w:r>
      <w:r w:rsidR="00AC4A7F" w:rsidRPr="00116254">
        <w:rPr>
          <w:rStyle w:val="FootnoteReference"/>
          <w:rFonts w:ascii="Verdana" w:hAnsi="Verdana"/>
          <w:sz w:val="20"/>
          <w:szCs w:val="20"/>
        </w:rPr>
        <w:footnoteReference w:id="15"/>
      </w:r>
    </w:p>
    <w:p w:rsidR="00DD4495" w:rsidRPr="00DD4495" w:rsidRDefault="00DD4495" w:rsidP="0028770B">
      <w:pPr>
        <w:spacing w:after="0"/>
        <w:jc w:val="center"/>
        <w:rPr>
          <w:rFonts w:ascii="Verdana" w:eastAsiaTheme="majorEastAsia" w:hAnsi="Verdana" w:cstheme="majorBidi"/>
          <w:b/>
          <w:iCs/>
          <w:spacing w:val="15"/>
          <w:sz w:val="16"/>
          <w:szCs w:val="16"/>
        </w:rPr>
      </w:pPr>
      <w:r w:rsidRPr="00DD4495">
        <w:rPr>
          <w:rFonts w:ascii="Verdana" w:eastAsiaTheme="majorEastAsia" w:hAnsi="Verdana" w:cstheme="majorBidi"/>
          <w:b/>
          <w:iCs/>
          <w:spacing w:val="15"/>
          <w:sz w:val="16"/>
          <w:szCs w:val="16"/>
        </w:rPr>
        <w:t xml:space="preserve">Chart </w:t>
      </w:r>
      <w:r w:rsidR="00D51FB6">
        <w:rPr>
          <w:rFonts w:ascii="Verdana" w:eastAsiaTheme="majorEastAsia" w:hAnsi="Verdana" w:cstheme="majorBidi"/>
          <w:b/>
          <w:iCs/>
          <w:spacing w:val="15"/>
          <w:sz w:val="16"/>
          <w:szCs w:val="16"/>
        </w:rPr>
        <w:t>9</w:t>
      </w:r>
      <w:r w:rsidR="00314B70" w:rsidRPr="00DD4495">
        <w:rPr>
          <w:rFonts w:ascii="Verdana" w:eastAsiaTheme="majorEastAsia" w:hAnsi="Verdana" w:cstheme="majorBidi"/>
          <w:b/>
          <w:iCs/>
          <w:spacing w:val="15"/>
          <w:sz w:val="16"/>
          <w:szCs w:val="16"/>
        </w:rPr>
        <w:t xml:space="preserve"> </w:t>
      </w:r>
      <w:r w:rsidRPr="00DD4495">
        <w:rPr>
          <w:rFonts w:ascii="Verdana" w:eastAsiaTheme="majorEastAsia" w:hAnsi="Verdana" w:cstheme="majorBidi"/>
          <w:b/>
          <w:iCs/>
          <w:spacing w:val="15"/>
          <w:sz w:val="16"/>
          <w:szCs w:val="16"/>
        </w:rPr>
        <w:t>– Youth and long term unemployment</w:t>
      </w:r>
    </w:p>
    <w:p w:rsidR="00DD4495" w:rsidRPr="00DD4495" w:rsidRDefault="00C02704" w:rsidP="002D2940">
      <w:pPr>
        <w:spacing w:after="0"/>
        <w:jc w:val="center"/>
        <w:rPr>
          <w:rFonts w:ascii="Verdana" w:hAnsi="Verdana"/>
          <w:sz w:val="20"/>
          <w:szCs w:val="20"/>
        </w:rPr>
      </w:pPr>
      <w:r w:rsidRPr="00C5114D">
        <w:rPr>
          <w:noProof/>
          <w:lang w:eastAsia="en-AU"/>
        </w:rPr>
        <w:drawing>
          <wp:inline distT="0" distB="0" distL="0" distR="0" wp14:anchorId="1DBCCE06" wp14:editId="6F386BFB">
            <wp:extent cx="5332652" cy="3273598"/>
            <wp:effectExtent l="0" t="0" r="1905"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40047" cy="3278137"/>
                    </a:xfrm>
                    <a:prstGeom prst="rect">
                      <a:avLst/>
                    </a:prstGeom>
                    <a:noFill/>
                    <a:ln>
                      <a:noFill/>
                    </a:ln>
                  </pic:spPr>
                </pic:pic>
              </a:graphicData>
            </a:graphic>
          </wp:inline>
        </w:drawing>
      </w:r>
    </w:p>
    <w:p w:rsidR="002321CD" w:rsidRPr="00DD4495" w:rsidRDefault="00DD4495" w:rsidP="00DD4495">
      <w:pPr>
        <w:jc w:val="center"/>
        <w:rPr>
          <w:rFonts w:ascii="Verdana" w:hAnsi="Verdana"/>
          <w:sz w:val="20"/>
          <w:szCs w:val="20"/>
        </w:rPr>
      </w:pPr>
      <w:r w:rsidRPr="00DD4495">
        <w:rPr>
          <w:rFonts w:ascii="Verdana" w:hAnsi="Verdana"/>
          <w:sz w:val="14"/>
          <w:szCs w:val="20"/>
        </w:rPr>
        <w:t xml:space="preserve">Source: </w:t>
      </w:r>
      <w:r w:rsidR="00F87321">
        <w:rPr>
          <w:rFonts w:ascii="Verdana" w:hAnsi="Verdana"/>
          <w:sz w:val="14"/>
          <w:szCs w:val="20"/>
        </w:rPr>
        <w:t>ABS</w:t>
      </w:r>
    </w:p>
    <w:p w:rsidR="00636E51" w:rsidRDefault="00636E51">
      <w:pPr>
        <w:rPr>
          <w:rFonts w:ascii="Verdana" w:eastAsiaTheme="majorEastAsia" w:hAnsi="Verdana" w:cstheme="majorBidi"/>
          <w:b/>
          <w:iCs/>
          <w:spacing w:val="15"/>
          <w:sz w:val="16"/>
          <w:szCs w:val="16"/>
        </w:rPr>
      </w:pPr>
      <w:r>
        <w:rPr>
          <w:rFonts w:ascii="Verdana" w:eastAsiaTheme="majorEastAsia" w:hAnsi="Verdana" w:cstheme="majorBidi"/>
          <w:b/>
          <w:iCs/>
          <w:spacing w:val="15"/>
          <w:sz w:val="16"/>
          <w:szCs w:val="16"/>
        </w:rPr>
        <w:br w:type="page"/>
      </w:r>
    </w:p>
    <w:p w:rsidR="0012525D" w:rsidRPr="00DD4495" w:rsidRDefault="0012525D" w:rsidP="0012525D">
      <w:pPr>
        <w:numPr>
          <w:ilvl w:val="1"/>
          <w:numId w:val="0"/>
        </w:numPr>
        <w:jc w:val="center"/>
        <w:rPr>
          <w:rFonts w:ascii="Verdana" w:eastAsiaTheme="majorEastAsia" w:hAnsi="Verdana" w:cstheme="majorBidi"/>
          <w:b/>
          <w:iCs/>
          <w:spacing w:val="15"/>
          <w:sz w:val="16"/>
          <w:szCs w:val="16"/>
        </w:rPr>
      </w:pPr>
      <w:r w:rsidRPr="00F77EC0">
        <w:rPr>
          <w:rFonts w:ascii="Verdana" w:eastAsiaTheme="majorEastAsia" w:hAnsi="Verdana" w:cstheme="majorBidi"/>
          <w:b/>
          <w:iCs/>
          <w:spacing w:val="15"/>
          <w:sz w:val="16"/>
          <w:szCs w:val="16"/>
        </w:rPr>
        <w:lastRenderedPageBreak/>
        <w:t>Table 4</w:t>
      </w:r>
      <w:r w:rsidRPr="0012525D">
        <w:rPr>
          <w:rFonts w:ascii="Verdana" w:eastAsiaTheme="majorEastAsia" w:hAnsi="Verdana" w:cstheme="majorBidi"/>
          <w:b/>
          <w:iCs/>
          <w:spacing w:val="15"/>
          <w:sz w:val="16"/>
          <w:szCs w:val="16"/>
        </w:rPr>
        <w:t xml:space="preserve"> – </w:t>
      </w:r>
      <w:r>
        <w:rPr>
          <w:rFonts w:ascii="Verdana" w:eastAsiaTheme="majorEastAsia" w:hAnsi="Verdana" w:cstheme="majorBidi"/>
          <w:b/>
          <w:iCs/>
          <w:spacing w:val="15"/>
          <w:sz w:val="16"/>
          <w:szCs w:val="16"/>
        </w:rPr>
        <w:t>Youth unemployment rates (SA4 regions above 15 per cent)</w:t>
      </w:r>
    </w:p>
    <w:tbl>
      <w:tblPr>
        <w:tblStyle w:val="TableGrid6"/>
        <w:tblW w:w="9285" w:type="dxa"/>
        <w:jc w:val="center"/>
        <w:tblLook w:val="04A0" w:firstRow="1" w:lastRow="0" w:firstColumn="1" w:lastColumn="0" w:noHBand="0" w:noVBand="1"/>
      </w:tblPr>
      <w:tblGrid>
        <w:gridCol w:w="3473"/>
        <w:gridCol w:w="3260"/>
        <w:gridCol w:w="2552"/>
      </w:tblGrid>
      <w:tr w:rsidR="002B4F03" w:rsidRPr="00AB401F" w:rsidTr="002B4F03">
        <w:trPr>
          <w:jc w:val="center"/>
        </w:trPr>
        <w:tc>
          <w:tcPr>
            <w:tcW w:w="3473" w:type="dxa"/>
            <w:shd w:val="clear" w:color="auto" w:fill="E36C0A" w:themeFill="accent6" w:themeFillShade="BF"/>
          </w:tcPr>
          <w:p w:rsidR="002B4F03" w:rsidRPr="002D2940" w:rsidRDefault="002B4F03" w:rsidP="00F77EC0">
            <w:pPr>
              <w:rPr>
                <w:color w:val="FFFFFF" w:themeColor="background1"/>
              </w:rPr>
            </w:pPr>
            <w:r>
              <w:rPr>
                <w:b/>
                <w:color w:val="FFFFFF" w:themeColor="background1"/>
              </w:rPr>
              <w:t>Region</w:t>
            </w:r>
          </w:p>
        </w:tc>
        <w:tc>
          <w:tcPr>
            <w:tcW w:w="3260" w:type="dxa"/>
            <w:shd w:val="clear" w:color="auto" w:fill="E36C0A" w:themeFill="accent6" w:themeFillShade="BF"/>
          </w:tcPr>
          <w:p w:rsidR="002B4F03" w:rsidRPr="002D2940" w:rsidRDefault="002B4F03" w:rsidP="00F248EB">
            <w:pPr>
              <w:jc w:val="center"/>
              <w:rPr>
                <w:color w:val="FFFFFF" w:themeColor="background1"/>
              </w:rPr>
            </w:pPr>
            <w:r>
              <w:rPr>
                <w:b/>
                <w:color w:val="FFFFFF" w:themeColor="background1"/>
              </w:rPr>
              <w:t>Youth Unemployment Rate</w:t>
            </w:r>
          </w:p>
        </w:tc>
        <w:tc>
          <w:tcPr>
            <w:tcW w:w="2552" w:type="dxa"/>
            <w:shd w:val="clear" w:color="auto" w:fill="E36C0A" w:themeFill="accent6" w:themeFillShade="BF"/>
          </w:tcPr>
          <w:p w:rsidR="002B4F03" w:rsidRDefault="002B4F03" w:rsidP="00F248EB">
            <w:pPr>
              <w:jc w:val="center"/>
              <w:rPr>
                <w:b/>
                <w:color w:val="FFFFFF" w:themeColor="background1"/>
              </w:rPr>
            </w:pPr>
            <w:r>
              <w:rPr>
                <w:b/>
                <w:color w:val="FFFFFF" w:themeColor="background1"/>
              </w:rPr>
              <w:t>Unemployment Rate</w:t>
            </w:r>
          </w:p>
        </w:tc>
      </w:tr>
      <w:tr w:rsidR="002B4F03" w:rsidRPr="00AB401F" w:rsidTr="002B4F03">
        <w:trPr>
          <w:jc w:val="center"/>
        </w:trPr>
        <w:tc>
          <w:tcPr>
            <w:tcW w:w="3473" w:type="dxa"/>
          </w:tcPr>
          <w:p w:rsidR="002B4F03" w:rsidRPr="0028770B" w:rsidRDefault="002B4F03" w:rsidP="002B4F03">
            <w:pPr>
              <w:rPr>
                <w:rFonts w:asciiTheme="minorHAnsi" w:hAnsiTheme="minorHAnsi" w:cstheme="minorHAnsi"/>
                <w:szCs w:val="22"/>
              </w:rPr>
            </w:pPr>
            <w:r w:rsidRPr="0028770B">
              <w:rPr>
                <w:rFonts w:asciiTheme="minorHAnsi" w:hAnsiTheme="minorHAnsi" w:cstheme="minorHAnsi"/>
                <w:szCs w:val="22"/>
              </w:rPr>
              <w:t>Queensland - Outback</w:t>
            </w:r>
          </w:p>
        </w:tc>
        <w:tc>
          <w:tcPr>
            <w:tcW w:w="3260" w:type="dxa"/>
          </w:tcPr>
          <w:p w:rsidR="002B4F03" w:rsidRPr="0028770B" w:rsidRDefault="002B4F03" w:rsidP="002B4F03">
            <w:pPr>
              <w:jc w:val="center"/>
              <w:rPr>
                <w:rFonts w:asciiTheme="minorHAnsi" w:hAnsiTheme="minorHAnsi" w:cstheme="minorHAnsi"/>
                <w:szCs w:val="22"/>
              </w:rPr>
            </w:pPr>
            <w:r w:rsidRPr="0028770B">
              <w:rPr>
                <w:rFonts w:asciiTheme="minorHAnsi" w:hAnsiTheme="minorHAnsi" w:cstheme="minorHAnsi"/>
                <w:szCs w:val="22"/>
              </w:rPr>
              <w:t>55.9 per cent</w:t>
            </w:r>
          </w:p>
        </w:tc>
        <w:tc>
          <w:tcPr>
            <w:tcW w:w="2552" w:type="dxa"/>
          </w:tcPr>
          <w:p w:rsidR="002B4F03" w:rsidRPr="0028770B" w:rsidRDefault="002B4F03" w:rsidP="002B4F03">
            <w:pPr>
              <w:jc w:val="center"/>
              <w:rPr>
                <w:rFonts w:asciiTheme="minorHAnsi" w:hAnsiTheme="minorHAnsi" w:cstheme="minorHAnsi"/>
                <w:szCs w:val="22"/>
              </w:rPr>
            </w:pPr>
            <w:r w:rsidRPr="0028770B">
              <w:rPr>
                <w:rFonts w:asciiTheme="minorHAnsi" w:hAnsiTheme="minorHAnsi" w:cstheme="minorHAnsi"/>
                <w:szCs w:val="22"/>
              </w:rPr>
              <w:t>13.0 per cent</w:t>
            </w:r>
          </w:p>
        </w:tc>
      </w:tr>
      <w:tr w:rsidR="002B4F03" w:rsidRPr="00AB401F" w:rsidTr="002B4F03">
        <w:trPr>
          <w:trHeight w:val="65"/>
          <w:jc w:val="center"/>
        </w:trPr>
        <w:tc>
          <w:tcPr>
            <w:tcW w:w="3473" w:type="dxa"/>
          </w:tcPr>
          <w:p w:rsidR="002B4F03" w:rsidRPr="0028770B" w:rsidRDefault="002B4F03" w:rsidP="002B4F03">
            <w:pPr>
              <w:rPr>
                <w:rFonts w:asciiTheme="minorHAnsi" w:hAnsiTheme="minorHAnsi" w:cstheme="minorHAnsi"/>
                <w:szCs w:val="22"/>
              </w:rPr>
            </w:pPr>
            <w:r w:rsidRPr="0028770B">
              <w:rPr>
                <w:rFonts w:asciiTheme="minorHAnsi" w:hAnsiTheme="minorHAnsi" w:cstheme="minorHAnsi"/>
                <w:szCs w:val="22"/>
              </w:rPr>
              <w:t>Southern Highlands and Shoalhaven</w:t>
            </w:r>
          </w:p>
        </w:tc>
        <w:tc>
          <w:tcPr>
            <w:tcW w:w="3260" w:type="dxa"/>
          </w:tcPr>
          <w:p w:rsidR="002B4F03" w:rsidRPr="0028770B" w:rsidRDefault="002B4F03" w:rsidP="002B4F03">
            <w:pPr>
              <w:jc w:val="center"/>
              <w:rPr>
                <w:rFonts w:asciiTheme="minorHAnsi" w:hAnsiTheme="minorHAnsi" w:cstheme="minorHAnsi"/>
                <w:szCs w:val="22"/>
              </w:rPr>
            </w:pPr>
            <w:r w:rsidRPr="0028770B">
              <w:rPr>
                <w:rFonts w:asciiTheme="minorHAnsi" w:hAnsiTheme="minorHAnsi" w:cstheme="minorHAnsi"/>
                <w:szCs w:val="22"/>
              </w:rPr>
              <w:t>28.9 per cent</w:t>
            </w:r>
          </w:p>
        </w:tc>
        <w:tc>
          <w:tcPr>
            <w:tcW w:w="2552" w:type="dxa"/>
          </w:tcPr>
          <w:p w:rsidR="002B4F03" w:rsidRPr="0028770B" w:rsidRDefault="002B4F03" w:rsidP="002B4F03">
            <w:pPr>
              <w:jc w:val="center"/>
              <w:rPr>
                <w:rFonts w:asciiTheme="minorHAnsi" w:hAnsiTheme="minorHAnsi" w:cstheme="minorHAnsi"/>
                <w:szCs w:val="22"/>
              </w:rPr>
            </w:pPr>
            <w:r w:rsidRPr="0028770B">
              <w:rPr>
                <w:rFonts w:asciiTheme="minorHAnsi" w:hAnsiTheme="minorHAnsi" w:cstheme="minorHAnsi"/>
                <w:szCs w:val="22"/>
              </w:rPr>
              <w:t>7.3 per cent</w:t>
            </w:r>
          </w:p>
        </w:tc>
      </w:tr>
      <w:tr w:rsidR="002B4F03" w:rsidRPr="00AB401F" w:rsidTr="002B4F03">
        <w:trPr>
          <w:jc w:val="center"/>
        </w:trPr>
        <w:tc>
          <w:tcPr>
            <w:tcW w:w="3473" w:type="dxa"/>
          </w:tcPr>
          <w:p w:rsidR="002B4F03" w:rsidRPr="0028770B" w:rsidRDefault="002B4F03" w:rsidP="002B4F03">
            <w:pPr>
              <w:rPr>
                <w:rFonts w:asciiTheme="minorHAnsi" w:hAnsiTheme="minorHAnsi" w:cstheme="minorHAnsi"/>
                <w:szCs w:val="22"/>
              </w:rPr>
            </w:pPr>
            <w:r w:rsidRPr="0028770B">
              <w:rPr>
                <w:rFonts w:asciiTheme="minorHAnsi" w:hAnsiTheme="minorHAnsi" w:cstheme="minorHAnsi"/>
                <w:szCs w:val="22"/>
              </w:rPr>
              <w:t>Wide Bay</w:t>
            </w:r>
          </w:p>
        </w:tc>
        <w:tc>
          <w:tcPr>
            <w:tcW w:w="3260" w:type="dxa"/>
          </w:tcPr>
          <w:p w:rsidR="002B4F03" w:rsidRPr="0028770B" w:rsidRDefault="002B4F03" w:rsidP="002B4F03">
            <w:pPr>
              <w:jc w:val="center"/>
              <w:rPr>
                <w:rFonts w:asciiTheme="minorHAnsi" w:hAnsiTheme="minorHAnsi" w:cstheme="minorHAnsi"/>
                <w:szCs w:val="22"/>
              </w:rPr>
            </w:pPr>
            <w:r w:rsidRPr="0028770B">
              <w:rPr>
                <w:rFonts w:asciiTheme="minorHAnsi" w:hAnsiTheme="minorHAnsi" w:cstheme="minorHAnsi"/>
                <w:szCs w:val="22"/>
              </w:rPr>
              <w:t>27.7 per cent</w:t>
            </w:r>
          </w:p>
        </w:tc>
        <w:tc>
          <w:tcPr>
            <w:tcW w:w="2552" w:type="dxa"/>
          </w:tcPr>
          <w:p w:rsidR="002B4F03" w:rsidRPr="0028770B" w:rsidRDefault="002B4F03" w:rsidP="002B4F03">
            <w:pPr>
              <w:jc w:val="center"/>
              <w:rPr>
                <w:rFonts w:asciiTheme="minorHAnsi" w:hAnsiTheme="minorHAnsi" w:cstheme="minorHAnsi"/>
                <w:szCs w:val="22"/>
              </w:rPr>
            </w:pPr>
            <w:r w:rsidRPr="0028770B">
              <w:rPr>
                <w:rFonts w:asciiTheme="minorHAnsi" w:hAnsiTheme="minorHAnsi" w:cstheme="minorHAnsi"/>
                <w:szCs w:val="22"/>
              </w:rPr>
              <w:t>8.9 per cent</w:t>
            </w:r>
          </w:p>
        </w:tc>
      </w:tr>
      <w:tr w:rsidR="002B4F03" w:rsidRPr="00AB401F" w:rsidTr="002B4F03">
        <w:trPr>
          <w:trHeight w:val="223"/>
          <w:jc w:val="center"/>
        </w:trPr>
        <w:tc>
          <w:tcPr>
            <w:tcW w:w="3473" w:type="dxa"/>
          </w:tcPr>
          <w:p w:rsidR="002B4F03" w:rsidRPr="0028770B" w:rsidRDefault="002B4F03" w:rsidP="002B4F03">
            <w:pPr>
              <w:rPr>
                <w:rFonts w:asciiTheme="minorHAnsi" w:hAnsiTheme="minorHAnsi" w:cstheme="minorHAnsi"/>
                <w:szCs w:val="22"/>
              </w:rPr>
            </w:pPr>
            <w:r w:rsidRPr="0028770B">
              <w:rPr>
                <w:rFonts w:asciiTheme="minorHAnsi" w:hAnsiTheme="minorHAnsi" w:cstheme="minorHAnsi"/>
                <w:szCs w:val="22"/>
              </w:rPr>
              <w:t>Tasmania - South East</w:t>
            </w:r>
          </w:p>
        </w:tc>
        <w:tc>
          <w:tcPr>
            <w:tcW w:w="3260" w:type="dxa"/>
          </w:tcPr>
          <w:p w:rsidR="002B4F03" w:rsidRPr="0028770B" w:rsidRDefault="002B4F03" w:rsidP="002B4F03">
            <w:pPr>
              <w:jc w:val="center"/>
              <w:rPr>
                <w:rFonts w:asciiTheme="minorHAnsi" w:hAnsiTheme="minorHAnsi" w:cstheme="minorHAnsi"/>
                <w:szCs w:val="22"/>
              </w:rPr>
            </w:pPr>
            <w:r w:rsidRPr="0028770B">
              <w:rPr>
                <w:rFonts w:asciiTheme="minorHAnsi" w:hAnsiTheme="minorHAnsi" w:cstheme="minorHAnsi"/>
                <w:szCs w:val="22"/>
              </w:rPr>
              <w:t>21.8 per cent</w:t>
            </w:r>
          </w:p>
        </w:tc>
        <w:tc>
          <w:tcPr>
            <w:tcW w:w="2552" w:type="dxa"/>
          </w:tcPr>
          <w:p w:rsidR="002B4F03" w:rsidRPr="0028770B" w:rsidRDefault="002B4F03" w:rsidP="002B4F03">
            <w:pPr>
              <w:jc w:val="center"/>
              <w:rPr>
                <w:rFonts w:asciiTheme="minorHAnsi" w:hAnsiTheme="minorHAnsi" w:cstheme="minorHAnsi"/>
                <w:szCs w:val="22"/>
              </w:rPr>
            </w:pPr>
            <w:r w:rsidRPr="0028770B">
              <w:rPr>
                <w:rFonts w:asciiTheme="minorHAnsi" w:hAnsiTheme="minorHAnsi" w:cstheme="minorHAnsi"/>
                <w:szCs w:val="22"/>
              </w:rPr>
              <w:t>6.8 per cent</w:t>
            </w:r>
          </w:p>
        </w:tc>
      </w:tr>
      <w:tr w:rsidR="002B4F03" w:rsidRPr="00AB401F" w:rsidTr="002B4F03">
        <w:trPr>
          <w:trHeight w:val="77"/>
          <w:jc w:val="center"/>
        </w:trPr>
        <w:tc>
          <w:tcPr>
            <w:tcW w:w="3473" w:type="dxa"/>
          </w:tcPr>
          <w:p w:rsidR="002B4F03" w:rsidRPr="0028770B" w:rsidRDefault="002B4F03" w:rsidP="002B4F03">
            <w:pPr>
              <w:rPr>
                <w:rFonts w:asciiTheme="minorHAnsi" w:hAnsiTheme="minorHAnsi" w:cstheme="minorHAnsi"/>
                <w:szCs w:val="22"/>
              </w:rPr>
            </w:pPr>
            <w:r w:rsidRPr="0028770B">
              <w:rPr>
                <w:rFonts w:asciiTheme="minorHAnsi" w:hAnsiTheme="minorHAnsi" w:cstheme="minorHAnsi"/>
                <w:szCs w:val="22"/>
              </w:rPr>
              <w:t>Murray</w:t>
            </w:r>
          </w:p>
        </w:tc>
        <w:tc>
          <w:tcPr>
            <w:tcW w:w="3260" w:type="dxa"/>
          </w:tcPr>
          <w:p w:rsidR="002B4F03" w:rsidRPr="0028770B" w:rsidRDefault="002B4F03" w:rsidP="002B4F03">
            <w:pPr>
              <w:jc w:val="center"/>
              <w:rPr>
                <w:rFonts w:asciiTheme="minorHAnsi" w:hAnsiTheme="minorHAnsi" w:cstheme="minorHAnsi"/>
                <w:szCs w:val="22"/>
              </w:rPr>
            </w:pPr>
            <w:r w:rsidRPr="0028770B">
              <w:rPr>
                <w:rFonts w:asciiTheme="minorHAnsi" w:hAnsiTheme="minorHAnsi" w:cstheme="minorHAnsi"/>
                <w:szCs w:val="22"/>
              </w:rPr>
              <w:t>21.5 per cent</w:t>
            </w:r>
          </w:p>
        </w:tc>
        <w:tc>
          <w:tcPr>
            <w:tcW w:w="2552" w:type="dxa"/>
          </w:tcPr>
          <w:p w:rsidR="002B4F03" w:rsidRPr="0028770B" w:rsidRDefault="002B4F03" w:rsidP="002B4F03">
            <w:pPr>
              <w:jc w:val="center"/>
              <w:rPr>
                <w:rFonts w:asciiTheme="minorHAnsi" w:hAnsiTheme="minorHAnsi" w:cstheme="minorHAnsi"/>
                <w:szCs w:val="22"/>
              </w:rPr>
            </w:pPr>
            <w:r w:rsidRPr="0028770B">
              <w:rPr>
                <w:rFonts w:asciiTheme="minorHAnsi" w:hAnsiTheme="minorHAnsi" w:cstheme="minorHAnsi"/>
                <w:szCs w:val="22"/>
              </w:rPr>
              <w:t>8.7 per cent</w:t>
            </w:r>
          </w:p>
        </w:tc>
      </w:tr>
      <w:tr w:rsidR="002B4F03" w:rsidRPr="00AB401F" w:rsidTr="002B4F03">
        <w:trPr>
          <w:jc w:val="center"/>
        </w:trPr>
        <w:tc>
          <w:tcPr>
            <w:tcW w:w="3473" w:type="dxa"/>
          </w:tcPr>
          <w:p w:rsidR="002B4F03" w:rsidRPr="0028770B" w:rsidRDefault="002B4F03" w:rsidP="002B4F03">
            <w:pPr>
              <w:rPr>
                <w:rFonts w:asciiTheme="minorHAnsi" w:hAnsiTheme="minorHAnsi" w:cstheme="minorHAnsi"/>
                <w:szCs w:val="22"/>
              </w:rPr>
            </w:pPr>
            <w:r w:rsidRPr="0028770B">
              <w:rPr>
                <w:rFonts w:asciiTheme="minorHAnsi" w:hAnsiTheme="minorHAnsi" w:cstheme="minorHAnsi"/>
                <w:szCs w:val="22"/>
              </w:rPr>
              <w:t>Coffs Harbour - Grafton</w:t>
            </w:r>
          </w:p>
        </w:tc>
        <w:tc>
          <w:tcPr>
            <w:tcW w:w="3260" w:type="dxa"/>
          </w:tcPr>
          <w:p w:rsidR="002B4F03" w:rsidRPr="0028770B" w:rsidRDefault="002B4F03" w:rsidP="002B4F03">
            <w:pPr>
              <w:jc w:val="center"/>
              <w:rPr>
                <w:rFonts w:asciiTheme="minorHAnsi" w:hAnsiTheme="minorHAnsi" w:cstheme="minorHAnsi"/>
                <w:szCs w:val="22"/>
              </w:rPr>
            </w:pPr>
            <w:r w:rsidRPr="0028770B">
              <w:rPr>
                <w:rFonts w:asciiTheme="minorHAnsi" w:hAnsiTheme="minorHAnsi" w:cstheme="minorHAnsi"/>
                <w:szCs w:val="22"/>
              </w:rPr>
              <w:t>19.8 per cent</w:t>
            </w:r>
          </w:p>
        </w:tc>
        <w:tc>
          <w:tcPr>
            <w:tcW w:w="2552" w:type="dxa"/>
          </w:tcPr>
          <w:p w:rsidR="002B4F03" w:rsidRPr="0028770B" w:rsidRDefault="002B4F03" w:rsidP="002B4F03">
            <w:pPr>
              <w:jc w:val="center"/>
              <w:rPr>
                <w:rFonts w:asciiTheme="minorHAnsi" w:hAnsiTheme="minorHAnsi" w:cstheme="minorHAnsi"/>
                <w:szCs w:val="22"/>
              </w:rPr>
            </w:pPr>
            <w:r w:rsidRPr="0028770B">
              <w:rPr>
                <w:rFonts w:asciiTheme="minorHAnsi" w:hAnsiTheme="minorHAnsi" w:cstheme="minorHAnsi"/>
                <w:szCs w:val="22"/>
              </w:rPr>
              <w:t>8.9 per cent</w:t>
            </w:r>
          </w:p>
        </w:tc>
      </w:tr>
      <w:tr w:rsidR="002B4F03" w:rsidRPr="00AB401F" w:rsidTr="002B4F03">
        <w:trPr>
          <w:jc w:val="center"/>
        </w:trPr>
        <w:tc>
          <w:tcPr>
            <w:tcW w:w="3473" w:type="dxa"/>
          </w:tcPr>
          <w:p w:rsidR="002B4F03" w:rsidRPr="0028770B" w:rsidRDefault="002B4F03" w:rsidP="002B4F03">
            <w:pPr>
              <w:rPr>
                <w:rFonts w:asciiTheme="minorHAnsi" w:hAnsiTheme="minorHAnsi" w:cstheme="minorHAnsi"/>
                <w:szCs w:val="22"/>
              </w:rPr>
            </w:pPr>
            <w:r w:rsidRPr="0028770B">
              <w:rPr>
                <w:rFonts w:asciiTheme="minorHAnsi" w:hAnsiTheme="minorHAnsi" w:cstheme="minorHAnsi"/>
                <w:szCs w:val="22"/>
              </w:rPr>
              <w:t>Melbourne - West</w:t>
            </w:r>
          </w:p>
        </w:tc>
        <w:tc>
          <w:tcPr>
            <w:tcW w:w="3260" w:type="dxa"/>
          </w:tcPr>
          <w:p w:rsidR="002B4F03" w:rsidRPr="0028770B" w:rsidRDefault="002B4F03" w:rsidP="002B4F03">
            <w:pPr>
              <w:jc w:val="center"/>
              <w:rPr>
                <w:rFonts w:asciiTheme="minorHAnsi" w:hAnsiTheme="minorHAnsi" w:cstheme="minorHAnsi"/>
                <w:szCs w:val="22"/>
              </w:rPr>
            </w:pPr>
            <w:r w:rsidRPr="0028770B">
              <w:rPr>
                <w:rFonts w:asciiTheme="minorHAnsi" w:hAnsiTheme="minorHAnsi" w:cstheme="minorHAnsi"/>
                <w:szCs w:val="22"/>
              </w:rPr>
              <w:t>18.7 per cent</w:t>
            </w:r>
          </w:p>
        </w:tc>
        <w:tc>
          <w:tcPr>
            <w:tcW w:w="2552" w:type="dxa"/>
          </w:tcPr>
          <w:p w:rsidR="002B4F03" w:rsidRPr="0028770B" w:rsidRDefault="002B4F03" w:rsidP="002B4F03">
            <w:pPr>
              <w:jc w:val="center"/>
              <w:rPr>
                <w:rFonts w:asciiTheme="minorHAnsi" w:hAnsiTheme="minorHAnsi" w:cstheme="minorHAnsi"/>
                <w:szCs w:val="22"/>
              </w:rPr>
            </w:pPr>
            <w:r w:rsidRPr="0028770B">
              <w:rPr>
                <w:rFonts w:asciiTheme="minorHAnsi" w:hAnsiTheme="minorHAnsi" w:cstheme="minorHAnsi"/>
                <w:szCs w:val="22"/>
              </w:rPr>
              <w:t>8.9 per cent</w:t>
            </w:r>
          </w:p>
        </w:tc>
      </w:tr>
      <w:tr w:rsidR="002B4F03" w:rsidRPr="00AB401F" w:rsidTr="002B4F03">
        <w:trPr>
          <w:jc w:val="center"/>
        </w:trPr>
        <w:tc>
          <w:tcPr>
            <w:tcW w:w="3473" w:type="dxa"/>
          </w:tcPr>
          <w:p w:rsidR="002B4F03" w:rsidRPr="0028770B" w:rsidRDefault="002B4F03" w:rsidP="002B4F03">
            <w:pPr>
              <w:rPr>
                <w:rFonts w:asciiTheme="minorHAnsi" w:hAnsiTheme="minorHAnsi" w:cstheme="minorHAnsi"/>
                <w:szCs w:val="22"/>
              </w:rPr>
            </w:pPr>
            <w:r w:rsidRPr="0028770B">
              <w:rPr>
                <w:rFonts w:asciiTheme="minorHAnsi" w:hAnsiTheme="minorHAnsi" w:cstheme="minorHAnsi"/>
                <w:szCs w:val="22"/>
              </w:rPr>
              <w:t>Central Coast</w:t>
            </w:r>
          </w:p>
        </w:tc>
        <w:tc>
          <w:tcPr>
            <w:tcW w:w="3260" w:type="dxa"/>
          </w:tcPr>
          <w:p w:rsidR="002B4F03" w:rsidRPr="0028770B" w:rsidRDefault="002B4F03" w:rsidP="002B4F03">
            <w:pPr>
              <w:jc w:val="center"/>
              <w:rPr>
                <w:rFonts w:asciiTheme="minorHAnsi" w:hAnsiTheme="minorHAnsi" w:cstheme="minorHAnsi"/>
                <w:szCs w:val="22"/>
              </w:rPr>
            </w:pPr>
            <w:r w:rsidRPr="0028770B">
              <w:rPr>
                <w:rFonts w:asciiTheme="minorHAnsi" w:hAnsiTheme="minorHAnsi" w:cstheme="minorHAnsi"/>
                <w:szCs w:val="22"/>
              </w:rPr>
              <w:t>18.6 per cent</w:t>
            </w:r>
          </w:p>
        </w:tc>
        <w:tc>
          <w:tcPr>
            <w:tcW w:w="2552" w:type="dxa"/>
          </w:tcPr>
          <w:p w:rsidR="002B4F03" w:rsidRPr="0028770B" w:rsidRDefault="002B4F03" w:rsidP="002B4F03">
            <w:pPr>
              <w:jc w:val="center"/>
              <w:rPr>
                <w:rFonts w:asciiTheme="minorHAnsi" w:hAnsiTheme="minorHAnsi" w:cstheme="minorHAnsi"/>
                <w:szCs w:val="22"/>
              </w:rPr>
            </w:pPr>
            <w:r w:rsidRPr="0028770B">
              <w:rPr>
                <w:rFonts w:asciiTheme="minorHAnsi" w:hAnsiTheme="minorHAnsi" w:cstheme="minorHAnsi"/>
                <w:szCs w:val="22"/>
              </w:rPr>
              <w:t>6.4 per cent</w:t>
            </w:r>
          </w:p>
        </w:tc>
      </w:tr>
      <w:tr w:rsidR="002B4F03" w:rsidRPr="00AB401F" w:rsidTr="002B4F03">
        <w:trPr>
          <w:jc w:val="center"/>
        </w:trPr>
        <w:tc>
          <w:tcPr>
            <w:tcW w:w="3473" w:type="dxa"/>
          </w:tcPr>
          <w:p w:rsidR="002B4F03" w:rsidRPr="0028770B" w:rsidRDefault="002B4F03" w:rsidP="002B4F03">
            <w:pPr>
              <w:rPr>
                <w:rFonts w:asciiTheme="minorHAnsi" w:hAnsiTheme="minorHAnsi" w:cstheme="minorHAnsi"/>
                <w:szCs w:val="22"/>
              </w:rPr>
            </w:pPr>
            <w:r w:rsidRPr="0028770B">
              <w:rPr>
                <w:rFonts w:asciiTheme="minorHAnsi" w:hAnsiTheme="minorHAnsi" w:cstheme="minorHAnsi"/>
                <w:szCs w:val="22"/>
              </w:rPr>
              <w:t>Adelaide - North</w:t>
            </w:r>
          </w:p>
        </w:tc>
        <w:tc>
          <w:tcPr>
            <w:tcW w:w="3260" w:type="dxa"/>
          </w:tcPr>
          <w:p w:rsidR="002B4F03" w:rsidRPr="0028770B" w:rsidRDefault="002B4F03" w:rsidP="002B4F03">
            <w:pPr>
              <w:jc w:val="center"/>
              <w:rPr>
                <w:rFonts w:asciiTheme="minorHAnsi" w:hAnsiTheme="minorHAnsi" w:cstheme="minorHAnsi"/>
                <w:szCs w:val="22"/>
              </w:rPr>
            </w:pPr>
            <w:r w:rsidRPr="0028770B">
              <w:rPr>
                <w:rFonts w:asciiTheme="minorHAnsi" w:hAnsiTheme="minorHAnsi" w:cstheme="minorHAnsi"/>
                <w:szCs w:val="22"/>
              </w:rPr>
              <w:t>18.4 per cent</w:t>
            </w:r>
          </w:p>
        </w:tc>
        <w:tc>
          <w:tcPr>
            <w:tcW w:w="2552" w:type="dxa"/>
          </w:tcPr>
          <w:p w:rsidR="002B4F03" w:rsidRPr="0028770B" w:rsidRDefault="002B4F03" w:rsidP="002B4F03">
            <w:pPr>
              <w:jc w:val="center"/>
              <w:rPr>
                <w:rFonts w:asciiTheme="minorHAnsi" w:hAnsiTheme="minorHAnsi" w:cstheme="minorHAnsi"/>
                <w:szCs w:val="22"/>
              </w:rPr>
            </w:pPr>
            <w:r w:rsidRPr="0028770B">
              <w:rPr>
                <w:rFonts w:asciiTheme="minorHAnsi" w:hAnsiTheme="minorHAnsi" w:cstheme="minorHAnsi"/>
                <w:szCs w:val="22"/>
              </w:rPr>
              <w:t>7.7 per cent</w:t>
            </w:r>
          </w:p>
        </w:tc>
      </w:tr>
      <w:tr w:rsidR="002B4F03" w:rsidRPr="00AB401F" w:rsidTr="002B4F03">
        <w:trPr>
          <w:jc w:val="center"/>
        </w:trPr>
        <w:tc>
          <w:tcPr>
            <w:tcW w:w="3473" w:type="dxa"/>
          </w:tcPr>
          <w:p w:rsidR="002B4F03" w:rsidRPr="0028770B" w:rsidRDefault="002B4F03" w:rsidP="002B4F03">
            <w:pPr>
              <w:rPr>
                <w:rFonts w:asciiTheme="minorHAnsi" w:hAnsiTheme="minorHAnsi" w:cstheme="minorHAnsi"/>
                <w:szCs w:val="22"/>
              </w:rPr>
            </w:pPr>
            <w:r w:rsidRPr="0028770B">
              <w:rPr>
                <w:rFonts w:asciiTheme="minorHAnsi" w:hAnsiTheme="minorHAnsi" w:cstheme="minorHAnsi"/>
                <w:szCs w:val="22"/>
              </w:rPr>
              <w:t>Townsville</w:t>
            </w:r>
          </w:p>
        </w:tc>
        <w:tc>
          <w:tcPr>
            <w:tcW w:w="3260" w:type="dxa"/>
          </w:tcPr>
          <w:p w:rsidR="002B4F03" w:rsidRPr="0028770B" w:rsidRDefault="002B4F03" w:rsidP="002B4F03">
            <w:pPr>
              <w:jc w:val="center"/>
              <w:rPr>
                <w:rFonts w:asciiTheme="minorHAnsi" w:hAnsiTheme="minorHAnsi" w:cstheme="minorHAnsi"/>
                <w:szCs w:val="22"/>
              </w:rPr>
            </w:pPr>
            <w:r w:rsidRPr="0028770B">
              <w:rPr>
                <w:rFonts w:asciiTheme="minorHAnsi" w:hAnsiTheme="minorHAnsi" w:cstheme="minorHAnsi"/>
                <w:szCs w:val="22"/>
              </w:rPr>
              <w:t>18.1 per cent</w:t>
            </w:r>
          </w:p>
        </w:tc>
        <w:tc>
          <w:tcPr>
            <w:tcW w:w="2552" w:type="dxa"/>
          </w:tcPr>
          <w:p w:rsidR="002B4F03" w:rsidRPr="0028770B" w:rsidRDefault="002B4F03" w:rsidP="002B4F03">
            <w:pPr>
              <w:jc w:val="center"/>
              <w:rPr>
                <w:rFonts w:asciiTheme="minorHAnsi" w:hAnsiTheme="minorHAnsi" w:cstheme="minorHAnsi"/>
                <w:szCs w:val="22"/>
              </w:rPr>
            </w:pPr>
            <w:r w:rsidRPr="0028770B">
              <w:rPr>
                <w:rFonts w:asciiTheme="minorHAnsi" w:hAnsiTheme="minorHAnsi" w:cstheme="minorHAnsi"/>
                <w:szCs w:val="22"/>
              </w:rPr>
              <w:t>8.3 per cent</w:t>
            </w:r>
          </w:p>
        </w:tc>
      </w:tr>
      <w:tr w:rsidR="002B4F03" w:rsidRPr="00AB401F" w:rsidTr="002B4F03">
        <w:trPr>
          <w:jc w:val="center"/>
        </w:trPr>
        <w:tc>
          <w:tcPr>
            <w:tcW w:w="3473" w:type="dxa"/>
          </w:tcPr>
          <w:p w:rsidR="002B4F03" w:rsidRPr="0028770B" w:rsidRDefault="002B4F03" w:rsidP="002B4F03">
            <w:pPr>
              <w:rPr>
                <w:rFonts w:asciiTheme="minorHAnsi" w:hAnsiTheme="minorHAnsi" w:cstheme="minorHAnsi"/>
                <w:szCs w:val="22"/>
              </w:rPr>
            </w:pPr>
            <w:r w:rsidRPr="0028770B">
              <w:rPr>
                <w:rFonts w:asciiTheme="minorHAnsi" w:hAnsiTheme="minorHAnsi" w:cstheme="minorHAnsi"/>
                <w:szCs w:val="22"/>
              </w:rPr>
              <w:t>Mandurah</w:t>
            </w:r>
          </w:p>
        </w:tc>
        <w:tc>
          <w:tcPr>
            <w:tcW w:w="3260" w:type="dxa"/>
          </w:tcPr>
          <w:p w:rsidR="002B4F03" w:rsidRPr="0028770B" w:rsidRDefault="002B4F03" w:rsidP="002B4F03">
            <w:pPr>
              <w:jc w:val="center"/>
              <w:rPr>
                <w:rFonts w:asciiTheme="minorHAnsi" w:hAnsiTheme="minorHAnsi" w:cstheme="minorHAnsi"/>
                <w:szCs w:val="22"/>
              </w:rPr>
            </w:pPr>
            <w:r w:rsidRPr="0028770B">
              <w:rPr>
                <w:rFonts w:asciiTheme="minorHAnsi" w:hAnsiTheme="minorHAnsi" w:cstheme="minorHAnsi"/>
                <w:szCs w:val="22"/>
              </w:rPr>
              <w:t>17.7 per cent</w:t>
            </w:r>
          </w:p>
        </w:tc>
        <w:tc>
          <w:tcPr>
            <w:tcW w:w="2552" w:type="dxa"/>
          </w:tcPr>
          <w:p w:rsidR="002B4F03" w:rsidRPr="0028770B" w:rsidRDefault="002B4F03" w:rsidP="002B4F03">
            <w:pPr>
              <w:jc w:val="center"/>
              <w:rPr>
                <w:rFonts w:asciiTheme="minorHAnsi" w:hAnsiTheme="minorHAnsi" w:cstheme="minorHAnsi"/>
                <w:szCs w:val="22"/>
              </w:rPr>
            </w:pPr>
            <w:r w:rsidRPr="0028770B">
              <w:rPr>
                <w:rFonts w:asciiTheme="minorHAnsi" w:hAnsiTheme="minorHAnsi" w:cstheme="minorHAnsi"/>
                <w:szCs w:val="22"/>
              </w:rPr>
              <w:t>7.0 per cent</w:t>
            </w:r>
          </w:p>
        </w:tc>
      </w:tr>
      <w:tr w:rsidR="002B4F03" w:rsidRPr="00AB401F" w:rsidTr="002B4F03">
        <w:trPr>
          <w:jc w:val="center"/>
        </w:trPr>
        <w:tc>
          <w:tcPr>
            <w:tcW w:w="3473" w:type="dxa"/>
          </w:tcPr>
          <w:p w:rsidR="002B4F03" w:rsidRPr="0028770B" w:rsidRDefault="002B4F03" w:rsidP="002B4F03">
            <w:pPr>
              <w:rPr>
                <w:rFonts w:asciiTheme="minorHAnsi" w:hAnsiTheme="minorHAnsi" w:cstheme="minorHAnsi"/>
                <w:szCs w:val="22"/>
              </w:rPr>
            </w:pPr>
            <w:r w:rsidRPr="0028770B">
              <w:rPr>
                <w:rFonts w:asciiTheme="minorHAnsi" w:hAnsiTheme="minorHAnsi" w:cstheme="minorHAnsi"/>
                <w:szCs w:val="22"/>
              </w:rPr>
              <w:t>Melbourne - North West</w:t>
            </w:r>
          </w:p>
        </w:tc>
        <w:tc>
          <w:tcPr>
            <w:tcW w:w="3260" w:type="dxa"/>
          </w:tcPr>
          <w:p w:rsidR="002B4F03" w:rsidRPr="0028770B" w:rsidRDefault="002B4F03" w:rsidP="002B4F03">
            <w:pPr>
              <w:jc w:val="center"/>
              <w:rPr>
                <w:rFonts w:asciiTheme="minorHAnsi" w:hAnsiTheme="minorHAnsi" w:cstheme="minorHAnsi"/>
                <w:szCs w:val="22"/>
              </w:rPr>
            </w:pPr>
            <w:r w:rsidRPr="0028770B">
              <w:rPr>
                <w:rFonts w:asciiTheme="minorHAnsi" w:hAnsiTheme="minorHAnsi" w:cstheme="minorHAnsi"/>
                <w:szCs w:val="22"/>
              </w:rPr>
              <w:t>17.5 per cent</w:t>
            </w:r>
          </w:p>
        </w:tc>
        <w:tc>
          <w:tcPr>
            <w:tcW w:w="2552" w:type="dxa"/>
          </w:tcPr>
          <w:p w:rsidR="002B4F03" w:rsidRPr="0028770B" w:rsidRDefault="002B4F03" w:rsidP="002B4F03">
            <w:pPr>
              <w:jc w:val="center"/>
              <w:rPr>
                <w:rFonts w:asciiTheme="minorHAnsi" w:hAnsiTheme="minorHAnsi" w:cstheme="minorHAnsi"/>
                <w:szCs w:val="22"/>
              </w:rPr>
            </w:pPr>
            <w:r w:rsidRPr="0028770B">
              <w:rPr>
                <w:rFonts w:asciiTheme="minorHAnsi" w:hAnsiTheme="minorHAnsi" w:cstheme="minorHAnsi"/>
                <w:szCs w:val="22"/>
              </w:rPr>
              <w:t>7.6 per cent</w:t>
            </w:r>
          </w:p>
        </w:tc>
      </w:tr>
      <w:tr w:rsidR="002B4F03" w:rsidRPr="00AB401F" w:rsidTr="002B4F03">
        <w:trPr>
          <w:jc w:val="center"/>
        </w:trPr>
        <w:tc>
          <w:tcPr>
            <w:tcW w:w="3473" w:type="dxa"/>
          </w:tcPr>
          <w:p w:rsidR="002B4F03" w:rsidRPr="0028770B" w:rsidRDefault="002B4F03" w:rsidP="002B4F03">
            <w:pPr>
              <w:rPr>
                <w:rFonts w:asciiTheme="minorHAnsi" w:hAnsiTheme="minorHAnsi" w:cstheme="minorHAnsi"/>
                <w:szCs w:val="22"/>
              </w:rPr>
            </w:pPr>
            <w:r w:rsidRPr="0028770B">
              <w:rPr>
                <w:rFonts w:asciiTheme="minorHAnsi" w:hAnsiTheme="minorHAnsi" w:cstheme="minorHAnsi"/>
                <w:szCs w:val="22"/>
              </w:rPr>
              <w:t>Adelaide - West</w:t>
            </w:r>
          </w:p>
        </w:tc>
        <w:tc>
          <w:tcPr>
            <w:tcW w:w="3260" w:type="dxa"/>
          </w:tcPr>
          <w:p w:rsidR="002B4F03" w:rsidRPr="0028770B" w:rsidRDefault="002B4F03" w:rsidP="002B4F03">
            <w:pPr>
              <w:jc w:val="center"/>
              <w:rPr>
                <w:rFonts w:asciiTheme="minorHAnsi" w:hAnsiTheme="minorHAnsi" w:cstheme="minorHAnsi"/>
                <w:szCs w:val="22"/>
              </w:rPr>
            </w:pPr>
            <w:r w:rsidRPr="0028770B">
              <w:rPr>
                <w:rFonts w:asciiTheme="minorHAnsi" w:hAnsiTheme="minorHAnsi" w:cstheme="minorHAnsi"/>
                <w:szCs w:val="22"/>
              </w:rPr>
              <w:t>17.0 per cent</w:t>
            </w:r>
          </w:p>
        </w:tc>
        <w:tc>
          <w:tcPr>
            <w:tcW w:w="2552" w:type="dxa"/>
          </w:tcPr>
          <w:p w:rsidR="002B4F03" w:rsidRPr="0028770B" w:rsidRDefault="002B4F03" w:rsidP="002B4F03">
            <w:pPr>
              <w:jc w:val="center"/>
              <w:rPr>
                <w:rFonts w:asciiTheme="minorHAnsi" w:hAnsiTheme="minorHAnsi" w:cstheme="minorHAnsi"/>
                <w:szCs w:val="22"/>
              </w:rPr>
            </w:pPr>
            <w:r w:rsidRPr="0028770B">
              <w:rPr>
                <w:rFonts w:asciiTheme="minorHAnsi" w:hAnsiTheme="minorHAnsi" w:cstheme="minorHAnsi"/>
                <w:szCs w:val="22"/>
              </w:rPr>
              <w:t>7.4 per cent</w:t>
            </w:r>
          </w:p>
        </w:tc>
      </w:tr>
      <w:tr w:rsidR="002B4F03" w:rsidRPr="00AB401F" w:rsidTr="002B4F03">
        <w:trPr>
          <w:jc w:val="center"/>
        </w:trPr>
        <w:tc>
          <w:tcPr>
            <w:tcW w:w="3473" w:type="dxa"/>
          </w:tcPr>
          <w:p w:rsidR="002B4F03" w:rsidRPr="0028770B" w:rsidRDefault="002B4F03" w:rsidP="002B4F03">
            <w:pPr>
              <w:rPr>
                <w:rFonts w:asciiTheme="minorHAnsi" w:hAnsiTheme="minorHAnsi" w:cstheme="minorHAnsi"/>
                <w:szCs w:val="22"/>
              </w:rPr>
            </w:pPr>
            <w:r w:rsidRPr="0028770B">
              <w:rPr>
                <w:rFonts w:asciiTheme="minorHAnsi" w:hAnsiTheme="minorHAnsi" w:cstheme="minorHAnsi"/>
                <w:szCs w:val="22"/>
              </w:rPr>
              <w:t>Logan - Beaudesert</w:t>
            </w:r>
          </w:p>
        </w:tc>
        <w:tc>
          <w:tcPr>
            <w:tcW w:w="3260" w:type="dxa"/>
          </w:tcPr>
          <w:p w:rsidR="002B4F03" w:rsidRPr="0028770B" w:rsidRDefault="002B4F03" w:rsidP="002B4F03">
            <w:pPr>
              <w:jc w:val="center"/>
              <w:rPr>
                <w:rFonts w:asciiTheme="minorHAnsi" w:hAnsiTheme="minorHAnsi" w:cstheme="minorHAnsi"/>
                <w:szCs w:val="22"/>
              </w:rPr>
            </w:pPr>
            <w:r w:rsidRPr="0028770B">
              <w:rPr>
                <w:rFonts w:asciiTheme="minorHAnsi" w:hAnsiTheme="minorHAnsi" w:cstheme="minorHAnsi"/>
                <w:szCs w:val="22"/>
              </w:rPr>
              <w:t>17.0 per cent</w:t>
            </w:r>
          </w:p>
        </w:tc>
        <w:tc>
          <w:tcPr>
            <w:tcW w:w="2552" w:type="dxa"/>
          </w:tcPr>
          <w:p w:rsidR="002B4F03" w:rsidRPr="0028770B" w:rsidRDefault="002B4F03" w:rsidP="002B4F03">
            <w:pPr>
              <w:jc w:val="center"/>
              <w:rPr>
                <w:rFonts w:asciiTheme="minorHAnsi" w:hAnsiTheme="minorHAnsi" w:cstheme="minorHAnsi"/>
                <w:szCs w:val="22"/>
              </w:rPr>
            </w:pPr>
            <w:r w:rsidRPr="0028770B">
              <w:rPr>
                <w:rFonts w:asciiTheme="minorHAnsi" w:hAnsiTheme="minorHAnsi" w:cstheme="minorHAnsi"/>
                <w:szCs w:val="22"/>
              </w:rPr>
              <w:t>7.0 per cent</w:t>
            </w:r>
          </w:p>
        </w:tc>
      </w:tr>
      <w:tr w:rsidR="002B4F03" w:rsidRPr="00AB401F" w:rsidTr="002B4F03">
        <w:trPr>
          <w:jc w:val="center"/>
        </w:trPr>
        <w:tc>
          <w:tcPr>
            <w:tcW w:w="3473" w:type="dxa"/>
          </w:tcPr>
          <w:p w:rsidR="002B4F03" w:rsidRPr="0028770B" w:rsidRDefault="002B4F03" w:rsidP="002B4F03">
            <w:pPr>
              <w:rPr>
                <w:rFonts w:asciiTheme="minorHAnsi" w:hAnsiTheme="minorHAnsi" w:cstheme="minorHAnsi"/>
                <w:szCs w:val="22"/>
              </w:rPr>
            </w:pPr>
            <w:r w:rsidRPr="0028770B">
              <w:rPr>
                <w:rFonts w:asciiTheme="minorHAnsi" w:hAnsiTheme="minorHAnsi" w:cstheme="minorHAnsi"/>
                <w:szCs w:val="22"/>
              </w:rPr>
              <w:t>Adelaide - South</w:t>
            </w:r>
          </w:p>
        </w:tc>
        <w:tc>
          <w:tcPr>
            <w:tcW w:w="3260" w:type="dxa"/>
          </w:tcPr>
          <w:p w:rsidR="002B4F03" w:rsidRPr="0028770B" w:rsidRDefault="002B4F03" w:rsidP="002B4F03">
            <w:pPr>
              <w:jc w:val="center"/>
              <w:rPr>
                <w:rFonts w:asciiTheme="minorHAnsi" w:hAnsiTheme="minorHAnsi" w:cstheme="minorHAnsi"/>
                <w:szCs w:val="22"/>
              </w:rPr>
            </w:pPr>
            <w:r w:rsidRPr="0028770B">
              <w:rPr>
                <w:rFonts w:asciiTheme="minorHAnsi" w:hAnsiTheme="minorHAnsi" w:cstheme="minorHAnsi"/>
                <w:szCs w:val="22"/>
              </w:rPr>
              <w:t>16.9 per cent</w:t>
            </w:r>
          </w:p>
        </w:tc>
        <w:tc>
          <w:tcPr>
            <w:tcW w:w="2552" w:type="dxa"/>
          </w:tcPr>
          <w:p w:rsidR="002B4F03" w:rsidRPr="0028770B" w:rsidRDefault="002B4F03" w:rsidP="002B4F03">
            <w:pPr>
              <w:jc w:val="center"/>
              <w:rPr>
                <w:rFonts w:asciiTheme="minorHAnsi" w:hAnsiTheme="minorHAnsi" w:cstheme="minorHAnsi"/>
                <w:szCs w:val="22"/>
              </w:rPr>
            </w:pPr>
            <w:r w:rsidRPr="0028770B">
              <w:rPr>
                <w:rFonts w:asciiTheme="minorHAnsi" w:hAnsiTheme="minorHAnsi" w:cstheme="minorHAnsi"/>
                <w:szCs w:val="22"/>
              </w:rPr>
              <w:t>6.3 per cent</w:t>
            </w:r>
          </w:p>
        </w:tc>
      </w:tr>
      <w:tr w:rsidR="002B4F03" w:rsidRPr="00AB401F" w:rsidTr="002B4F03">
        <w:trPr>
          <w:jc w:val="center"/>
        </w:trPr>
        <w:tc>
          <w:tcPr>
            <w:tcW w:w="3473" w:type="dxa"/>
          </w:tcPr>
          <w:p w:rsidR="002B4F03" w:rsidRPr="0028770B" w:rsidRDefault="002B4F03" w:rsidP="002B4F03">
            <w:pPr>
              <w:rPr>
                <w:rFonts w:asciiTheme="minorHAnsi" w:hAnsiTheme="minorHAnsi" w:cstheme="minorHAnsi"/>
                <w:szCs w:val="22"/>
              </w:rPr>
            </w:pPr>
            <w:r w:rsidRPr="0028770B">
              <w:rPr>
                <w:rFonts w:asciiTheme="minorHAnsi" w:hAnsiTheme="minorHAnsi" w:cstheme="minorHAnsi"/>
                <w:szCs w:val="22"/>
              </w:rPr>
              <w:t>New England and North West</w:t>
            </w:r>
          </w:p>
        </w:tc>
        <w:tc>
          <w:tcPr>
            <w:tcW w:w="3260" w:type="dxa"/>
          </w:tcPr>
          <w:p w:rsidR="002B4F03" w:rsidRPr="0028770B" w:rsidRDefault="002B4F03" w:rsidP="002B4F03">
            <w:pPr>
              <w:jc w:val="center"/>
              <w:rPr>
                <w:rFonts w:asciiTheme="minorHAnsi" w:hAnsiTheme="minorHAnsi" w:cstheme="minorHAnsi"/>
                <w:szCs w:val="22"/>
              </w:rPr>
            </w:pPr>
            <w:r w:rsidRPr="0028770B">
              <w:rPr>
                <w:rFonts w:asciiTheme="minorHAnsi" w:hAnsiTheme="minorHAnsi" w:cstheme="minorHAnsi"/>
                <w:szCs w:val="22"/>
              </w:rPr>
              <w:t>16.6 per cent</w:t>
            </w:r>
          </w:p>
        </w:tc>
        <w:tc>
          <w:tcPr>
            <w:tcW w:w="2552" w:type="dxa"/>
          </w:tcPr>
          <w:p w:rsidR="002B4F03" w:rsidRPr="0028770B" w:rsidRDefault="002B4F03" w:rsidP="002B4F03">
            <w:pPr>
              <w:jc w:val="center"/>
              <w:rPr>
                <w:rFonts w:asciiTheme="minorHAnsi" w:hAnsiTheme="minorHAnsi" w:cstheme="minorHAnsi"/>
                <w:szCs w:val="22"/>
              </w:rPr>
            </w:pPr>
            <w:r w:rsidRPr="0028770B">
              <w:rPr>
                <w:rFonts w:asciiTheme="minorHAnsi" w:hAnsiTheme="minorHAnsi" w:cstheme="minorHAnsi"/>
                <w:szCs w:val="22"/>
              </w:rPr>
              <w:t>5.8 per cent</w:t>
            </w:r>
          </w:p>
        </w:tc>
      </w:tr>
      <w:tr w:rsidR="002B4F03" w:rsidRPr="00AB401F" w:rsidTr="002B4F03">
        <w:trPr>
          <w:jc w:val="center"/>
        </w:trPr>
        <w:tc>
          <w:tcPr>
            <w:tcW w:w="3473" w:type="dxa"/>
          </w:tcPr>
          <w:p w:rsidR="002B4F03" w:rsidRPr="0028770B" w:rsidRDefault="002B4F03" w:rsidP="002B4F03">
            <w:pPr>
              <w:rPr>
                <w:rFonts w:asciiTheme="minorHAnsi" w:hAnsiTheme="minorHAnsi" w:cstheme="minorHAnsi"/>
                <w:szCs w:val="22"/>
              </w:rPr>
            </w:pPr>
            <w:r w:rsidRPr="0028770B">
              <w:rPr>
                <w:rFonts w:asciiTheme="minorHAnsi" w:hAnsiTheme="minorHAnsi" w:cstheme="minorHAnsi"/>
                <w:szCs w:val="22"/>
              </w:rPr>
              <w:t>South Australia - South East</w:t>
            </w:r>
          </w:p>
        </w:tc>
        <w:tc>
          <w:tcPr>
            <w:tcW w:w="3260" w:type="dxa"/>
          </w:tcPr>
          <w:p w:rsidR="002B4F03" w:rsidRPr="0028770B" w:rsidRDefault="002B4F03" w:rsidP="002B4F03">
            <w:pPr>
              <w:jc w:val="center"/>
              <w:rPr>
                <w:rFonts w:asciiTheme="minorHAnsi" w:hAnsiTheme="minorHAnsi" w:cstheme="minorHAnsi"/>
                <w:szCs w:val="22"/>
              </w:rPr>
            </w:pPr>
            <w:r w:rsidRPr="0028770B">
              <w:rPr>
                <w:rFonts w:asciiTheme="minorHAnsi" w:hAnsiTheme="minorHAnsi" w:cstheme="minorHAnsi"/>
                <w:szCs w:val="22"/>
              </w:rPr>
              <w:t>16.3 per cent</w:t>
            </w:r>
          </w:p>
        </w:tc>
        <w:tc>
          <w:tcPr>
            <w:tcW w:w="2552" w:type="dxa"/>
          </w:tcPr>
          <w:p w:rsidR="002B4F03" w:rsidRPr="0028770B" w:rsidRDefault="002B4F03" w:rsidP="002B4F03">
            <w:pPr>
              <w:jc w:val="center"/>
              <w:rPr>
                <w:rFonts w:asciiTheme="minorHAnsi" w:hAnsiTheme="minorHAnsi" w:cstheme="minorHAnsi"/>
                <w:szCs w:val="22"/>
              </w:rPr>
            </w:pPr>
            <w:r w:rsidRPr="0028770B">
              <w:rPr>
                <w:rFonts w:asciiTheme="minorHAnsi" w:hAnsiTheme="minorHAnsi" w:cstheme="minorHAnsi"/>
                <w:szCs w:val="22"/>
              </w:rPr>
              <w:t>4.8 per cent</w:t>
            </w:r>
          </w:p>
        </w:tc>
      </w:tr>
      <w:tr w:rsidR="002B4F03" w:rsidRPr="00AB401F" w:rsidTr="002B4F03">
        <w:trPr>
          <w:jc w:val="center"/>
        </w:trPr>
        <w:tc>
          <w:tcPr>
            <w:tcW w:w="3473" w:type="dxa"/>
          </w:tcPr>
          <w:p w:rsidR="002B4F03" w:rsidRPr="0028770B" w:rsidRDefault="002B4F03" w:rsidP="002B4F03">
            <w:pPr>
              <w:rPr>
                <w:rFonts w:asciiTheme="minorHAnsi" w:hAnsiTheme="minorHAnsi" w:cstheme="minorHAnsi"/>
                <w:szCs w:val="22"/>
              </w:rPr>
            </w:pPr>
            <w:r w:rsidRPr="0028770B">
              <w:rPr>
                <w:rFonts w:asciiTheme="minorHAnsi" w:hAnsiTheme="minorHAnsi" w:cstheme="minorHAnsi"/>
                <w:szCs w:val="22"/>
              </w:rPr>
              <w:t>Bendigo</w:t>
            </w:r>
          </w:p>
        </w:tc>
        <w:tc>
          <w:tcPr>
            <w:tcW w:w="3260" w:type="dxa"/>
          </w:tcPr>
          <w:p w:rsidR="002B4F03" w:rsidRPr="0028770B" w:rsidRDefault="002B4F03" w:rsidP="002B4F03">
            <w:pPr>
              <w:jc w:val="center"/>
              <w:rPr>
                <w:rFonts w:asciiTheme="minorHAnsi" w:hAnsiTheme="minorHAnsi" w:cstheme="minorHAnsi"/>
                <w:szCs w:val="22"/>
              </w:rPr>
            </w:pPr>
            <w:r w:rsidRPr="0028770B">
              <w:rPr>
                <w:rFonts w:asciiTheme="minorHAnsi" w:hAnsiTheme="minorHAnsi" w:cstheme="minorHAnsi"/>
                <w:szCs w:val="22"/>
              </w:rPr>
              <w:t>16.2 per cent</w:t>
            </w:r>
          </w:p>
        </w:tc>
        <w:tc>
          <w:tcPr>
            <w:tcW w:w="2552" w:type="dxa"/>
          </w:tcPr>
          <w:p w:rsidR="002B4F03" w:rsidRPr="0028770B" w:rsidRDefault="002B4F03" w:rsidP="002B4F03">
            <w:pPr>
              <w:jc w:val="center"/>
              <w:rPr>
                <w:rFonts w:asciiTheme="minorHAnsi" w:hAnsiTheme="minorHAnsi" w:cstheme="minorHAnsi"/>
                <w:szCs w:val="22"/>
              </w:rPr>
            </w:pPr>
            <w:r w:rsidRPr="0028770B">
              <w:rPr>
                <w:rFonts w:asciiTheme="minorHAnsi" w:hAnsiTheme="minorHAnsi" w:cstheme="minorHAnsi"/>
                <w:szCs w:val="22"/>
              </w:rPr>
              <w:t>6.9 per cent</w:t>
            </w:r>
          </w:p>
        </w:tc>
      </w:tr>
      <w:tr w:rsidR="002B4F03" w:rsidRPr="00AB401F" w:rsidTr="002B4F03">
        <w:trPr>
          <w:jc w:val="center"/>
        </w:trPr>
        <w:tc>
          <w:tcPr>
            <w:tcW w:w="3473" w:type="dxa"/>
          </w:tcPr>
          <w:p w:rsidR="002B4F03" w:rsidRPr="0028770B" w:rsidRDefault="002B4F03" w:rsidP="002B4F03">
            <w:pPr>
              <w:rPr>
                <w:rFonts w:asciiTheme="minorHAnsi" w:hAnsiTheme="minorHAnsi" w:cstheme="minorHAnsi"/>
                <w:szCs w:val="22"/>
              </w:rPr>
            </w:pPr>
            <w:r w:rsidRPr="0028770B">
              <w:rPr>
                <w:rFonts w:asciiTheme="minorHAnsi" w:hAnsiTheme="minorHAnsi" w:cstheme="minorHAnsi"/>
                <w:szCs w:val="22"/>
              </w:rPr>
              <w:t>Perth - North West</w:t>
            </w:r>
          </w:p>
        </w:tc>
        <w:tc>
          <w:tcPr>
            <w:tcW w:w="3260" w:type="dxa"/>
          </w:tcPr>
          <w:p w:rsidR="002B4F03" w:rsidRPr="0028770B" w:rsidRDefault="002B4F03" w:rsidP="002B4F03">
            <w:pPr>
              <w:jc w:val="center"/>
              <w:rPr>
                <w:rFonts w:asciiTheme="minorHAnsi" w:hAnsiTheme="minorHAnsi" w:cstheme="minorHAnsi"/>
                <w:szCs w:val="22"/>
              </w:rPr>
            </w:pPr>
            <w:r w:rsidRPr="0028770B">
              <w:rPr>
                <w:rFonts w:asciiTheme="minorHAnsi" w:hAnsiTheme="minorHAnsi" w:cstheme="minorHAnsi"/>
                <w:szCs w:val="22"/>
              </w:rPr>
              <w:t>16.0 per cent</w:t>
            </w:r>
          </w:p>
        </w:tc>
        <w:tc>
          <w:tcPr>
            <w:tcW w:w="2552" w:type="dxa"/>
          </w:tcPr>
          <w:p w:rsidR="002B4F03" w:rsidRPr="0028770B" w:rsidRDefault="002B4F03" w:rsidP="002B4F03">
            <w:pPr>
              <w:jc w:val="center"/>
              <w:rPr>
                <w:rFonts w:asciiTheme="minorHAnsi" w:hAnsiTheme="minorHAnsi" w:cstheme="minorHAnsi"/>
                <w:szCs w:val="22"/>
              </w:rPr>
            </w:pPr>
            <w:r w:rsidRPr="0028770B">
              <w:rPr>
                <w:rFonts w:asciiTheme="minorHAnsi" w:hAnsiTheme="minorHAnsi" w:cstheme="minorHAnsi"/>
                <w:szCs w:val="22"/>
              </w:rPr>
              <w:t>6.7 per cent</w:t>
            </w:r>
          </w:p>
        </w:tc>
      </w:tr>
      <w:tr w:rsidR="002B4F03" w:rsidRPr="00AB401F" w:rsidTr="002B4F03">
        <w:trPr>
          <w:jc w:val="center"/>
        </w:trPr>
        <w:tc>
          <w:tcPr>
            <w:tcW w:w="3473" w:type="dxa"/>
          </w:tcPr>
          <w:p w:rsidR="002B4F03" w:rsidRPr="0028770B" w:rsidRDefault="002B4F03" w:rsidP="002B4F03">
            <w:pPr>
              <w:rPr>
                <w:rFonts w:asciiTheme="minorHAnsi" w:hAnsiTheme="minorHAnsi" w:cstheme="minorHAnsi"/>
                <w:szCs w:val="22"/>
              </w:rPr>
            </w:pPr>
            <w:r w:rsidRPr="0028770B">
              <w:rPr>
                <w:rFonts w:asciiTheme="minorHAnsi" w:hAnsiTheme="minorHAnsi" w:cstheme="minorHAnsi"/>
                <w:szCs w:val="22"/>
              </w:rPr>
              <w:t>Moreton Bay - North</w:t>
            </w:r>
          </w:p>
        </w:tc>
        <w:tc>
          <w:tcPr>
            <w:tcW w:w="3260" w:type="dxa"/>
          </w:tcPr>
          <w:p w:rsidR="002B4F03" w:rsidRPr="0028770B" w:rsidRDefault="002B4F03" w:rsidP="002B4F03">
            <w:pPr>
              <w:jc w:val="center"/>
              <w:rPr>
                <w:rFonts w:asciiTheme="minorHAnsi" w:hAnsiTheme="minorHAnsi" w:cstheme="minorHAnsi"/>
                <w:szCs w:val="22"/>
              </w:rPr>
            </w:pPr>
            <w:r w:rsidRPr="0028770B">
              <w:rPr>
                <w:rFonts w:asciiTheme="minorHAnsi" w:hAnsiTheme="minorHAnsi" w:cstheme="minorHAnsi"/>
                <w:szCs w:val="22"/>
              </w:rPr>
              <w:t>15.6 per cent</w:t>
            </w:r>
          </w:p>
        </w:tc>
        <w:tc>
          <w:tcPr>
            <w:tcW w:w="2552" w:type="dxa"/>
          </w:tcPr>
          <w:p w:rsidR="002B4F03" w:rsidRPr="0028770B" w:rsidRDefault="002B4F03" w:rsidP="002B4F03">
            <w:pPr>
              <w:jc w:val="center"/>
              <w:rPr>
                <w:rFonts w:asciiTheme="minorHAnsi" w:hAnsiTheme="minorHAnsi" w:cstheme="minorHAnsi"/>
                <w:szCs w:val="22"/>
              </w:rPr>
            </w:pPr>
            <w:r w:rsidRPr="0028770B">
              <w:rPr>
                <w:rFonts w:asciiTheme="minorHAnsi" w:hAnsiTheme="minorHAnsi" w:cstheme="minorHAnsi"/>
                <w:szCs w:val="22"/>
              </w:rPr>
              <w:t>7.9 per cent</w:t>
            </w:r>
          </w:p>
        </w:tc>
      </w:tr>
      <w:tr w:rsidR="002B4F03" w:rsidRPr="00AB401F" w:rsidTr="002B4F03">
        <w:trPr>
          <w:jc w:val="center"/>
        </w:trPr>
        <w:tc>
          <w:tcPr>
            <w:tcW w:w="3473" w:type="dxa"/>
          </w:tcPr>
          <w:p w:rsidR="002B4F03" w:rsidRPr="0028770B" w:rsidRDefault="002B4F03" w:rsidP="002B4F03">
            <w:pPr>
              <w:rPr>
                <w:rFonts w:asciiTheme="minorHAnsi" w:hAnsiTheme="minorHAnsi" w:cstheme="minorHAnsi"/>
                <w:szCs w:val="22"/>
              </w:rPr>
            </w:pPr>
            <w:r w:rsidRPr="0028770B">
              <w:rPr>
                <w:rFonts w:asciiTheme="minorHAnsi" w:hAnsiTheme="minorHAnsi" w:cstheme="minorHAnsi"/>
                <w:szCs w:val="22"/>
              </w:rPr>
              <w:t>Launceston and North East</w:t>
            </w:r>
          </w:p>
        </w:tc>
        <w:tc>
          <w:tcPr>
            <w:tcW w:w="3260" w:type="dxa"/>
          </w:tcPr>
          <w:p w:rsidR="002B4F03" w:rsidRPr="0028770B" w:rsidRDefault="002B4F03" w:rsidP="002B4F03">
            <w:pPr>
              <w:jc w:val="center"/>
              <w:rPr>
                <w:rFonts w:asciiTheme="minorHAnsi" w:hAnsiTheme="minorHAnsi" w:cstheme="minorHAnsi"/>
                <w:szCs w:val="22"/>
              </w:rPr>
            </w:pPr>
            <w:r w:rsidRPr="0028770B">
              <w:rPr>
                <w:rFonts w:asciiTheme="minorHAnsi" w:hAnsiTheme="minorHAnsi" w:cstheme="minorHAnsi"/>
                <w:szCs w:val="22"/>
              </w:rPr>
              <w:t>15.4 per cent</w:t>
            </w:r>
          </w:p>
        </w:tc>
        <w:tc>
          <w:tcPr>
            <w:tcW w:w="2552" w:type="dxa"/>
          </w:tcPr>
          <w:p w:rsidR="002B4F03" w:rsidRPr="0028770B" w:rsidRDefault="002B4F03" w:rsidP="002B4F03">
            <w:pPr>
              <w:jc w:val="center"/>
              <w:rPr>
                <w:rFonts w:asciiTheme="minorHAnsi" w:hAnsiTheme="minorHAnsi" w:cstheme="minorHAnsi"/>
                <w:szCs w:val="22"/>
              </w:rPr>
            </w:pPr>
            <w:r w:rsidRPr="0028770B">
              <w:rPr>
                <w:rFonts w:asciiTheme="minorHAnsi" w:hAnsiTheme="minorHAnsi" w:cstheme="minorHAnsi"/>
                <w:szCs w:val="22"/>
              </w:rPr>
              <w:t>6.0 per cent</w:t>
            </w:r>
          </w:p>
        </w:tc>
      </w:tr>
      <w:tr w:rsidR="002B4F03" w:rsidRPr="00AB401F" w:rsidTr="002B4F03">
        <w:trPr>
          <w:jc w:val="center"/>
        </w:trPr>
        <w:tc>
          <w:tcPr>
            <w:tcW w:w="3473" w:type="dxa"/>
          </w:tcPr>
          <w:p w:rsidR="002B4F03" w:rsidRPr="0028770B" w:rsidRDefault="002B4F03" w:rsidP="002B4F03">
            <w:pPr>
              <w:rPr>
                <w:rFonts w:asciiTheme="minorHAnsi" w:hAnsiTheme="minorHAnsi" w:cstheme="minorHAnsi"/>
                <w:szCs w:val="22"/>
              </w:rPr>
            </w:pPr>
            <w:r w:rsidRPr="0028770B">
              <w:rPr>
                <w:rFonts w:asciiTheme="minorHAnsi" w:hAnsiTheme="minorHAnsi" w:cstheme="minorHAnsi"/>
                <w:szCs w:val="22"/>
              </w:rPr>
              <w:t>Perth - North East</w:t>
            </w:r>
          </w:p>
        </w:tc>
        <w:tc>
          <w:tcPr>
            <w:tcW w:w="3260" w:type="dxa"/>
          </w:tcPr>
          <w:p w:rsidR="002B4F03" w:rsidRPr="0028770B" w:rsidRDefault="002B4F03" w:rsidP="002B4F03">
            <w:pPr>
              <w:jc w:val="center"/>
              <w:rPr>
                <w:rFonts w:asciiTheme="minorHAnsi" w:hAnsiTheme="minorHAnsi" w:cstheme="minorHAnsi"/>
                <w:szCs w:val="22"/>
              </w:rPr>
            </w:pPr>
            <w:r w:rsidRPr="0028770B">
              <w:rPr>
                <w:rFonts w:asciiTheme="minorHAnsi" w:hAnsiTheme="minorHAnsi" w:cstheme="minorHAnsi"/>
                <w:szCs w:val="22"/>
              </w:rPr>
              <w:t>15.1 per cent</w:t>
            </w:r>
          </w:p>
        </w:tc>
        <w:tc>
          <w:tcPr>
            <w:tcW w:w="2552" w:type="dxa"/>
          </w:tcPr>
          <w:p w:rsidR="002B4F03" w:rsidRPr="0028770B" w:rsidRDefault="002B4F03" w:rsidP="002B4F03">
            <w:pPr>
              <w:jc w:val="center"/>
              <w:rPr>
                <w:rFonts w:asciiTheme="minorHAnsi" w:hAnsiTheme="minorHAnsi" w:cstheme="minorHAnsi"/>
                <w:szCs w:val="22"/>
              </w:rPr>
            </w:pPr>
            <w:r w:rsidRPr="0028770B">
              <w:rPr>
                <w:rFonts w:asciiTheme="minorHAnsi" w:hAnsiTheme="minorHAnsi" w:cstheme="minorHAnsi"/>
                <w:szCs w:val="22"/>
              </w:rPr>
              <w:t>6.0 per cent</w:t>
            </w:r>
          </w:p>
        </w:tc>
      </w:tr>
      <w:tr w:rsidR="002B4F03" w:rsidRPr="00AB401F" w:rsidTr="002B4F03">
        <w:trPr>
          <w:jc w:val="center"/>
        </w:trPr>
        <w:tc>
          <w:tcPr>
            <w:tcW w:w="3473" w:type="dxa"/>
          </w:tcPr>
          <w:p w:rsidR="002B4F03" w:rsidRPr="0028770B" w:rsidRDefault="002B4F03" w:rsidP="002B4F03">
            <w:pPr>
              <w:rPr>
                <w:rFonts w:asciiTheme="minorHAnsi" w:hAnsiTheme="minorHAnsi" w:cstheme="minorHAnsi"/>
                <w:szCs w:val="22"/>
              </w:rPr>
            </w:pPr>
            <w:r w:rsidRPr="0028770B">
              <w:rPr>
                <w:rFonts w:asciiTheme="minorHAnsi" w:hAnsiTheme="minorHAnsi" w:cstheme="minorHAnsi"/>
                <w:szCs w:val="22"/>
              </w:rPr>
              <w:t>Melbourne - South East</w:t>
            </w:r>
          </w:p>
        </w:tc>
        <w:tc>
          <w:tcPr>
            <w:tcW w:w="3260" w:type="dxa"/>
          </w:tcPr>
          <w:p w:rsidR="002B4F03" w:rsidRPr="0028770B" w:rsidRDefault="002B4F03" w:rsidP="002B4F03">
            <w:pPr>
              <w:jc w:val="center"/>
              <w:rPr>
                <w:rFonts w:asciiTheme="minorHAnsi" w:hAnsiTheme="minorHAnsi" w:cstheme="minorHAnsi"/>
                <w:szCs w:val="22"/>
              </w:rPr>
            </w:pPr>
            <w:r w:rsidRPr="0028770B">
              <w:rPr>
                <w:rFonts w:asciiTheme="minorHAnsi" w:hAnsiTheme="minorHAnsi" w:cstheme="minorHAnsi"/>
                <w:szCs w:val="22"/>
              </w:rPr>
              <w:t>15.1 per cent</w:t>
            </w:r>
          </w:p>
        </w:tc>
        <w:tc>
          <w:tcPr>
            <w:tcW w:w="2552" w:type="dxa"/>
          </w:tcPr>
          <w:p w:rsidR="002B4F03" w:rsidRPr="0028770B" w:rsidRDefault="002B4F03" w:rsidP="002B4F03">
            <w:pPr>
              <w:jc w:val="center"/>
              <w:rPr>
                <w:rFonts w:asciiTheme="minorHAnsi" w:hAnsiTheme="minorHAnsi" w:cstheme="minorHAnsi"/>
                <w:szCs w:val="22"/>
              </w:rPr>
            </w:pPr>
            <w:r w:rsidRPr="0028770B">
              <w:rPr>
                <w:rFonts w:asciiTheme="minorHAnsi" w:hAnsiTheme="minorHAnsi" w:cstheme="minorHAnsi"/>
                <w:szCs w:val="22"/>
              </w:rPr>
              <w:t>6.6 per cent</w:t>
            </w:r>
          </w:p>
        </w:tc>
      </w:tr>
    </w:tbl>
    <w:p w:rsidR="00F43E78" w:rsidRDefault="0012525D" w:rsidP="00DB7F11">
      <w:pPr>
        <w:spacing w:before="80"/>
        <w:jc w:val="center"/>
        <w:rPr>
          <w:rFonts w:ascii="Verdana" w:hAnsi="Verdana"/>
          <w:sz w:val="20"/>
          <w:szCs w:val="20"/>
        </w:rPr>
      </w:pPr>
      <w:r w:rsidRPr="00DD4495">
        <w:rPr>
          <w:rFonts w:ascii="Verdana" w:hAnsi="Verdana"/>
          <w:sz w:val="14"/>
          <w:szCs w:val="20"/>
        </w:rPr>
        <w:t xml:space="preserve">Source: </w:t>
      </w:r>
      <w:r>
        <w:rPr>
          <w:rFonts w:ascii="Verdana" w:hAnsi="Verdana"/>
          <w:sz w:val="14"/>
          <w:szCs w:val="20"/>
        </w:rPr>
        <w:t xml:space="preserve">ABS </w:t>
      </w:r>
      <w:r w:rsidR="00A308D0">
        <w:rPr>
          <w:rFonts w:ascii="Verdana" w:hAnsi="Verdana"/>
          <w:sz w:val="14"/>
          <w:szCs w:val="20"/>
        </w:rPr>
        <w:br/>
        <w:t xml:space="preserve">Note: </w:t>
      </w:r>
      <w:r>
        <w:rPr>
          <w:rFonts w:ascii="Verdana" w:hAnsi="Verdana"/>
          <w:sz w:val="14"/>
          <w:szCs w:val="20"/>
        </w:rPr>
        <w:t xml:space="preserve">average of the 12 months to </w:t>
      </w:r>
      <w:r w:rsidR="002B4F03">
        <w:rPr>
          <w:rFonts w:ascii="Verdana" w:hAnsi="Verdana"/>
          <w:sz w:val="14"/>
          <w:szCs w:val="20"/>
        </w:rPr>
        <w:t>January</w:t>
      </w:r>
      <w:r>
        <w:rPr>
          <w:rFonts w:ascii="Verdana" w:hAnsi="Verdana"/>
          <w:sz w:val="14"/>
          <w:szCs w:val="20"/>
        </w:rPr>
        <w:t xml:space="preserve"> 201</w:t>
      </w:r>
      <w:r w:rsidR="002B4F03">
        <w:rPr>
          <w:rFonts w:ascii="Verdana" w:hAnsi="Verdana"/>
          <w:sz w:val="14"/>
          <w:szCs w:val="20"/>
        </w:rPr>
        <w:t>8</w:t>
      </w:r>
    </w:p>
    <w:p w:rsidR="00DD4495" w:rsidRPr="00D81096" w:rsidRDefault="00DD4495" w:rsidP="00DD4495">
      <w:pPr>
        <w:numPr>
          <w:ilvl w:val="1"/>
          <w:numId w:val="0"/>
        </w:numPr>
        <w:rPr>
          <w:rFonts w:ascii="Verdana" w:eastAsiaTheme="majorEastAsia" w:hAnsi="Verdana" w:cstheme="majorBidi"/>
          <w:iCs/>
          <w:color w:val="808080" w:themeColor="background1" w:themeShade="80"/>
          <w:spacing w:val="15"/>
          <w:sz w:val="28"/>
          <w:szCs w:val="28"/>
        </w:rPr>
      </w:pPr>
      <w:r w:rsidRPr="00D81096">
        <w:rPr>
          <w:rFonts w:ascii="Verdana" w:eastAsiaTheme="majorEastAsia" w:hAnsi="Verdana" w:cstheme="majorBidi"/>
          <w:iCs/>
          <w:color w:val="808080" w:themeColor="background1" w:themeShade="80"/>
          <w:spacing w:val="15"/>
          <w:sz w:val="28"/>
          <w:szCs w:val="28"/>
        </w:rPr>
        <w:t>Conditions in award-reliant industries</w:t>
      </w:r>
    </w:p>
    <w:p w:rsidR="00F87321" w:rsidRPr="00D81096" w:rsidRDefault="00955375" w:rsidP="00F87321">
      <w:pPr>
        <w:rPr>
          <w:rFonts w:ascii="Verdana" w:hAnsi="Verdana"/>
          <w:sz w:val="20"/>
          <w:szCs w:val="20"/>
        </w:rPr>
      </w:pPr>
      <w:r>
        <w:rPr>
          <w:rFonts w:ascii="Verdana" w:hAnsi="Verdana"/>
          <w:sz w:val="20"/>
          <w:szCs w:val="20"/>
        </w:rPr>
        <w:t xml:space="preserve">ABI </w:t>
      </w:r>
      <w:r w:rsidR="00E54F1C">
        <w:rPr>
          <w:rFonts w:ascii="Verdana" w:hAnsi="Verdana"/>
          <w:sz w:val="20"/>
          <w:szCs w:val="20"/>
        </w:rPr>
        <w:t>has noted</w:t>
      </w:r>
      <w:r>
        <w:rPr>
          <w:rFonts w:ascii="Verdana" w:hAnsi="Verdana"/>
          <w:sz w:val="20"/>
          <w:szCs w:val="20"/>
        </w:rPr>
        <w:t xml:space="preserve"> that a</w:t>
      </w:r>
      <w:r w:rsidR="00F87321" w:rsidRPr="00D81096">
        <w:rPr>
          <w:rFonts w:ascii="Verdana" w:hAnsi="Verdana"/>
          <w:sz w:val="20"/>
          <w:szCs w:val="20"/>
        </w:rPr>
        <w:t xml:space="preserve"> lack of targeted indicators means there is some difficulty in assessing the broader economic impact of AWR decisions.  </w:t>
      </w:r>
      <w:r w:rsidR="00A26F8B" w:rsidRPr="00D81096">
        <w:rPr>
          <w:rFonts w:ascii="Verdana" w:hAnsi="Verdana"/>
          <w:sz w:val="20"/>
          <w:szCs w:val="20"/>
        </w:rPr>
        <w:t xml:space="preserve">The direct </w:t>
      </w:r>
      <w:r w:rsidR="00F87321" w:rsidRPr="00D81096">
        <w:rPr>
          <w:rFonts w:ascii="Verdana" w:hAnsi="Verdana"/>
          <w:sz w:val="20"/>
          <w:szCs w:val="20"/>
        </w:rPr>
        <w:t xml:space="preserve">impact of AWR decisions will be </w:t>
      </w:r>
      <w:r w:rsidR="00A26F8B" w:rsidRPr="00D81096">
        <w:rPr>
          <w:rFonts w:ascii="Verdana" w:hAnsi="Verdana"/>
          <w:sz w:val="20"/>
          <w:szCs w:val="20"/>
        </w:rPr>
        <w:t>less easily</w:t>
      </w:r>
      <w:r w:rsidR="00F87321" w:rsidRPr="00D81096">
        <w:rPr>
          <w:rFonts w:ascii="Verdana" w:hAnsi="Verdana"/>
          <w:sz w:val="20"/>
          <w:szCs w:val="20"/>
        </w:rPr>
        <w:t xml:space="preserve"> observable</w:t>
      </w:r>
      <w:r w:rsidR="00A26F8B" w:rsidRPr="00D81096">
        <w:rPr>
          <w:rFonts w:ascii="Verdana" w:hAnsi="Verdana"/>
          <w:sz w:val="20"/>
          <w:szCs w:val="20"/>
        </w:rPr>
        <w:t xml:space="preserve"> because </w:t>
      </w:r>
      <w:r w:rsidR="00F87321" w:rsidRPr="00D81096">
        <w:rPr>
          <w:rFonts w:ascii="Verdana" w:hAnsi="Verdana"/>
          <w:sz w:val="20"/>
          <w:szCs w:val="20"/>
        </w:rPr>
        <w:t xml:space="preserve">award-reliant </w:t>
      </w:r>
      <w:r w:rsidR="00A26F8B" w:rsidRPr="00D81096">
        <w:rPr>
          <w:rFonts w:ascii="Verdana" w:hAnsi="Verdana"/>
          <w:sz w:val="20"/>
          <w:szCs w:val="20"/>
        </w:rPr>
        <w:t>employees are</w:t>
      </w:r>
      <w:r w:rsidR="00F87321" w:rsidRPr="00D81096">
        <w:rPr>
          <w:rFonts w:ascii="Verdana" w:hAnsi="Verdana"/>
          <w:sz w:val="20"/>
          <w:szCs w:val="20"/>
        </w:rPr>
        <w:t xml:space="preserve"> only a subset of the Australian workforce.  </w:t>
      </w:r>
      <w:r>
        <w:rPr>
          <w:rFonts w:ascii="Verdana" w:hAnsi="Verdana"/>
          <w:sz w:val="20"/>
          <w:szCs w:val="20"/>
        </w:rPr>
        <w:t>As discussed in Part II,</w:t>
      </w:r>
      <w:r w:rsidR="00076E08">
        <w:rPr>
          <w:rFonts w:ascii="Verdana" w:hAnsi="Verdana"/>
          <w:sz w:val="20"/>
          <w:szCs w:val="20"/>
        </w:rPr>
        <w:t xml:space="preserve"> broader</w:t>
      </w:r>
      <w:r w:rsidR="00F87321" w:rsidRPr="00D81096">
        <w:rPr>
          <w:rFonts w:ascii="Verdana" w:hAnsi="Verdana"/>
          <w:sz w:val="20"/>
          <w:szCs w:val="20"/>
        </w:rPr>
        <w:t xml:space="preserve"> macroeconomic data may be able to offer only limited in</w:t>
      </w:r>
      <w:r>
        <w:rPr>
          <w:rFonts w:ascii="Verdana" w:hAnsi="Verdana"/>
          <w:sz w:val="20"/>
          <w:szCs w:val="20"/>
        </w:rPr>
        <w:t xml:space="preserve">sight and </w:t>
      </w:r>
      <w:r w:rsidR="00F87321" w:rsidRPr="00D81096">
        <w:rPr>
          <w:rFonts w:ascii="Verdana" w:hAnsi="Verdana"/>
          <w:sz w:val="20"/>
          <w:szCs w:val="20"/>
        </w:rPr>
        <w:t>it must be recognised that favourable</w:t>
      </w:r>
      <w:r w:rsidR="00076E08">
        <w:rPr>
          <w:rFonts w:ascii="Verdana" w:hAnsi="Verdana"/>
          <w:sz w:val="20"/>
          <w:szCs w:val="20"/>
        </w:rPr>
        <w:t xml:space="preserve"> economic</w:t>
      </w:r>
      <w:r w:rsidR="00F87321" w:rsidRPr="00D81096">
        <w:rPr>
          <w:rFonts w:ascii="Verdana" w:hAnsi="Verdana"/>
          <w:sz w:val="20"/>
          <w:szCs w:val="20"/>
        </w:rPr>
        <w:t xml:space="preserve"> conditions do not necessarily give rise to favourable conditions in the parts of the economy that are most </w:t>
      </w:r>
      <w:r w:rsidR="00A26F8B" w:rsidRPr="00D81096">
        <w:rPr>
          <w:rFonts w:ascii="Verdana" w:hAnsi="Verdana"/>
          <w:sz w:val="20"/>
          <w:szCs w:val="20"/>
        </w:rPr>
        <w:t xml:space="preserve">directly </w:t>
      </w:r>
      <w:r w:rsidR="00F87321" w:rsidRPr="00D81096">
        <w:rPr>
          <w:rFonts w:ascii="Verdana" w:hAnsi="Verdana"/>
          <w:sz w:val="20"/>
          <w:szCs w:val="20"/>
        </w:rPr>
        <w:t>impacted by AWR decisions.</w:t>
      </w:r>
    </w:p>
    <w:p w:rsidR="00076E08" w:rsidRDefault="00F87321" w:rsidP="00F87321">
      <w:pPr>
        <w:rPr>
          <w:rFonts w:ascii="Verdana" w:hAnsi="Verdana"/>
          <w:sz w:val="20"/>
          <w:szCs w:val="20"/>
        </w:rPr>
      </w:pPr>
      <w:r w:rsidRPr="00D81096">
        <w:rPr>
          <w:rFonts w:ascii="Verdana" w:hAnsi="Verdana"/>
          <w:sz w:val="20"/>
          <w:szCs w:val="20"/>
        </w:rPr>
        <w:t>One approach</w:t>
      </w:r>
      <w:r w:rsidR="00340A96">
        <w:rPr>
          <w:rFonts w:ascii="Verdana" w:hAnsi="Verdana"/>
          <w:sz w:val="20"/>
          <w:szCs w:val="20"/>
        </w:rPr>
        <w:t>,</w:t>
      </w:r>
      <w:r w:rsidRPr="00D81096">
        <w:rPr>
          <w:rFonts w:ascii="Verdana" w:hAnsi="Verdana"/>
          <w:sz w:val="20"/>
          <w:szCs w:val="20"/>
        </w:rPr>
        <w:t xml:space="preserve"> </w:t>
      </w:r>
      <w:r w:rsidR="00A26F8B" w:rsidRPr="00D81096">
        <w:rPr>
          <w:rFonts w:ascii="Verdana" w:hAnsi="Verdana"/>
          <w:sz w:val="20"/>
          <w:szCs w:val="20"/>
        </w:rPr>
        <w:t xml:space="preserve">which assists </w:t>
      </w:r>
      <w:r w:rsidRPr="00D81096">
        <w:rPr>
          <w:rFonts w:ascii="Verdana" w:hAnsi="Verdana"/>
          <w:sz w:val="20"/>
          <w:szCs w:val="20"/>
        </w:rPr>
        <w:t>to focus attention on where AWR decisions are likely to be felt most</w:t>
      </w:r>
      <w:r w:rsidR="0051441D">
        <w:rPr>
          <w:rFonts w:ascii="Verdana" w:hAnsi="Verdana"/>
          <w:sz w:val="20"/>
          <w:szCs w:val="20"/>
        </w:rPr>
        <w:t>,</w:t>
      </w:r>
      <w:r w:rsidRPr="00D81096">
        <w:rPr>
          <w:rFonts w:ascii="Verdana" w:hAnsi="Verdana"/>
          <w:sz w:val="20"/>
          <w:szCs w:val="20"/>
        </w:rPr>
        <w:t xml:space="preserve"> is to </w:t>
      </w:r>
      <w:r w:rsidR="00340A96">
        <w:rPr>
          <w:rFonts w:ascii="Verdana" w:hAnsi="Verdana"/>
          <w:sz w:val="20"/>
          <w:szCs w:val="20"/>
        </w:rPr>
        <w:t>examine</w:t>
      </w:r>
      <w:r w:rsidRPr="00D81096">
        <w:rPr>
          <w:rFonts w:ascii="Verdana" w:hAnsi="Verdana"/>
          <w:sz w:val="20"/>
          <w:szCs w:val="20"/>
        </w:rPr>
        <w:t xml:space="preserve"> industries with a high degree of award reliance.  </w:t>
      </w:r>
      <w:r w:rsidR="00985487">
        <w:rPr>
          <w:rFonts w:ascii="Verdana" w:hAnsi="Verdana"/>
          <w:sz w:val="20"/>
          <w:szCs w:val="20"/>
        </w:rPr>
        <w:t xml:space="preserve">ABI expects </w:t>
      </w:r>
      <w:r w:rsidR="00985487" w:rsidRPr="00D81096">
        <w:rPr>
          <w:rFonts w:ascii="Verdana" w:hAnsi="Verdana"/>
          <w:sz w:val="20"/>
          <w:szCs w:val="20"/>
        </w:rPr>
        <w:t>the Panel will give more detailed consideration to the conditions faced in the</w:t>
      </w:r>
      <w:r w:rsidR="00985487">
        <w:rPr>
          <w:rFonts w:ascii="Verdana" w:hAnsi="Verdana"/>
          <w:sz w:val="20"/>
          <w:szCs w:val="20"/>
        </w:rPr>
        <w:t>se industries</w:t>
      </w:r>
      <w:r w:rsidR="00985487" w:rsidRPr="00D81096">
        <w:rPr>
          <w:rFonts w:ascii="Verdana" w:hAnsi="Verdana"/>
          <w:sz w:val="20"/>
          <w:szCs w:val="20"/>
        </w:rPr>
        <w:t xml:space="preserve">.  </w:t>
      </w:r>
      <w:r w:rsidR="001B3EBE">
        <w:rPr>
          <w:rFonts w:ascii="Verdana" w:hAnsi="Verdana"/>
          <w:sz w:val="20"/>
          <w:szCs w:val="20"/>
        </w:rPr>
        <w:t xml:space="preserve">The factors accounting for their performance are </w:t>
      </w:r>
      <w:r w:rsidR="00340A96">
        <w:rPr>
          <w:rFonts w:ascii="Verdana" w:hAnsi="Verdana"/>
          <w:sz w:val="20"/>
          <w:szCs w:val="20"/>
        </w:rPr>
        <w:t xml:space="preserve">unique </w:t>
      </w:r>
      <w:r w:rsidR="001B3EBE">
        <w:rPr>
          <w:rFonts w:ascii="Verdana" w:hAnsi="Verdana"/>
          <w:sz w:val="20"/>
          <w:szCs w:val="20"/>
        </w:rPr>
        <w:t xml:space="preserve">to each industry and do not necessarily reflect the vulnerabilities that award-reliant workforce may face.  </w:t>
      </w:r>
      <w:r w:rsidR="00315C66">
        <w:rPr>
          <w:rFonts w:ascii="Verdana" w:hAnsi="Verdana"/>
          <w:sz w:val="20"/>
          <w:szCs w:val="20"/>
        </w:rPr>
        <w:t xml:space="preserve">Given the significance of previous decisions </w:t>
      </w:r>
      <w:r w:rsidR="00702FA4">
        <w:rPr>
          <w:rFonts w:ascii="Verdana" w:hAnsi="Verdana"/>
          <w:sz w:val="20"/>
          <w:szCs w:val="20"/>
        </w:rPr>
        <w:t xml:space="preserve">which have increased minimum wages </w:t>
      </w:r>
      <w:r w:rsidR="00315C66">
        <w:rPr>
          <w:rFonts w:ascii="Verdana" w:hAnsi="Verdana"/>
          <w:sz w:val="20"/>
          <w:szCs w:val="20"/>
        </w:rPr>
        <w:t>above inflation, t</w:t>
      </w:r>
      <w:r w:rsidR="001B3EBE">
        <w:rPr>
          <w:rFonts w:ascii="Verdana" w:hAnsi="Verdana"/>
          <w:sz w:val="20"/>
          <w:szCs w:val="20"/>
        </w:rPr>
        <w:t>he Panel ought now to be considerin</w:t>
      </w:r>
      <w:r w:rsidR="00315C66">
        <w:rPr>
          <w:rFonts w:ascii="Verdana" w:hAnsi="Verdana"/>
          <w:sz w:val="20"/>
          <w:szCs w:val="20"/>
        </w:rPr>
        <w:t>g how the cumulative impact of recent</w:t>
      </w:r>
      <w:r w:rsidR="001B3EBE">
        <w:rPr>
          <w:rFonts w:ascii="Verdana" w:hAnsi="Verdana"/>
          <w:sz w:val="20"/>
          <w:szCs w:val="20"/>
        </w:rPr>
        <w:t xml:space="preserve"> minimum wages might </w:t>
      </w:r>
      <w:r w:rsidR="007C3C3B">
        <w:rPr>
          <w:rFonts w:ascii="Verdana" w:hAnsi="Verdana"/>
          <w:sz w:val="20"/>
          <w:szCs w:val="20"/>
        </w:rPr>
        <w:t>affect</w:t>
      </w:r>
      <w:r w:rsidR="001B3EBE">
        <w:rPr>
          <w:rFonts w:ascii="Verdana" w:hAnsi="Verdana"/>
          <w:sz w:val="20"/>
          <w:szCs w:val="20"/>
        </w:rPr>
        <w:t xml:space="preserve"> the relative attractiveness </w:t>
      </w:r>
      <w:r w:rsidR="00B7247D">
        <w:rPr>
          <w:rFonts w:ascii="Verdana" w:hAnsi="Verdana"/>
          <w:sz w:val="20"/>
          <w:szCs w:val="20"/>
        </w:rPr>
        <w:t>of award</w:t>
      </w:r>
      <w:r w:rsidR="00C16490">
        <w:rPr>
          <w:rFonts w:ascii="Verdana" w:hAnsi="Verdana"/>
          <w:sz w:val="20"/>
          <w:szCs w:val="20"/>
        </w:rPr>
        <w:t>-</w:t>
      </w:r>
      <w:r w:rsidR="00B7247D">
        <w:rPr>
          <w:rFonts w:ascii="Verdana" w:hAnsi="Verdana"/>
          <w:sz w:val="20"/>
          <w:szCs w:val="20"/>
        </w:rPr>
        <w:t xml:space="preserve">reliant employees </w:t>
      </w:r>
      <w:r w:rsidR="001B3EBE">
        <w:rPr>
          <w:rFonts w:ascii="Verdana" w:hAnsi="Verdana"/>
          <w:sz w:val="20"/>
          <w:szCs w:val="20"/>
        </w:rPr>
        <w:t xml:space="preserve">in the labour market. </w:t>
      </w:r>
    </w:p>
    <w:p w:rsidR="00FC123A" w:rsidRDefault="004D4C4F" w:rsidP="00F87321">
      <w:pPr>
        <w:rPr>
          <w:rFonts w:ascii="Verdana" w:hAnsi="Verdana"/>
          <w:sz w:val="20"/>
          <w:szCs w:val="20"/>
        </w:rPr>
      </w:pPr>
      <w:r>
        <w:rPr>
          <w:rFonts w:ascii="Verdana" w:hAnsi="Verdana"/>
          <w:sz w:val="20"/>
          <w:szCs w:val="20"/>
        </w:rPr>
        <w:t xml:space="preserve">While the award-reliant industries have made modest gains over the past year in-line with the broader economy, this comes off the back of weaker performance in the preceding </w:t>
      </w:r>
      <w:r>
        <w:rPr>
          <w:rFonts w:ascii="Verdana" w:hAnsi="Verdana"/>
          <w:sz w:val="20"/>
          <w:szCs w:val="20"/>
        </w:rPr>
        <w:lastRenderedPageBreak/>
        <w:t xml:space="preserve">period.  For example, as already noted, underemployment is higher in the award-reliant industries and so gains in employment growth over the past year need to be seen within this context.  </w:t>
      </w:r>
      <w:r w:rsidR="00FC123A">
        <w:rPr>
          <w:rFonts w:ascii="Verdana" w:hAnsi="Verdana"/>
          <w:sz w:val="20"/>
          <w:szCs w:val="20"/>
        </w:rPr>
        <w:t>The productivity performance of the award-reliant industries is also weak</w:t>
      </w:r>
      <w:r w:rsidR="00834B5F">
        <w:rPr>
          <w:rFonts w:ascii="Verdana" w:hAnsi="Verdana"/>
          <w:sz w:val="20"/>
          <w:szCs w:val="20"/>
        </w:rPr>
        <w:t xml:space="preserve"> compared with the rest </w:t>
      </w:r>
      <w:r w:rsidR="00967DE7">
        <w:rPr>
          <w:rFonts w:ascii="Verdana" w:hAnsi="Verdana"/>
          <w:sz w:val="20"/>
          <w:szCs w:val="20"/>
        </w:rPr>
        <w:t>of</w:t>
      </w:r>
      <w:r w:rsidR="00834B5F">
        <w:rPr>
          <w:rFonts w:ascii="Verdana" w:hAnsi="Verdana"/>
          <w:sz w:val="20"/>
          <w:szCs w:val="20"/>
        </w:rPr>
        <w:t xml:space="preserve"> the economy.</w:t>
      </w:r>
    </w:p>
    <w:p w:rsidR="00F3379B" w:rsidRDefault="004D4C4F" w:rsidP="00F87321">
      <w:pPr>
        <w:rPr>
          <w:rFonts w:ascii="Verdana" w:hAnsi="Verdana"/>
          <w:sz w:val="20"/>
          <w:szCs w:val="20"/>
        </w:rPr>
      </w:pPr>
      <w:r>
        <w:rPr>
          <w:rFonts w:ascii="Verdana" w:hAnsi="Verdana"/>
          <w:sz w:val="20"/>
          <w:szCs w:val="20"/>
        </w:rPr>
        <w:t>A</w:t>
      </w:r>
      <w:r w:rsidR="00F3379B">
        <w:rPr>
          <w:rFonts w:ascii="Verdana" w:hAnsi="Verdana"/>
          <w:sz w:val="20"/>
          <w:szCs w:val="20"/>
        </w:rPr>
        <w:t>BI</w:t>
      </w:r>
      <w:r>
        <w:rPr>
          <w:rFonts w:ascii="Verdana" w:hAnsi="Verdana"/>
          <w:sz w:val="20"/>
          <w:szCs w:val="20"/>
        </w:rPr>
        <w:t xml:space="preserve"> also</w:t>
      </w:r>
      <w:r w:rsidR="00F3379B">
        <w:rPr>
          <w:rFonts w:ascii="Verdana" w:hAnsi="Verdana"/>
          <w:sz w:val="20"/>
          <w:szCs w:val="20"/>
        </w:rPr>
        <w:t xml:space="preserve"> notes that</w:t>
      </w:r>
      <w:r w:rsidR="00426B3D">
        <w:rPr>
          <w:rFonts w:ascii="Verdana" w:hAnsi="Verdana"/>
          <w:sz w:val="20"/>
          <w:szCs w:val="20"/>
        </w:rPr>
        <w:t xml:space="preserve"> </w:t>
      </w:r>
      <w:r w:rsidR="0013440B">
        <w:rPr>
          <w:rFonts w:ascii="Verdana" w:hAnsi="Verdana"/>
          <w:sz w:val="20"/>
          <w:szCs w:val="20"/>
        </w:rPr>
        <w:t>there are specific pockets of stress in some parts of the a</w:t>
      </w:r>
      <w:r>
        <w:rPr>
          <w:rFonts w:ascii="Verdana" w:hAnsi="Verdana"/>
          <w:sz w:val="20"/>
          <w:szCs w:val="20"/>
        </w:rPr>
        <w:t>ward</w:t>
      </w:r>
      <w:r>
        <w:rPr>
          <w:rFonts w:ascii="Verdana" w:hAnsi="Verdana"/>
          <w:sz w:val="20"/>
          <w:szCs w:val="20"/>
        </w:rPr>
        <w:noBreakHyphen/>
      </w:r>
      <w:r w:rsidR="0013440B">
        <w:rPr>
          <w:rFonts w:ascii="Verdana" w:hAnsi="Verdana"/>
          <w:sz w:val="20"/>
          <w:szCs w:val="20"/>
        </w:rPr>
        <w:t>reliant industries</w:t>
      </w:r>
      <w:r w:rsidR="00F3379B">
        <w:rPr>
          <w:rFonts w:ascii="Verdana" w:hAnsi="Verdana"/>
          <w:sz w:val="20"/>
          <w:szCs w:val="20"/>
        </w:rPr>
        <w:t xml:space="preserve">.  For example: </w:t>
      </w:r>
    </w:p>
    <w:p w:rsidR="0013440B" w:rsidRDefault="00340A96" w:rsidP="009F2F00">
      <w:pPr>
        <w:pStyle w:val="ListParagraph"/>
      </w:pPr>
      <w:r>
        <w:t>C</w:t>
      </w:r>
      <w:r w:rsidR="0013440B">
        <w:t>ompany gross operat</w:t>
      </w:r>
      <w:r w:rsidR="00BE1AE8">
        <w:t>ing profits fell by more than 15</w:t>
      </w:r>
      <w:r w:rsidR="0013440B">
        <w:t xml:space="preserve"> per cent in the </w:t>
      </w:r>
      <w:r w:rsidR="00BE1AE8">
        <w:rPr>
          <w:i/>
        </w:rPr>
        <w:t xml:space="preserve">other services </w:t>
      </w:r>
      <w:r w:rsidR="0013440B">
        <w:t>industry</w:t>
      </w:r>
      <w:r>
        <w:t>.</w:t>
      </w:r>
    </w:p>
    <w:p w:rsidR="0013440B" w:rsidRPr="0013440B" w:rsidRDefault="00340A96" w:rsidP="009F2F00">
      <w:pPr>
        <w:pStyle w:val="ListParagraph"/>
      </w:pPr>
      <w:r>
        <w:t>E</w:t>
      </w:r>
      <w:r w:rsidR="0013440B">
        <w:t xml:space="preserve">mployment in the </w:t>
      </w:r>
      <w:r w:rsidR="0013440B" w:rsidRPr="0013440B">
        <w:rPr>
          <w:i/>
        </w:rPr>
        <w:t>administrative and support services</w:t>
      </w:r>
      <w:r w:rsidR="0013440B">
        <w:t xml:space="preserve"> industry fell by 7.4 per cent</w:t>
      </w:r>
      <w:r>
        <w:t>.</w:t>
      </w:r>
    </w:p>
    <w:p w:rsidR="001D5F84" w:rsidRDefault="004D4C4F" w:rsidP="009F2F00">
      <w:pPr>
        <w:pStyle w:val="ListParagraph"/>
      </w:pPr>
      <w:r w:rsidRPr="009F2F00">
        <w:rPr>
          <w:i/>
        </w:rPr>
        <w:t>Administrative and support services</w:t>
      </w:r>
      <w:r>
        <w:t xml:space="preserve"> and </w:t>
      </w:r>
      <w:r w:rsidRPr="009F2F00">
        <w:rPr>
          <w:i/>
        </w:rPr>
        <w:t>Other services</w:t>
      </w:r>
      <w:r>
        <w:t xml:space="preserve"> industries are performing much weaker than the broader economy</w:t>
      </w:r>
      <w:r w:rsidR="00BE1AE8">
        <w:t xml:space="preserve"> on a gross value added basis</w:t>
      </w:r>
      <w:r>
        <w:t>.</w:t>
      </w:r>
    </w:p>
    <w:p w:rsidR="00FA5720" w:rsidRDefault="00340A96" w:rsidP="00F87321">
      <w:pPr>
        <w:rPr>
          <w:rFonts w:ascii="Verdana" w:hAnsi="Verdana"/>
          <w:sz w:val="20"/>
          <w:szCs w:val="20"/>
        </w:rPr>
      </w:pPr>
      <w:r>
        <w:rPr>
          <w:rFonts w:ascii="Verdana" w:hAnsi="Verdana"/>
          <w:sz w:val="20"/>
          <w:szCs w:val="20"/>
        </w:rPr>
        <w:t>D</w:t>
      </w:r>
      <w:r w:rsidR="00985487">
        <w:rPr>
          <w:rFonts w:ascii="Verdana" w:hAnsi="Verdana"/>
          <w:sz w:val="20"/>
          <w:szCs w:val="20"/>
        </w:rPr>
        <w:t>ata relating to the award-reliant industries should temper the Panel’s assessment to the extent that more positive indicators</w:t>
      </w:r>
      <w:r w:rsidR="00B0239E">
        <w:rPr>
          <w:rFonts w:ascii="Verdana" w:hAnsi="Verdana"/>
          <w:sz w:val="20"/>
          <w:szCs w:val="20"/>
        </w:rPr>
        <w:t xml:space="preserve"> in the broader economy</w:t>
      </w:r>
      <w:r w:rsidR="00985487">
        <w:rPr>
          <w:rFonts w:ascii="Verdana" w:hAnsi="Verdana"/>
          <w:sz w:val="20"/>
          <w:szCs w:val="20"/>
        </w:rPr>
        <w:t>, such as an improvement of business profits, might otherwise suggest capacity to deliver minimum wage increases.</w:t>
      </w:r>
    </w:p>
    <w:p w:rsidR="001A5E3A" w:rsidRDefault="001A5E3A">
      <w:pPr>
        <w:rPr>
          <w:rFonts w:ascii="Verdana" w:eastAsiaTheme="majorEastAsia" w:hAnsi="Verdana" w:cstheme="majorBidi"/>
          <w:bCs/>
          <w:color w:val="808080" w:themeColor="background1" w:themeShade="80"/>
          <w:sz w:val="26"/>
          <w:szCs w:val="26"/>
        </w:rPr>
      </w:pPr>
      <w:r w:rsidRPr="002D2940">
        <w:rPr>
          <w:rFonts w:ascii="Verdana" w:eastAsiaTheme="majorEastAsia" w:hAnsi="Verdana" w:cstheme="majorBidi"/>
          <w:iCs/>
          <w:color w:val="808080" w:themeColor="background1" w:themeShade="80"/>
          <w:spacing w:val="15"/>
          <w:sz w:val="28"/>
          <w:szCs w:val="28"/>
        </w:rPr>
        <w:t xml:space="preserve">Survey data on </w:t>
      </w:r>
      <w:r w:rsidR="00940C4D">
        <w:rPr>
          <w:rFonts w:ascii="Verdana" w:eastAsiaTheme="majorEastAsia" w:hAnsi="Verdana" w:cstheme="majorBidi"/>
          <w:iCs/>
          <w:color w:val="808080" w:themeColor="background1" w:themeShade="80"/>
          <w:spacing w:val="15"/>
          <w:sz w:val="28"/>
          <w:szCs w:val="28"/>
        </w:rPr>
        <w:t xml:space="preserve">business responses to varying </w:t>
      </w:r>
      <w:r w:rsidRPr="002D2940">
        <w:rPr>
          <w:rFonts w:ascii="Verdana" w:eastAsiaTheme="majorEastAsia" w:hAnsi="Verdana" w:cstheme="majorBidi"/>
          <w:iCs/>
          <w:color w:val="808080" w:themeColor="background1" w:themeShade="80"/>
          <w:spacing w:val="15"/>
          <w:sz w:val="28"/>
          <w:szCs w:val="28"/>
        </w:rPr>
        <w:t>minimum wage increases</w:t>
      </w:r>
    </w:p>
    <w:p w:rsidR="002A716B" w:rsidRDefault="004550E0" w:rsidP="009E7A99">
      <w:pPr>
        <w:rPr>
          <w:rFonts w:ascii="Verdana" w:hAnsi="Verdana"/>
          <w:sz w:val="20"/>
          <w:szCs w:val="20"/>
        </w:rPr>
      </w:pPr>
      <w:r>
        <w:rPr>
          <w:rFonts w:ascii="Verdana" w:hAnsi="Verdana"/>
          <w:sz w:val="20"/>
          <w:szCs w:val="20"/>
        </w:rPr>
        <w:t>NSWBC</w:t>
      </w:r>
      <w:r w:rsidR="004C0DF9">
        <w:rPr>
          <w:rFonts w:ascii="Verdana" w:hAnsi="Verdana"/>
          <w:sz w:val="20"/>
          <w:szCs w:val="20"/>
        </w:rPr>
        <w:t xml:space="preserve"> conducts a quarterly Business Conditions Survey</w:t>
      </w:r>
      <w:r w:rsidR="0046558B">
        <w:rPr>
          <w:rStyle w:val="FootnoteReference"/>
          <w:rFonts w:ascii="Verdana" w:hAnsi="Verdana"/>
          <w:sz w:val="20"/>
          <w:szCs w:val="20"/>
        </w:rPr>
        <w:footnoteReference w:id="16"/>
      </w:r>
      <w:r w:rsidR="004C0DF9">
        <w:rPr>
          <w:rFonts w:ascii="Verdana" w:hAnsi="Verdana"/>
          <w:sz w:val="20"/>
          <w:szCs w:val="20"/>
        </w:rPr>
        <w:t xml:space="preserve"> to assess the economic environment </w:t>
      </w:r>
      <w:r>
        <w:rPr>
          <w:rFonts w:ascii="Verdana" w:hAnsi="Verdana"/>
          <w:sz w:val="20"/>
          <w:szCs w:val="20"/>
        </w:rPr>
        <w:t xml:space="preserve">facing </w:t>
      </w:r>
      <w:r w:rsidR="004C0DF9">
        <w:rPr>
          <w:rFonts w:ascii="Verdana" w:hAnsi="Verdana"/>
          <w:sz w:val="20"/>
          <w:szCs w:val="20"/>
        </w:rPr>
        <w:t>its members.</w:t>
      </w:r>
      <w:r w:rsidR="005E6731">
        <w:rPr>
          <w:rStyle w:val="FootnoteReference"/>
          <w:rFonts w:ascii="Verdana" w:hAnsi="Verdana"/>
          <w:sz w:val="20"/>
          <w:szCs w:val="20"/>
        </w:rPr>
        <w:footnoteReference w:id="17"/>
      </w:r>
      <w:r w:rsidR="004C0DF9">
        <w:rPr>
          <w:rFonts w:ascii="Verdana" w:hAnsi="Verdana"/>
          <w:sz w:val="20"/>
          <w:szCs w:val="20"/>
        </w:rPr>
        <w:t xml:space="preserve">  </w:t>
      </w:r>
    </w:p>
    <w:p w:rsidR="0049263E" w:rsidRDefault="0049263E" w:rsidP="0049263E">
      <w:pPr>
        <w:rPr>
          <w:rFonts w:ascii="Verdana" w:hAnsi="Verdana"/>
          <w:sz w:val="20"/>
          <w:szCs w:val="20"/>
        </w:rPr>
      </w:pPr>
      <w:r>
        <w:rPr>
          <w:rFonts w:ascii="Verdana" w:hAnsi="Verdana"/>
          <w:sz w:val="20"/>
          <w:szCs w:val="20"/>
        </w:rPr>
        <w:t>ABI notes the Panel’s previous statements about the challenges of using survey data.</w:t>
      </w:r>
      <w:r>
        <w:rPr>
          <w:rStyle w:val="FootnoteReference"/>
          <w:rFonts w:ascii="Verdana" w:hAnsi="Verdana"/>
          <w:sz w:val="20"/>
          <w:szCs w:val="20"/>
        </w:rPr>
        <w:footnoteReference w:id="18"/>
      </w:r>
      <w:r>
        <w:rPr>
          <w:rFonts w:ascii="Verdana" w:hAnsi="Verdana"/>
          <w:sz w:val="20"/>
          <w:szCs w:val="20"/>
        </w:rPr>
        <w:t xml:space="preserve">  As it did in its submission to the 2016-17 AWR, ABI acknowledges that </w:t>
      </w:r>
      <w:r w:rsidR="00340A96">
        <w:rPr>
          <w:rFonts w:ascii="Verdana" w:hAnsi="Verdana"/>
          <w:sz w:val="20"/>
          <w:szCs w:val="20"/>
        </w:rPr>
        <w:t xml:space="preserve">responses </w:t>
      </w:r>
      <w:r>
        <w:rPr>
          <w:rFonts w:ascii="Verdana" w:hAnsi="Verdana"/>
          <w:sz w:val="20"/>
          <w:szCs w:val="20"/>
        </w:rPr>
        <w:t xml:space="preserve">to the NSWBC’s Business Conditions Survey </w:t>
      </w:r>
      <w:r w:rsidR="00B707A9">
        <w:rPr>
          <w:rFonts w:ascii="Verdana" w:hAnsi="Verdana"/>
          <w:sz w:val="20"/>
          <w:szCs w:val="20"/>
        </w:rPr>
        <w:t>are</w:t>
      </w:r>
      <w:r>
        <w:rPr>
          <w:rFonts w:ascii="Verdana" w:hAnsi="Verdana"/>
          <w:sz w:val="20"/>
          <w:szCs w:val="20"/>
        </w:rPr>
        <w:t xml:space="preserve"> not </w:t>
      </w:r>
      <w:r w:rsidR="00340A96">
        <w:rPr>
          <w:rFonts w:ascii="Verdana" w:hAnsi="Verdana"/>
          <w:sz w:val="20"/>
          <w:szCs w:val="20"/>
        </w:rPr>
        <w:t xml:space="preserve">completely </w:t>
      </w:r>
      <w:r>
        <w:rPr>
          <w:rFonts w:ascii="Verdana" w:hAnsi="Verdana"/>
          <w:sz w:val="20"/>
          <w:szCs w:val="20"/>
        </w:rPr>
        <w:t>representative of the Australian business population due to geographic reach but again notes that the survey provides anecdotal evidence, at least at the firm level, as to how businesses respond to minimum wage increases.</w:t>
      </w:r>
    </w:p>
    <w:p w:rsidR="002A716B" w:rsidRDefault="002A716B" w:rsidP="002A716B">
      <w:pPr>
        <w:rPr>
          <w:rFonts w:ascii="Verdana" w:hAnsi="Verdana"/>
          <w:sz w:val="20"/>
          <w:szCs w:val="20"/>
        </w:rPr>
      </w:pPr>
      <w:r>
        <w:rPr>
          <w:rFonts w:ascii="Verdana" w:hAnsi="Verdana"/>
          <w:sz w:val="20"/>
          <w:szCs w:val="20"/>
        </w:rPr>
        <w:t>ABI notes the Panel’s</w:t>
      </w:r>
      <w:r w:rsidR="0049263E">
        <w:rPr>
          <w:rFonts w:ascii="Verdana" w:hAnsi="Verdana"/>
          <w:sz w:val="20"/>
          <w:szCs w:val="20"/>
        </w:rPr>
        <w:t xml:space="preserve"> specific</w:t>
      </w:r>
      <w:r>
        <w:rPr>
          <w:rFonts w:ascii="Verdana" w:hAnsi="Verdana"/>
          <w:sz w:val="20"/>
          <w:szCs w:val="20"/>
        </w:rPr>
        <w:t xml:space="preserve"> feedback </w:t>
      </w:r>
      <w:r w:rsidR="0049263E">
        <w:rPr>
          <w:rFonts w:ascii="Verdana" w:hAnsi="Verdana"/>
          <w:sz w:val="20"/>
          <w:szCs w:val="20"/>
        </w:rPr>
        <w:t>on</w:t>
      </w:r>
      <w:r>
        <w:rPr>
          <w:rFonts w:ascii="Verdana" w:hAnsi="Verdana"/>
          <w:sz w:val="20"/>
          <w:szCs w:val="20"/>
        </w:rPr>
        <w:t xml:space="preserve"> survey results presented as part of ABI’s submission to the 2016-17 AWR.</w:t>
      </w:r>
      <w:r>
        <w:rPr>
          <w:rStyle w:val="FootnoteReference"/>
          <w:rFonts w:ascii="Verdana" w:hAnsi="Verdana"/>
          <w:sz w:val="20"/>
          <w:szCs w:val="20"/>
        </w:rPr>
        <w:footnoteReference w:id="19"/>
      </w:r>
      <w:r>
        <w:rPr>
          <w:rFonts w:ascii="Verdana" w:hAnsi="Verdana"/>
          <w:sz w:val="20"/>
          <w:szCs w:val="20"/>
        </w:rPr>
        <w:t xml:space="preserve">  The survey question presented in the submission invited respondents to indicate how their firm would respond to minimum wage increases of varying magnitudes.  The Panel noted deficiencies in this approach because it relate</w:t>
      </w:r>
      <w:r w:rsidR="00340A96">
        <w:rPr>
          <w:rFonts w:ascii="Verdana" w:hAnsi="Verdana"/>
          <w:sz w:val="20"/>
          <w:szCs w:val="20"/>
        </w:rPr>
        <w:t>s</w:t>
      </w:r>
      <w:r>
        <w:rPr>
          <w:rFonts w:ascii="Verdana" w:hAnsi="Verdana"/>
          <w:sz w:val="20"/>
          <w:szCs w:val="20"/>
        </w:rPr>
        <w:t xml:space="preserve"> to business’ </w:t>
      </w:r>
      <w:r w:rsidR="000F12B4">
        <w:rPr>
          <w:rFonts w:ascii="Verdana" w:hAnsi="Verdana"/>
          <w:sz w:val="20"/>
          <w:szCs w:val="20"/>
        </w:rPr>
        <w:t>p</w:t>
      </w:r>
      <w:r>
        <w:rPr>
          <w:rFonts w:ascii="Verdana" w:hAnsi="Verdana"/>
          <w:sz w:val="20"/>
          <w:szCs w:val="20"/>
        </w:rPr>
        <w:t>erceptions of how they will respond to future events rather than how they responded to an actual minimum wage increase.</w:t>
      </w:r>
      <w:r>
        <w:rPr>
          <w:rStyle w:val="FootnoteReference"/>
          <w:rFonts w:ascii="Verdana" w:hAnsi="Verdana"/>
          <w:sz w:val="20"/>
          <w:szCs w:val="20"/>
        </w:rPr>
        <w:footnoteReference w:id="20"/>
      </w:r>
    </w:p>
    <w:p w:rsidR="003F1439" w:rsidRDefault="003F1439" w:rsidP="003F1439">
      <w:pPr>
        <w:rPr>
          <w:rFonts w:ascii="Verdana" w:hAnsi="Verdana"/>
          <w:sz w:val="20"/>
          <w:szCs w:val="20"/>
        </w:rPr>
      </w:pPr>
      <w:r>
        <w:rPr>
          <w:rFonts w:ascii="Verdana" w:hAnsi="Verdana"/>
          <w:sz w:val="20"/>
          <w:szCs w:val="20"/>
        </w:rPr>
        <w:lastRenderedPageBreak/>
        <w:t>In the light of this, NSWBC posed a</w:t>
      </w:r>
      <w:r w:rsidR="002A716B">
        <w:rPr>
          <w:rFonts w:ascii="Verdana" w:hAnsi="Verdana"/>
          <w:sz w:val="20"/>
          <w:szCs w:val="20"/>
        </w:rPr>
        <w:t xml:space="preserve"> question </w:t>
      </w:r>
      <w:r>
        <w:rPr>
          <w:rFonts w:ascii="Verdana" w:hAnsi="Verdana"/>
          <w:sz w:val="20"/>
          <w:szCs w:val="20"/>
        </w:rPr>
        <w:t>which asked respondents to indicate how</w:t>
      </w:r>
      <w:r w:rsidR="002A716B">
        <w:rPr>
          <w:rFonts w:ascii="Verdana" w:hAnsi="Verdana"/>
          <w:sz w:val="20"/>
          <w:szCs w:val="20"/>
        </w:rPr>
        <w:t xml:space="preserve"> the 3.3 per cent increase </w:t>
      </w:r>
      <w:r w:rsidR="00063759">
        <w:rPr>
          <w:rFonts w:ascii="Verdana" w:hAnsi="Verdana"/>
          <w:sz w:val="20"/>
          <w:szCs w:val="20"/>
        </w:rPr>
        <w:t xml:space="preserve">commencing </w:t>
      </w:r>
      <w:r w:rsidR="002A716B">
        <w:rPr>
          <w:rFonts w:ascii="Verdana" w:hAnsi="Verdana"/>
          <w:sz w:val="20"/>
          <w:szCs w:val="20"/>
        </w:rPr>
        <w:t>1 July 2017</w:t>
      </w:r>
      <w:r>
        <w:rPr>
          <w:rFonts w:ascii="Verdana" w:hAnsi="Verdana"/>
          <w:sz w:val="20"/>
          <w:szCs w:val="20"/>
        </w:rPr>
        <w:t xml:space="preserve"> impacted their business</w:t>
      </w:r>
      <w:r w:rsidR="002A716B">
        <w:rPr>
          <w:rFonts w:ascii="Verdana" w:hAnsi="Verdana"/>
          <w:sz w:val="20"/>
          <w:szCs w:val="20"/>
        </w:rPr>
        <w:t xml:space="preserve">.  </w:t>
      </w:r>
      <w:r>
        <w:rPr>
          <w:rFonts w:ascii="Verdana" w:hAnsi="Verdana"/>
          <w:sz w:val="20"/>
          <w:szCs w:val="20"/>
        </w:rPr>
        <w:t>This question was asked only of businesses that indicated they e</w:t>
      </w:r>
      <w:r w:rsidR="00063759">
        <w:rPr>
          <w:rFonts w:ascii="Verdana" w:hAnsi="Verdana"/>
          <w:sz w:val="20"/>
          <w:szCs w:val="20"/>
        </w:rPr>
        <w:t xml:space="preserve">ngaged </w:t>
      </w:r>
      <w:r>
        <w:rPr>
          <w:rFonts w:ascii="Verdana" w:hAnsi="Verdana"/>
          <w:sz w:val="20"/>
          <w:szCs w:val="20"/>
        </w:rPr>
        <w:t>employee</w:t>
      </w:r>
      <w:r w:rsidRPr="004C0DF9">
        <w:rPr>
          <w:rFonts w:ascii="Verdana" w:hAnsi="Verdana"/>
          <w:sz w:val="20"/>
          <w:szCs w:val="20"/>
        </w:rPr>
        <w:t>s whose wages are affected by changes to the minimum wage</w:t>
      </w:r>
      <w:r>
        <w:rPr>
          <w:rFonts w:ascii="Verdana" w:hAnsi="Verdana"/>
          <w:sz w:val="20"/>
          <w:szCs w:val="20"/>
        </w:rPr>
        <w:t xml:space="preserve">.  Demographics of these survey respondents are indicated at </w:t>
      </w:r>
      <w:r w:rsidRPr="002D2940">
        <w:rPr>
          <w:rFonts w:ascii="Verdana" w:hAnsi="Verdana"/>
          <w:b/>
          <w:sz w:val="20"/>
          <w:szCs w:val="20"/>
        </w:rPr>
        <w:t>Attachment A</w:t>
      </w:r>
      <w:r>
        <w:rPr>
          <w:rFonts w:ascii="Verdana" w:hAnsi="Verdana"/>
          <w:sz w:val="20"/>
          <w:szCs w:val="20"/>
        </w:rPr>
        <w:t>.</w:t>
      </w:r>
    </w:p>
    <w:p w:rsidR="00AC6F4A" w:rsidRDefault="002A716B" w:rsidP="002A716B">
      <w:pPr>
        <w:rPr>
          <w:rFonts w:ascii="Verdana" w:hAnsi="Verdana"/>
          <w:sz w:val="20"/>
          <w:szCs w:val="20"/>
        </w:rPr>
      </w:pPr>
      <w:r>
        <w:rPr>
          <w:rFonts w:ascii="Verdana" w:hAnsi="Verdana"/>
          <w:sz w:val="20"/>
          <w:szCs w:val="20"/>
        </w:rPr>
        <w:t xml:space="preserve">A total of 22.4 per cent indicated negative impacts, including 5.6 per cent that indicated their viability was harmed and that they have or are considering scaling down their operations (Table </w:t>
      </w:r>
      <w:r w:rsidR="00E550BF">
        <w:rPr>
          <w:rFonts w:ascii="Verdana" w:hAnsi="Verdana"/>
          <w:sz w:val="20"/>
          <w:szCs w:val="20"/>
        </w:rPr>
        <w:t>5</w:t>
      </w:r>
      <w:r>
        <w:rPr>
          <w:rFonts w:ascii="Verdana" w:hAnsi="Verdana"/>
          <w:sz w:val="20"/>
          <w:szCs w:val="20"/>
        </w:rPr>
        <w:t xml:space="preserve"> refers).</w:t>
      </w:r>
      <w:r w:rsidR="003F1439">
        <w:rPr>
          <w:rFonts w:ascii="Verdana" w:hAnsi="Verdana"/>
          <w:sz w:val="20"/>
          <w:szCs w:val="20"/>
        </w:rPr>
        <w:t xml:space="preserve">  These results </w:t>
      </w:r>
      <w:r w:rsidR="006067BA">
        <w:rPr>
          <w:rFonts w:ascii="Verdana" w:hAnsi="Verdana"/>
          <w:sz w:val="20"/>
          <w:szCs w:val="20"/>
        </w:rPr>
        <w:t>indicate substantial negative impacts when viewed</w:t>
      </w:r>
      <w:r w:rsidR="003F1439">
        <w:rPr>
          <w:rFonts w:ascii="Verdana" w:hAnsi="Verdana"/>
          <w:sz w:val="20"/>
          <w:szCs w:val="20"/>
        </w:rPr>
        <w:t xml:space="preserve"> within the context of the magnitude of the minimum wage increase.  </w:t>
      </w:r>
      <w:r w:rsidR="00AC6F4A">
        <w:rPr>
          <w:rFonts w:ascii="Verdana" w:hAnsi="Verdana"/>
          <w:sz w:val="20"/>
          <w:szCs w:val="20"/>
        </w:rPr>
        <w:t>I</w:t>
      </w:r>
      <w:r w:rsidR="003F1439">
        <w:rPr>
          <w:rFonts w:ascii="Verdana" w:hAnsi="Verdana"/>
          <w:sz w:val="20"/>
          <w:szCs w:val="20"/>
        </w:rPr>
        <w:t xml:space="preserve">f </w:t>
      </w:r>
      <w:r w:rsidR="007905B3">
        <w:rPr>
          <w:rFonts w:ascii="Verdana" w:hAnsi="Verdana"/>
          <w:sz w:val="20"/>
          <w:szCs w:val="20"/>
        </w:rPr>
        <w:t xml:space="preserve">part of the purpose of delivering a larger minimum wage increase is to increase overall remuneration to award-reliant </w:t>
      </w:r>
      <w:r w:rsidR="00180DF1">
        <w:rPr>
          <w:rFonts w:ascii="Verdana" w:hAnsi="Verdana"/>
          <w:sz w:val="20"/>
          <w:szCs w:val="20"/>
        </w:rPr>
        <w:t>employees</w:t>
      </w:r>
      <w:r w:rsidR="007905B3">
        <w:rPr>
          <w:rFonts w:ascii="Verdana" w:hAnsi="Verdana"/>
          <w:sz w:val="20"/>
          <w:szCs w:val="20"/>
        </w:rPr>
        <w:t xml:space="preserve"> then both price and quantity effects need to be considered.  With the </w:t>
      </w:r>
      <w:r w:rsidR="00834B5F">
        <w:rPr>
          <w:rFonts w:ascii="Verdana" w:hAnsi="Verdana"/>
          <w:sz w:val="20"/>
          <w:szCs w:val="20"/>
        </w:rPr>
        <w:t xml:space="preserve">proportion </w:t>
      </w:r>
      <w:r w:rsidR="007905B3">
        <w:rPr>
          <w:rFonts w:ascii="Verdana" w:hAnsi="Verdana"/>
          <w:sz w:val="20"/>
          <w:szCs w:val="20"/>
        </w:rPr>
        <w:t xml:space="preserve">of businesses reporting negative impacts </w:t>
      </w:r>
      <w:r w:rsidR="00834B5F">
        <w:rPr>
          <w:rFonts w:ascii="Verdana" w:hAnsi="Verdana"/>
          <w:sz w:val="20"/>
          <w:szCs w:val="20"/>
        </w:rPr>
        <w:t>significantly higher than the per</w:t>
      </w:r>
      <w:r w:rsidR="004018F4">
        <w:rPr>
          <w:rFonts w:ascii="Verdana" w:hAnsi="Verdana"/>
          <w:sz w:val="20"/>
          <w:szCs w:val="20"/>
        </w:rPr>
        <w:t>c</w:t>
      </w:r>
      <w:r w:rsidR="00834B5F">
        <w:rPr>
          <w:rFonts w:ascii="Verdana" w:hAnsi="Verdana"/>
          <w:sz w:val="20"/>
          <w:szCs w:val="20"/>
        </w:rPr>
        <w:t xml:space="preserve">entage increase to the </w:t>
      </w:r>
      <w:r w:rsidR="007905B3">
        <w:rPr>
          <w:rFonts w:ascii="Verdana" w:hAnsi="Verdana"/>
          <w:sz w:val="20"/>
          <w:szCs w:val="20"/>
        </w:rPr>
        <w:t xml:space="preserve">minimum wage, </w:t>
      </w:r>
      <w:r w:rsidR="00834B5F">
        <w:rPr>
          <w:rFonts w:ascii="Verdana" w:hAnsi="Verdana"/>
          <w:sz w:val="20"/>
          <w:szCs w:val="20"/>
        </w:rPr>
        <w:t>the survey results provide evidence of a</w:t>
      </w:r>
      <w:r w:rsidR="007905B3">
        <w:rPr>
          <w:rFonts w:ascii="Verdana" w:hAnsi="Verdana"/>
          <w:sz w:val="20"/>
          <w:szCs w:val="20"/>
        </w:rPr>
        <w:t xml:space="preserve"> </w:t>
      </w:r>
      <w:r w:rsidR="00E17C57">
        <w:rPr>
          <w:rFonts w:ascii="Verdana" w:hAnsi="Verdana"/>
          <w:sz w:val="20"/>
          <w:szCs w:val="20"/>
        </w:rPr>
        <w:t>substantial negative quantity effect</w:t>
      </w:r>
      <w:r w:rsidR="007905B3">
        <w:rPr>
          <w:rFonts w:ascii="Verdana" w:hAnsi="Verdana"/>
          <w:sz w:val="20"/>
          <w:szCs w:val="20"/>
        </w:rPr>
        <w:t>.</w:t>
      </w:r>
      <w:r w:rsidR="006E1771">
        <w:rPr>
          <w:rFonts w:ascii="Verdana" w:hAnsi="Verdana"/>
          <w:sz w:val="20"/>
          <w:szCs w:val="20"/>
        </w:rPr>
        <w:t xml:space="preserve">  </w:t>
      </w:r>
      <w:r w:rsidR="00E17C57">
        <w:rPr>
          <w:rFonts w:ascii="Verdana" w:hAnsi="Verdana"/>
          <w:sz w:val="20"/>
          <w:szCs w:val="20"/>
        </w:rPr>
        <w:t>This is consistent with the possibility that</w:t>
      </w:r>
      <w:r w:rsidR="006E1771">
        <w:rPr>
          <w:rFonts w:ascii="Verdana" w:hAnsi="Verdana"/>
          <w:sz w:val="20"/>
          <w:szCs w:val="20"/>
        </w:rPr>
        <w:t xml:space="preserve"> the additional wages to employees may be less than lost wages due to disemployment</w:t>
      </w:r>
      <w:r w:rsidR="00E35839">
        <w:rPr>
          <w:rStyle w:val="FootnoteReference"/>
          <w:rFonts w:ascii="Verdana" w:hAnsi="Verdana"/>
          <w:sz w:val="20"/>
          <w:szCs w:val="20"/>
        </w:rPr>
        <w:footnoteReference w:id="21"/>
      </w:r>
      <w:r w:rsidR="006E1771">
        <w:rPr>
          <w:rFonts w:ascii="Verdana" w:hAnsi="Verdana"/>
          <w:sz w:val="20"/>
          <w:szCs w:val="20"/>
        </w:rPr>
        <w:t xml:space="preserve"> effects.</w:t>
      </w:r>
      <w:r w:rsidR="000F2E19">
        <w:rPr>
          <w:rFonts w:ascii="Verdana" w:hAnsi="Verdana"/>
          <w:sz w:val="20"/>
          <w:szCs w:val="20"/>
        </w:rPr>
        <w:t xml:space="preserve">  With 5.6 </w:t>
      </w:r>
      <w:r w:rsidR="007905B3">
        <w:rPr>
          <w:rFonts w:ascii="Verdana" w:hAnsi="Verdana"/>
          <w:sz w:val="20"/>
          <w:szCs w:val="20"/>
        </w:rPr>
        <w:t xml:space="preserve">per cent indicating that viability was harmed, this holds even if a conservative view of the results is taken.  </w:t>
      </w:r>
    </w:p>
    <w:p w:rsidR="0049263E" w:rsidRDefault="00E37E3E" w:rsidP="003F1439">
      <w:pPr>
        <w:rPr>
          <w:rFonts w:ascii="Verdana" w:hAnsi="Verdana"/>
          <w:sz w:val="20"/>
          <w:szCs w:val="20"/>
        </w:rPr>
      </w:pPr>
      <w:r>
        <w:rPr>
          <w:rFonts w:ascii="Verdana" w:hAnsi="Verdana"/>
          <w:sz w:val="20"/>
          <w:szCs w:val="20"/>
        </w:rPr>
        <w:t>ABI notes</w:t>
      </w:r>
      <w:r w:rsidR="003F1439">
        <w:rPr>
          <w:rFonts w:ascii="Verdana" w:hAnsi="Verdana"/>
          <w:sz w:val="20"/>
          <w:szCs w:val="20"/>
        </w:rPr>
        <w:t xml:space="preserve"> the survey question was asked in December 2017 and so businesses had less than 6 months operating </w:t>
      </w:r>
      <w:r>
        <w:rPr>
          <w:rFonts w:ascii="Verdana" w:hAnsi="Verdana"/>
          <w:sz w:val="20"/>
          <w:szCs w:val="20"/>
        </w:rPr>
        <w:t xml:space="preserve">under the 3.3 per cent increase. </w:t>
      </w:r>
      <w:r w:rsidR="003F1439">
        <w:rPr>
          <w:rFonts w:ascii="Verdana" w:hAnsi="Verdana"/>
          <w:sz w:val="20"/>
          <w:szCs w:val="20"/>
        </w:rPr>
        <w:t xml:space="preserve"> </w:t>
      </w:r>
      <w:r>
        <w:rPr>
          <w:rFonts w:ascii="Verdana" w:hAnsi="Verdana"/>
          <w:sz w:val="20"/>
          <w:szCs w:val="20"/>
        </w:rPr>
        <w:t>I</w:t>
      </w:r>
      <w:r w:rsidR="003F1439">
        <w:rPr>
          <w:rFonts w:ascii="Verdana" w:hAnsi="Verdana"/>
          <w:sz w:val="20"/>
          <w:szCs w:val="20"/>
        </w:rPr>
        <w:t>t is plausible that additional survey respondents would have indicated negative impacts if they had a longer period in which to observe how the change impacted their business.</w:t>
      </w:r>
      <w:r>
        <w:rPr>
          <w:rFonts w:ascii="Verdana" w:hAnsi="Verdana"/>
          <w:sz w:val="20"/>
          <w:szCs w:val="20"/>
        </w:rPr>
        <w:t xml:space="preserve">  In addition, responses related to</w:t>
      </w:r>
      <w:r w:rsidR="0049263E">
        <w:rPr>
          <w:rFonts w:ascii="Verdana" w:hAnsi="Verdana"/>
          <w:sz w:val="20"/>
          <w:szCs w:val="20"/>
        </w:rPr>
        <w:t xml:space="preserve"> the impact on total staffing levels so the concentrated impact on award-reliant </w:t>
      </w:r>
      <w:r w:rsidR="00180DF1">
        <w:rPr>
          <w:rFonts w:ascii="Verdana" w:hAnsi="Verdana"/>
          <w:sz w:val="20"/>
          <w:szCs w:val="20"/>
        </w:rPr>
        <w:t>employees</w:t>
      </w:r>
      <w:r w:rsidR="0049263E">
        <w:rPr>
          <w:rFonts w:ascii="Verdana" w:hAnsi="Verdana"/>
          <w:sz w:val="20"/>
          <w:szCs w:val="20"/>
        </w:rPr>
        <w:t xml:space="preserve"> may be higher than these results suggest.</w:t>
      </w:r>
    </w:p>
    <w:p w:rsidR="002A716B" w:rsidRPr="00350128" w:rsidRDefault="002A716B" w:rsidP="002A716B">
      <w:pPr>
        <w:numPr>
          <w:ilvl w:val="1"/>
          <w:numId w:val="0"/>
        </w:numPr>
        <w:jc w:val="center"/>
        <w:rPr>
          <w:rFonts w:ascii="Verdana" w:eastAsiaTheme="majorEastAsia" w:hAnsi="Verdana" w:cstheme="majorBidi"/>
          <w:b/>
          <w:iCs/>
          <w:spacing w:val="15"/>
          <w:sz w:val="16"/>
          <w:szCs w:val="16"/>
        </w:rPr>
      </w:pPr>
      <w:r w:rsidRPr="002D2940">
        <w:rPr>
          <w:rFonts w:ascii="Verdana" w:eastAsiaTheme="majorEastAsia" w:hAnsi="Verdana" w:cstheme="majorBidi"/>
          <w:b/>
          <w:iCs/>
          <w:spacing w:val="15"/>
          <w:sz w:val="16"/>
          <w:szCs w:val="16"/>
        </w:rPr>
        <w:t xml:space="preserve">Table </w:t>
      </w:r>
      <w:r w:rsidR="00E550BF">
        <w:rPr>
          <w:rFonts w:ascii="Verdana" w:eastAsiaTheme="majorEastAsia" w:hAnsi="Verdana" w:cstheme="majorBidi"/>
          <w:b/>
          <w:iCs/>
          <w:spacing w:val="15"/>
          <w:sz w:val="16"/>
          <w:szCs w:val="16"/>
        </w:rPr>
        <w:t>5</w:t>
      </w:r>
      <w:r w:rsidRPr="002D2940">
        <w:rPr>
          <w:rFonts w:ascii="Verdana" w:eastAsiaTheme="majorEastAsia" w:hAnsi="Verdana" w:cstheme="majorBidi"/>
          <w:b/>
          <w:iCs/>
          <w:spacing w:val="15"/>
          <w:sz w:val="16"/>
          <w:szCs w:val="16"/>
        </w:rPr>
        <w:t xml:space="preserve"> – Survey results</w:t>
      </w:r>
    </w:p>
    <w:tbl>
      <w:tblPr>
        <w:tblStyle w:val="TableGrid"/>
        <w:tblW w:w="0" w:type="auto"/>
        <w:jc w:val="center"/>
        <w:tblLook w:val="04A0" w:firstRow="1" w:lastRow="0" w:firstColumn="1" w:lastColumn="0" w:noHBand="0" w:noVBand="1"/>
      </w:tblPr>
      <w:tblGrid>
        <w:gridCol w:w="8438"/>
        <w:gridCol w:w="924"/>
      </w:tblGrid>
      <w:tr w:rsidR="002A716B" w:rsidRPr="00781E45" w:rsidTr="00E4217D">
        <w:trPr>
          <w:trHeight w:val="285"/>
          <w:jc w:val="center"/>
        </w:trPr>
        <w:tc>
          <w:tcPr>
            <w:tcW w:w="9362" w:type="dxa"/>
            <w:gridSpan w:val="2"/>
            <w:shd w:val="clear" w:color="auto" w:fill="E36C0A" w:themeFill="accent6" w:themeFillShade="BF"/>
          </w:tcPr>
          <w:p w:rsidR="002A716B" w:rsidRPr="00B47E1A" w:rsidRDefault="002A716B" w:rsidP="00E4217D">
            <w:pPr>
              <w:jc w:val="center"/>
              <w:rPr>
                <w:rFonts w:ascii="Verdana" w:hAnsi="Verdana"/>
                <w:b/>
                <w:bCs/>
                <w:i/>
                <w:iCs/>
                <w:sz w:val="20"/>
                <w:szCs w:val="20"/>
              </w:rPr>
            </w:pPr>
            <w:r w:rsidRPr="00B47E1A">
              <w:rPr>
                <w:rFonts w:ascii="Verdana" w:hAnsi="Verdana"/>
                <w:b/>
                <w:bCs/>
                <w:i/>
                <w:iCs/>
                <w:sz w:val="20"/>
                <w:szCs w:val="20"/>
              </w:rPr>
              <w:t xml:space="preserve">On 1 July 2017 employees on the minimum wage were awarded a 3.3% increase.  How did this change impact your business? </w:t>
            </w:r>
            <w:r>
              <w:rPr>
                <w:rFonts w:ascii="Verdana" w:hAnsi="Verdana"/>
                <w:b/>
                <w:bCs/>
                <w:i/>
                <w:iCs/>
                <w:sz w:val="20"/>
                <w:szCs w:val="20"/>
              </w:rPr>
              <w:t>(n=179)</w:t>
            </w:r>
          </w:p>
        </w:tc>
      </w:tr>
      <w:tr w:rsidR="002A716B" w:rsidRPr="00781E45" w:rsidTr="00E4217D">
        <w:trPr>
          <w:trHeight w:val="285"/>
          <w:jc w:val="center"/>
        </w:trPr>
        <w:tc>
          <w:tcPr>
            <w:tcW w:w="8438" w:type="dxa"/>
          </w:tcPr>
          <w:p w:rsidR="002A716B" w:rsidRPr="00B47E1A" w:rsidRDefault="002A716B" w:rsidP="00E4217D">
            <w:pPr>
              <w:jc w:val="center"/>
              <w:rPr>
                <w:rFonts w:ascii="Verdana" w:hAnsi="Verdana"/>
                <w:b/>
                <w:bCs/>
                <w:i/>
                <w:iCs/>
                <w:sz w:val="20"/>
                <w:szCs w:val="20"/>
              </w:rPr>
            </w:pPr>
            <w:r>
              <w:rPr>
                <w:rFonts w:ascii="Verdana" w:hAnsi="Verdana"/>
                <w:b/>
                <w:bCs/>
                <w:i/>
                <w:iCs/>
                <w:sz w:val="20"/>
                <w:szCs w:val="20"/>
              </w:rPr>
              <w:t>Response</w:t>
            </w:r>
          </w:p>
        </w:tc>
        <w:tc>
          <w:tcPr>
            <w:tcW w:w="924" w:type="dxa"/>
          </w:tcPr>
          <w:p w:rsidR="002A716B" w:rsidRPr="00B47E1A" w:rsidRDefault="002A716B" w:rsidP="00E4217D">
            <w:pPr>
              <w:jc w:val="center"/>
              <w:rPr>
                <w:rFonts w:ascii="Verdana" w:hAnsi="Verdana"/>
                <w:b/>
                <w:bCs/>
                <w:i/>
                <w:iCs/>
                <w:sz w:val="20"/>
                <w:szCs w:val="20"/>
              </w:rPr>
            </w:pPr>
            <w:r>
              <w:rPr>
                <w:rFonts w:ascii="Verdana" w:hAnsi="Verdana"/>
                <w:b/>
                <w:bCs/>
                <w:i/>
                <w:iCs/>
                <w:sz w:val="20"/>
                <w:szCs w:val="20"/>
              </w:rPr>
              <w:t>%</w:t>
            </w:r>
          </w:p>
        </w:tc>
      </w:tr>
      <w:tr w:rsidR="002A716B" w:rsidRPr="00781E45" w:rsidTr="00E4217D">
        <w:trPr>
          <w:trHeight w:val="285"/>
          <w:jc w:val="center"/>
        </w:trPr>
        <w:tc>
          <w:tcPr>
            <w:tcW w:w="8438" w:type="dxa"/>
            <w:hideMark/>
          </w:tcPr>
          <w:p w:rsidR="002A716B" w:rsidRPr="00B47E1A" w:rsidRDefault="002A716B" w:rsidP="00E4217D">
            <w:pPr>
              <w:jc w:val="center"/>
              <w:rPr>
                <w:rFonts w:ascii="Verdana" w:hAnsi="Verdana"/>
                <w:bCs/>
                <w:i/>
                <w:iCs/>
                <w:sz w:val="20"/>
                <w:szCs w:val="20"/>
              </w:rPr>
            </w:pPr>
            <w:r w:rsidRPr="00B47E1A">
              <w:rPr>
                <w:rFonts w:ascii="Verdana" w:hAnsi="Verdana"/>
                <w:bCs/>
                <w:i/>
                <w:iCs/>
                <w:sz w:val="20"/>
                <w:szCs w:val="20"/>
              </w:rPr>
              <w:t>My business employed more employees or gave more hours than we had expected prior to the size of the increase being known</w:t>
            </w:r>
          </w:p>
        </w:tc>
        <w:tc>
          <w:tcPr>
            <w:tcW w:w="924" w:type="dxa"/>
            <w:hideMark/>
          </w:tcPr>
          <w:p w:rsidR="002A716B" w:rsidRPr="00E2006F" w:rsidRDefault="002A716B" w:rsidP="00E4217D">
            <w:pPr>
              <w:jc w:val="center"/>
              <w:rPr>
                <w:rFonts w:ascii="Verdana" w:hAnsi="Verdana"/>
                <w:bCs/>
                <w:i/>
                <w:iCs/>
                <w:sz w:val="20"/>
                <w:szCs w:val="20"/>
              </w:rPr>
            </w:pPr>
            <w:r w:rsidRPr="00E2006F">
              <w:rPr>
                <w:rFonts w:ascii="Verdana" w:hAnsi="Verdana"/>
                <w:bCs/>
                <w:i/>
                <w:iCs/>
                <w:sz w:val="20"/>
                <w:szCs w:val="20"/>
              </w:rPr>
              <w:t>3.4%</w:t>
            </w:r>
          </w:p>
        </w:tc>
      </w:tr>
      <w:tr w:rsidR="002A716B" w:rsidRPr="00781E45" w:rsidTr="00E4217D">
        <w:trPr>
          <w:trHeight w:val="285"/>
          <w:jc w:val="center"/>
        </w:trPr>
        <w:tc>
          <w:tcPr>
            <w:tcW w:w="8438" w:type="dxa"/>
            <w:hideMark/>
          </w:tcPr>
          <w:p w:rsidR="002A716B" w:rsidRPr="00B47E1A" w:rsidRDefault="002A716B" w:rsidP="00E4217D">
            <w:pPr>
              <w:jc w:val="center"/>
              <w:rPr>
                <w:rFonts w:ascii="Verdana" w:hAnsi="Verdana"/>
                <w:bCs/>
                <w:i/>
                <w:iCs/>
                <w:sz w:val="20"/>
                <w:szCs w:val="20"/>
              </w:rPr>
            </w:pPr>
            <w:r w:rsidRPr="00B47E1A">
              <w:rPr>
                <w:rFonts w:ascii="Verdana" w:hAnsi="Verdana"/>
                <w:bCs/>
                <w:i/>
                <w:iCs/>
                <w:sz w:val="20"/>
                <w:szCs w:val="20"/>
              </w:rPr>
              <w:t>My business absorbed this increased without affecting our forward plans</w:t>
            </w:r>
          </w:p>
        </w:tc>
        <w:tc>
          <w:tcPr>
            <w:tcW w:w="924" w:type="dxa"/>
          </w:tcPr>
          <w:p w:rsidR="002A716B" w:rsidRPr="00E2006F" w:rsidRDefault="002A716B" w:rsidP="00E4217D">
            <w:pPr>
              <w:jc w:val="center"/>
              <w:rPr>
                <w:rFonts w:ascii="Verdana" w:hAnsi="Verdana"/>
                <w:bCs/>
                <w:i/>
                <w:iCs/>
                <w:sz w:val="20"/>
                <w:szCs w:val="20"/>
              </w:rPr>
            </w:pPr>
            <w:r w:rsidRPr="00E2006F">
              <w:rPr>
                <w:rFonts w:ascii="Verdana" w:hAnsi="Verdana"/>
                <w:bCs/>
                <w:i/>
                <w:iCs/>
                <w:sz w:val="20"/>
                <w:szCs w:val="20"/>
              </w:rPr>
              <w:t>74.3%</w:t>
            </w:r>
          </w:p>
        </w:tc>
      </w:tr>
      <w:tr w:rsidR="002A716B" w:rsidRPr="00781E45" w:rsidTr="00E4217D">
        <w:trPr>
          <w:trHeight w:val="285"/>
          <w:jc w:val="center"/>
        </w:trPr>
        <w:tc>
          <w:tcPr>
            <w:tcW w:w="8438" w:type="dxa"/>
            <w:hideMark/>
          </w:tcPr>
          <w:p w:rsidR="002A716B" w:rsidRPr="00B47E1A" w:rsidRDefault="002A716B" w:rsidP="00E4217D">
            <w:pPr>
              <w:jc w:val="center"/>
              <w:rPr>
                <w:rFonts w:ascii="Verdana" w:hAnsi="Verdana"/>
                <w:bCs/>
                <w:i/>
                <w:iCs/>
                <w:sz w:val="20"/>
                <w:szCs w:val="20"/>
              </w:rPr>
            </w:pPr>
            <w:r w:rsidRPr="00B47E1A">
              <w:rPr>
                <w:rFonts w:ascii="Verdana" w:hAnsi="Verdana"/>
                <w:bCs/>
                <w:i/>
                <w:iCs/>
                <w:sz w:val="20"/>
                <w:szCs w:val="20"/>
              </w:rPr>
              <w:t>My business employed fewer employees or gave fewer hours that we had expected prior to the size of the increase being known</w:t>
            </w:r>
          </w:p>
        </w:tc>
        <w:tc>
          <w:tcPr>
            <w:tcW w:w="924" w:type="dxa"/>
          </w:tcPr>
          <w:p w:rsidR="002A716B" w:rsidRPr="00E2006F" w:rsidRDefault="002A716B" w:rsidP="00E4217D">
            <w:pPr>
              <w:jc w:val="center"/>
              <w:rPr>
                <w:rFonts w:ascii="Verdana" w:hAnsi="Verdana"/>
                <w:bCs/>
                <w:i/>
                <w:iCs/>
                <w:sz w:val="20"/>
                <w:szCs w:val="20"/>
              </w:rPr>
            </w:pPr>
            <w:r w:rsidRPr="00E2006F">
              <w:rPr>
                <w:rFonts w:ascii="Verdana" w:hAnsi="Verdana"/>
                <w:bCs/>
                <w:i/>
                <w:iCs/>
                <w:sz w:val="20"/>
                <w:szCs w:val="20"/>
              </w:rPr>
              <w:t>16.8%</w:t>
            </w:r>
          </w:p>
        </w:tc>
      </w:tr>
      <w:tr w:rsidR="002A716B" w:rsidRPr="00781E45" w:rsidTr="00E4217D">
        <w:trPr>
          <w:trHeight w:val="285"/>
          <w:jc w:val="center"/>
        </w:trPr>
        <w:tc>
          <w:tcPr>
            <w:tcW w:w="8438" w:type="dxa"/>
            <w:hideMark/>
          </w:tcPr>
          <w:p w:rsidR="002A716B" w:rsidRPr="00B47E1A" w:rsidRDefault="002A716B" w:rsidP="00E4217D">
            <w:pPr>
              <w:jc w:val="center"/>
              <w:rPr>
                <w:rFonts w:ascii="Verdana" w:hAnsi="Verdana"/>
                <w:bCs/>
                <w:i/>
                <w:iCs/>
                <w:sz w:val="20"/>
                <w:szCs w:val="20"/>
              </w:rPr>
            </w:pPr>
            <w:r w:rsidRPr="00B47E1A">
              <w:rPr>
                <w:rFonts w:ascii="Verdana" w:hAnsi="Verdana"/>
                <w:bCs/>
                <w:i/>
                <w:iCs/>
                <w:sz w:val="20"/>
                <w:szCs w:val="20"/>
              </w:rPr>
              <w:t>The size of this increase harmed the viability of our business and we have, or are considering, scaling down our operations</w:t>
            </w:r>
          </w:p>
        </w:tc>
        <w:tc>
          <w:tcPr>
            <w:tcW w:w="924" w:type="dxa"/>
          </w:tcPr>
          <w:p w:rsidR="002A716B" w:rsidRPr="00E2006F" w:rsidRDefault="002A716B" w:rsidP="00E4217D">
            <w:pPr>
              <w:jc w:val="center"/>
              <w:rPr>
                <w:rFonts w:ascii="Verdana" w:hAnsi="Verdana"/>
                <w:bCs/>
                <w:i/>
                <w:iCs/>
                <w:sz w:val="20"/>
                <w:szCs w:val="20"/>
              </w:rPr>
            </w:pPr>
            <w:r w:rsidRPr="00E2006F">
              <w:rPr>
                <w:rFonts w:ascii="Verdana" w:hAnsi="Verdana"/>
                <w:bCs/>
                <w:i/>
                <w:iCs/>
                <w:sz w:val="20"/>
                <w:szCs w:val="20"/>
              </w:rPr>
              <w:t>5.6%</w:t>
            </w:r>
          </w:p>
        </w:tc>
      </w:tr>
    </w:tbl>
    <w:p w:rsidR="0055502F" w:rsidRDefault="0049263E" w:rsidP="00A8395E">
      <w:pPr>
        <w:rPr>
          <w:rFonts w:ascii="Verdana" w:hAnsi="Verdana"/>
          <w:sz w:val="20"/>
          <w:szCs w:val="20"/>
        </w:rPr>
      </w:pPr>
      <w:r>
        <w:rPr>
          <w:rFonts w:ascii="Verdana" w:hAnsi="Verdana"/>
          <w:sz w:val="20"/>
          <w:szCs w:val="20"/>
        </w:rPr>
        <w:br/>
      </w:r>
      <w:r w:rsidR="0055502F">
        <w:rPr>
          <w:rFonts w:ascii="Verdana" w:hAnsi="Verdana"/>
          <w:sz w:val="20"/>
          <w:szCs w:val="20"/>
        </w:rPr>
        <w:t xml:space="preserve">Turning to prospective increases, </w:t>
      </w:r>
      <w:r w:rsidR="002A716B">
        <w:rPr>
          <w:rFonts w:ascii="Verdana" w:hAnsi="Verdana"/>
          <w:sz w:val="20"/>
          <w:szCs w:val="20"/>
        </w:rPr>
        <w:t>respondents were</w:t>
      </w:r>
      <w:r>
        <w:rPr>
          <w:rFonts w:ascii="Verdana" w:hAnsi="Verdana"/>
          <w:sz w:val="20"/>
          <w:szCs w:val="20"/>
        </w:rPr>
        <w:t xml:space="preserve"> also</w:t>
      </w:r>
      <w:r w:rsidR="002A716B">
        <w:rPr>
          <w:rFonts w:ascii="Verdana" w:hAnsi="Verdana"/>
          <w:sz w:val="20"/>
          <w:szCs w:val="20"/>
        </w:rPr>
        <w:t xml:space="preserve"> asked to indicate how they would adjust their staffing decisions in response to different specified minimum wage </w:t>
      </w:r>
      <w:r w:rsidR="002A716B" w:rsidRPr="002D2940">
        <w:rPr>
          <w:rFonts w:ascii="Verdana" w:hAnsi="Verdana"/>
          <w:sz w:val="20"/>
          <w:szCs w:val="20"/>
        </w:rPr>
        <w:t>increases</w:t>
      </w:r>
      <w:r w:rsidR="00D53333">
        <w:rPr>
          <w:rFonts w:ascii="Verdana" w:hAnsi="Verdana"/>
          <w:sz w:val="20"/>
          <w:szCs w:val="20"/>
        </w:rPr>
        <w:t xml:space="preserve"> </w:t>
      </w:r>
      <w:r w:rsidR="00D53333" w:rsidRPr="002D2940">
        <w:rPr>
          <w:rFonts w:ascii="Verdana" w:hAnsi="Verdana"/>
          <w:sz w:val="20"/>
          <w:szCs w:val="20"/>
        </w:rPr>
        <w:t xml:space="preserve">(Table </w:t>
      </w:r>
      <w:r w:rsidR="00E550BF">
        <w:rPr>
          <w:rFonts w:ascii="Verdana" w:hAnsi="Verdana"/>
          <w:sz w:val="20"/>
          <w:szCs w:val="20"/>
        </w:rPr>
        <w:t>6</w:t>
      </w:r>
      <w:r w:rsidR="00D53333" w:rsidRPr="002D2940">
        <w:rPr>
          <w:rFonts w:ascii="Verdana" w:hAnsi="Verdana"/>
          <w:sz w:val="20"/>
          <w:szCs w:val="20"/>
        </w:rPr>
        <w:t xml:space="preserve"> refers</w:t>
      </w:r>
      <w:r w:rsidR="00D53333">
        <w:rPr>
          <w:rFonts w:ascii="Verdana" w:hAnsi="Verdana"/>
          <w:sz w:val="20"/>
          <w:szCs w:val="20"/>
        </w:rPr>
        <w:t>)</w:t>
      </w:r>
      <w:r w:rsidR="0055502F">
        <w:rPr>
          <w:rFonts w:ascii="Verdana" w:hAnsi="Verdana"/>
          <w:sz w:val="20"/>
          <w:szCs w:val="20"/>
        </w:rPr>
        <w:t>.  This question was consistent with the survey results presented ABI’s submission to the 2016</w:t>
      </w:r>
      <w:r w:rsidR="0055502F">
        <w:rPr>
          <w:rFonts w:ascii="Verdana" w:hAnsi="Verdana"/>
          <w:sz w:val="20"/>
          <w:szCs w:val="20"/>
        </w:rPr>
        <w:noBreakHyphen/>
        <w:t>17 AWR submission</w:t>
      </w:r>
      <w:r w:rsidR="002A716B">
        <w:rPr>
          <w:rFonts w:ascii="Verdana" w:hAnsi="Verdana"/>
          <w:sz w:val="20"/>
          <w:szCs w:val="20"/>
        </w:rPr>
        <w:t xml:space="preserve">.  </w:t>
      </w:r>
    </w:p>
    <w:p w:rsidR="00A8395E" w:rsidRDefault="00A8395E" w:rsidP="00A8395E">
      <w:pPr>
        <w:rPr>
          <w:rFonts w:ascii="Verdana" w:hAnsi="Verdana"/>
          <w:sz w:val="20"/>
          <w:szCs w:val="20"/>
        </w:rPr>
      </w:pPr>
      <w:r>
        <w:rPr>
          <w:rFonts w:ascii="Verdana" w:hAnsi="Verdana"/>
          <w:sz w:val="20"/>
          <w:szCs w:val="20"/>
        </w:rPr>
        <w:lastRenderedPageBreak/>
        <w:t>While survey respondents were slightly more optimistic about their ability to respond to varying minimum wage increases than they were in December 2016, many of the same inferences can be made about what might constitute an optimal minimum wage increase.</w:t>
      </w:r>
    </w:p>
    <w:p w:rsidR="00A8395E" w:rsidRDefault="00A8395E" w:rsidP="00A8395E">
      <w:pPr>
        <w:rPr>
          <w:rFonts w:ascii="Verdana" w:hAnsi="Verdana"/>
          <w:sz w:val="20"/>
          <w:szCs w:val="20"/>
        </w:rPr>
      </w:pPr>
      <w:r>
        <w:rPr>
          <w:rFonts w:ascii="Verdana" w:hAnsi="Verdana"/>
          <w:sz w:val="20"/>
          <w:szCs w:val="20"/>
        </w:rPr>
        <w:t>As in December 2016, the survey suggests that more modest increases of between 0.5 and 1.5 per cent could be relatively easily absorbed with around seven out of ten respondents indicating they would not change their forward plans for increases within this range.  A modest number of respondents indicated they would increase staffing levels for increases within the range of 0 to 1 per cent though only a very small percentage indicated they would increase staffing levels for minimum wage increases of 1.5 per cent and above.  At the other end of the spectrum only 35 per cent of respondents would absorb a minimum wage increase of 3 per cent, though this was slightly higher than recorded in December 2016.  Around 62 per cent of respondents indicated that a 3 per cent increase would result in reduced staffing levels or would harm their firm’s viability.</w:t>
      </w:r>
    </w:p>
    <w:p w:rsidR="000F12B4" w:rsidRDefault="00A8395E" w:rsidP="000F12B4">
      <w:pPr>
        <w:rPr>
          <w:rFonts w:ascii="Verdana" w:hAnsi="Verdana"/>
          <w:sz w:val="20"/>
          <w:szCs w:val="20"/>
        </w:rPr>
      </w:pPr>
      <w:r>
        <w:rPr>
          <w:rFonts w:ascii="Verdana" w:hAnsi="Verdana"/>
          <w:sz w:val="20"/>
          <w:szCs w:val="20"/>
        </w:rPr>
        <w:t xml:space="preserve">Consistent with the December 2016 survey, the results suggest that there is an optimal range within which minimum wage increases will deliver gains to award-reliant </w:t>
      </w:r>
      <w:r w:rsidR="00180DF1">
        <w:rPr>
          <w:rFonts w:ascii="Verdana" w:hAnsi="Verdana"/>
          <w:sz w:val="20"/>
          <w:szCs w:val="20"/>
        </w:rPr>
        <w:t>employees</w:t>
      </w:r>
      <w:r>
        <w:rPr>
          <w:rFonts w:ascii="Verdana" w:hAnsi="Verdana"/>
          <w:sz w:val="20"/>
          <w:szCs w:val="20"/>
        </w:rPr>
        <w:t xml:space="preserve"> without severely impacting on employment outcomes (including hours).  For example, a minimum wage increase of between 1.5 and 2 per cent would contain the number of businesses reporting negative impacts while at the same time maintaining the real living standards of award-reliant employees.  This is illustrated in Charts </w:t>
      </w:r>
      <w:r w:rsidR="00E550BF">
        <w:rPr>
          <w:rFonts w:ascii="Verdana" w:hAnsi="Verdana"/>
          <w:sz w:val="20"/>
          <w:szCs w:val="20"/>
        </w:rPr>
        <w:t>1</w:t>
      </w:r>
      <w:r w:rsidR="00D51FB6">
        <w:rPr>
          <w:rFonts w:ascii="Verdana" w:hAnsi="Verdana"/>
          <w:sz w:val="20"/>
          <w:szCs w:val="20"/>
        </w:rPr>
        <w:t>0</w:t>
      </w:r>
      <w:r>
        <w:rPr>
          <w:rFonts w:ascii="Verdana" w:hAnsi="Verdana"/>
          <w:sz w:val="20"/>
          <w:szCs w:val="20"/>
        </w:rPr>
        <w:t xml:space="preserve"> and </w:t>
      </w:r>
      <w:r w:rsidR="00E550BF">
        <w:rPr>
          <w:rFonts w:ascii="Verdana" w:hAnsi="Verdana"/>
          <w:sz w:val="20"/>
          <w:szCs w:val="20"/>
        </w:rPr>
        <w:t>1</w:t>
      </w:r>
      <w:r w:rsidR="00D51FB6">
        <w:rPr>
          <w:rFonts w:ascii="Verdana" w:hAnsi="Verdana"/>
          <w:sz w:val="20"/>
          <w:szCs w:val="20"/>
        </w:rPr>
        <w:t>1</w:t>
      </w:r>
      <w:r>
        <w:rPr>
          <w:rFonts w:ascii="Verdana" w:hAnsi="Verdana"/>
          <w:sz w:val="20"/>
          <w:szCs w:val="20"/>
        </w:rPr>
        <w:t xml:space="preserve"> which demonstrate both the cumulative and marginal increase in respondents indicating negative impacts.</w:t>
      </w:r>
    </w:p>
    <w:p w:rsidR="009C22F5" w:rsidRPr="002D2940" w:rsidRDefault="009C22F5" w:rsidP="000F12B4">
      <w:pPr>
        <w:jc w:val="center"/>
        <w:rPr>
          <w:rFonts w:ascii="Verdana" w:eastAsiaTheme="majorEastAsia" w:hAnsi="Verdana" w:cstheme="majorBidi"/>
          <w:b/>
          <w:iCs/>
          <w:spacing w:val="15"/>
          <w:sz w:val="16"/>
          <w:szCs w:val="16"/>
        </w:rPr>
      </w:pPr>
      <w:r w:rsidRPr="002D2940">
        <w:rPr>
          <w:rFonts w:ascii="Verdana" w:eastAsiaTheme="majorEastAsia" w:hAnsi="Verdana" w:cstheme="majorBidi"/>
          <w:b/>
          <w:iCs/>
          <w:spacing w:val="15"/>
          <w:sz w:val="16"/>
          <w:szCs w:val="16"/>
        </w:rPr>
        <w:t xml:space="preserve">Table </w:t>
      </w:r>
      <w:r w:rsidR="00E550BF">
        <w:rPr>
          <w:rFonts w:ascii="Verdana" w:eastAsiaTheme="majorEastAsia" w:hAnsi="Verdana" w:cstheme="majorBidi"/>
          <w:b/>
          <w:iCs/>
          <w:spacing w:val="15"/>
          <w:sz w:val="16"/>
          <w:szCs w:val="16"/>
        </w:rPr>
        <w:t>6</w:t>
      </w:r>
      <w:r w:rsidRPr="002D2940">
        <w:rPr>
          <w:rFonts w:ascii="Verdana" w:eastAsiaTheme="majorEastAsia" w:hAnsi="Verdana" w:cstheme="majorBidi"/>
          <w:b/>
          <w:iCs/>
          <w:spacing w:val="15"/>
          <w:sz w:val="16"/>
          <w:szCs w:val="16"/>
        </w:rPr>
        <w:t xml:space="preserve"> – Survey results</w:t>
      </w:r>
    </w:p>
    <w:tbl>
      <w:tblPr>
        <w:tblStyle w:val="TableGrid"/>
        <w:tblW w:w="0" w:type="auto"/>
        <w:tblLook w:val="04A0" w:firstRow="1" w:lastRow="0" w:firstColumn="1" w:lastColumn="0" w:noHBand="0" w:noVBand="1"/>
      </w:tblPr>
      <w:tblGrid>
        <w:gridCol w:w="1247"/>
        <w:gridCol w:w="2028"/>
        <w:gridCol w:w="2209"/>
        <w:gridCol w:w="1924"/>
        <w:gridCol w:w="2079"/>
      </w:tblGrid>
      <w:tr w:rsidR="009C22F5" w:rsidRPr="00781E45" w:rsidTr="004672F6">
        <w:trPr>
          <w:trHeight w:val="600"/>
        </w:trPr>
        <w:tc>
          <w:tcPr>
            <w:tcW w:w="9713" w:type="dxa"/>
            <w:gridSpan w:val="5"/>
            <w:shd w:val="clear" w:color="auto" w:fill="E36C0A" w:themeFill="accent6" w:themeFillShade="BF"/>
            <w:hideMark/>
          </w:tcPr>
          <w:p w:rsidR="009C22F5" w:rsidRPr="00781E45" w:rsidRDefault="009C22F5" w:rsidP="001C6E28">
            <w:pPr>
              <w:jc w:val="center"/>
              <w:rPr>
                <w:rFonts w:ascii="Verdana" w:hAnsi="Verdana"/>
                <w:b/>
                <w:bCs/>
                <w:i/>
                <w:iCs/>
                <w:sz w:val="20"/>
                <w:szCs w:val="20"/>
              </w:rPr>
            </w:pPr>
            <w:r w:rsidRPr="00781E45">
              <w:rPr>
                <w:rFonts w:ascii="Verdana" w:hAnsi="Verdana"/>
                <w:b/>
                <w:bCs/>
                <w:i/>
                <w:iCs/>
                <w:sz w:val="20"/>
                <w:szCs w:val="20"/>
              </w:rPr>
              <w:t>"In thinking about employees affected by changes in the minimum wage, how would the following minimum wage increases affect your business' staffing plans (select those that apply</w:t>
            </w:r>
            <w:r w:rsidR="001C6E28">
              <w:rPr>
                <w:rFonts w:ascii="Verdana" w:hAnsi="Verdana"/>
                <w:b/>
                <w:bCs/>
                <w:i/>
                <w:iCs/>
                <w:sz w:val="20"/>
                <w:szCs w:val="20"/>
              </w:rPr>
              <w:t>)?" (n=179</w:t>
            </w:r>
            <w:r w:rsidRPr="00781E45">
              <w:rPr>
                <w:rFonts w:ascii="Verdana" w:hAnsi="Verdana"/>
                <w:b/>
                <w:bCs/>
                <w:i/>
                <w:iCs/>
                <w:sz w:val="20"/>
                <w:szCs w:val="20"/>
              </w:rPr>
              <w:t>)</w:t>
            </w:r>
          </w:p>
        </w:tc>
      </w:tr>
      <w:tr w:rsidR="003B5C1D" w:rsidRPr="00781E45" w:rsidTr="003B5C1D">
        <w:trPr>
          <w:trHeight w:val="1795"/>
        </w:trPr>
        <w:tc>
          <w:tcPr>
            <w:tcW w:w="1250" w:type="dxa"/>
            <w:vAlign w:val="center"/>
            <w:hideMark/>
          </w:tcPr>
          <w:p w:rsidR="003B5C1D" w:rsidRPr="00781E45" w:rsidRDefault="003B5C1D" w:rsidP="004672F6">
            <w:pPr>
              <w:jc w:val="center"/>
              <w:rPr>
                <w:rFonts w:ascii="Verdana" w:hAnsi="Verdana"/>
                <w:b/>
                <w:bCs/>
                <w:i/>
                <w:iCs/>
                <w:sz w:val="20"/>
                <w:szCs w:val="20"/>
              </w:rPr>
            </w:pPr>
            <w:r w:rsidRPr="00781E45">
              <w:rPr>
                <w:rFonts w:ascii="Verdana" w:hAnsi="Verdana"/>
                <w:b/>
                <w:bCs/>
                <w:i/>
                <w:iCs/>
                <w:sz w:val="20"/>
                <w:szCs w:val="20"/>
              </w:rPr>
              <w:t>Increase</w:t>
            </w:r>
          </w:p>
        </w:tc>
        <w:tc>
          <w:tcPr>
            <w:tcW w:w="2060" w:type="dxa"/>
            <w:hideMark/>
          </w:tcPr>
          <w:p w:rsidR="003B5C1D" w:rsidRPr="00781E45" w:rsidRDefault="003B5C1D" w:rsidP="003B5C1D">
            <w:pPr>
              <w:jc w:val="center"/>
              <w:rPr>
                <w:rFonts w:ascii="Verdana" w:hAnsi="Verdana"/>
                <w:b/>
                <w:bCs/>
                <w:i/>
                <w:iCs/>
                <w:sz w:val="20"/>
                <w:szCs w:val="20"/>
              </w:rPr>
            </w:pPr>
            <w:r>
              <w:rPr>
                <w:rFonts w:ascii="Verdana" w:hAnsi="Verdana"/>
                <w:b/>
                <w:bCs/>
                <w:i/>
                <w:iCs/>
                <w:sz w:val="20"/>
                <w:szCs w:val="20"/>
              </w:rPr>
              <w:t xml:space="preserve">A — </w:t>
            </w:r>
            <w:r w:rsidRPr="00781E45">
              <w:rPr>
                <w:rFonts w:ascii="Verdana" w:hAnsi="Verdana"/>
                <w:b/>
                <w:bCs/>
                <w:i/>
                <w:iCs/>
                <w:sz w:val="20"/>
                <w:szCs w:val="20"/>
              </w:rPr>
              <w:t>"Would employ more employees or give more hours than we would have expected"</w:t>
            </w:r>
          </w:p>
        </w:tc>
        <w:tc>
          <w:tcPr>
            <w:tcW w:w="2302" w:type="dxa"/>
            <w:hideMark/>
          </w:tcPr>
          <w:p w:rsidR="003B5C1D" w:rsidRPr="0073284F" w:rsidRDefault="003B5C1D" w:rsidP="004672F6">
            <w:pPr>
              <w:jc w:val="center"/>
              <w:rPr>
                <w:rFonts w:ascii="Verdana" w:hAnsi="Verdana"/>
                <w:i/>
                <w:color w:val="808080" w:themeColor="background1" w:themeShade="80"/>
                <w:sz w:val="16"/>
                <w:szCs w:val="20"/>
              </w:rPr>
            </w:pPr>
            <w:r>
              <w:rPr>
                <w:rFonts w:ascii="Verdana" w:hAnsi="Verdana"/>
                <w:b/>
                <w:bCs/>
                <w:i/>
                <w:iCs/>
                <w:sz w:val="20"/>
                <w:szCs w:val="20"/>
              </w:rPr>
              <w:t xml:space="preserve">B — </w:t>
            </w:r>
            <w:r w:rsidRPr="00781E45">
              <w:rPr>
                <w:rFonts w:ascii="Verdana" w:hAnsi="Verdana"/>
                <w:b/>
                <w:bCs/>
                <w:i/>
                <w:iCs/>
                <w:sz w:val="20"/>
                <w:szCs w:val="20"/>
              </w:rPr>
              <w:t>"Would absorb this increase without affecting our forward plans"</w:t>
            </w:r>
          </w:p>
          <w:p w:rsidR="003B5C1D" w:rsidRPr="00781E45" w:rsidRDefault="003B5C1D" w:rsidP="004672F6">
            <w:pPr>
              <w:jc w:val="center"/>
              <w:rPr>
                <w:rFonts w:ascii="Verdana" w:hAnsi="Verdana"/>
                <w:b/>
                <w:bCs/>
                <w:i/>
                <w:iCs/>
                <w:sz w:val="20"/>
                <w:szCs w:val="20"/>
              </w:rPr>
            </w:pPr>
          </w:p>
        </w:tc>
        <w:tc>
          <w:tcPr>
            <w:tcW w:w="1971" w:type="dxa"/>
            <w:hideMark/>
          </w:tcPr>
          <w:p w:rsidR="003B5C1D" w:rsidRPr="00781E45" w:rsidRDefault="003B5C1D" w:rsidP="003B5C1D">
            <w:pPr>
              <w:jc w:val="center"/>
              <w:rPr>
                <w:rFonts w:ascii="Verdana" w:hAnsi="Verdana"/>
                <w:b/>
                <w:bCs/>
                <w:i/>
                <w:iCs/>
                <w:sz w:val="20"/>
                <w:szCs w:val="20"/>
              </w:rPr>
            </w:pPr>
            <w:r>
              <w:rPr>
                <w:rFonts w:ascii="Verdana" w:hAnsi="Verdana"/>
                <w:b/>
                <w:bCs/>
                <w:i/>
                <w:iCs/>
                <w:sz w:val="20"/>
                <w:szCs w:val="20"/>
              </w:rPr>
              <w:t xml:space="preserve">C — </w:t>
            </w:r>
            <w:r w:rsidRPr="00781E45">
              <w:rPr>
                <w:rFonts w:ascii="Verdana" w:hAnsi="Verdana"/>
                <w:b/>
                <w:bCs/>
                <w:i/>
                <w:iCs/>
                <w:sz w:val="20"/>
                <w:szCs w:val="20"/>
              </w:rPr>
              <w:t>"Would employ fewer employees or give fewer hours that we would have expected"</w:t>
            </w:r>
          </w:p>
        </w:tc>
        <w:tc>
          <w:tcPr>
            <w:tcW w:w="2130" w:type="dxa"/>
            <w:hideMark/>
          </w:tcPr>
          <w:p w:rsidR="003B5C1D" w:rsidRPr="00781E45" w:rsidRDefault="003B5C1D" w:rsidP="003B5C1D">
            <w:pPr>
              <w:jc w:val="center"/>
              <w:rPr>
                <w:rFonts w:ascii="Verdana" w:hAnsi="Verdana"/>
                <w:b/>
                <w:bCs/>
                <w:i/>
                <w:iCs/>
                <w:sz w:val="20"/>
                <w:szCs w:val="20"/>
              </w:rPr>
            </w:pPr>
            <w:r>
              <w:rPr>
                <w:rFonts w:ascii="Verdana" w:hAnsi="Verdana"/>
                <w:b/>
                <w:bCs/>
                <w:i/>
                <w:iCs/>
                <w:sz w:val="20"/>
                <w:szCs w:val="20"/>
              </w:rPr>
              <w:t xml:space="preserve">D — </w:t>
            </w:r>
            <w:r w:rsidRPr="00781E45">
              <w:rPr>
                <w:rFonts w:ascii="Verdana" w:hAnsi="Verdana"/>
                <w:b/>
                <w:bCs/>
                <w:i/>
                <w:iCs/>
                <w:sz w:val="20"/>
                <w:szCs w:val="20"/>
              </w:rPr>
              <w:t>"Would harm the viability of our business and may need to scale down operations"</w:t>
            </w:r>
          </w:p>
        </w:tc>
      </w:tr>
      <w:tr w:rsidR="003B5C1D" w:rsidRPr="00781E45" w:rsidTr="00E4217D">
        <w:trPr>
          <w:trHeight w:val="285"/>
        </w:trPr>
        <w:tc>
          <w:tcPr>
            <w:tcW w:w="1250" w:type="dxa"/>
            <w:hideMark/>
          </w:tcPr>
          <w:p w:rsidR="003B5C1D" w:rsidRPr="00781E45" w:rsidRDefault="003B5C1D" w:rsidP="00F606A2">
            <w:pPr>
              <w:jc w:val="center"/>
              <w:rPr>
                <w:rFonts w:ascii="Verdana" w:hAnsi="Verdana"/>
                <w:b/>
                <w:bCs/>
                <w:i/>
                <w:iCs/>
                <w:sz w:val="20"/>
                <w:szCs w:val="20"/>
              </w:rPr>
            </w:pPr>
            <w:r w:rsidRPr="00781E45">
              <w:rPr>
                <w:rFonts w:ascii="Verdana" w:hAnsi="Verdana"/>
                <w:b/>
                <w:bCs/>
                <w:i/>
                <w:iCs/>
                <w:sz w:val="20"/>
                <w:szCs w:val="20"/>
              </w:rPr>
              <w:t>0.0%</w:t>
            </w:r>
          </w:p>
        </w:tc>
        <w:tc>
          <w:tcPr>
            <w:tcW w:w="2060" w:type="dxa"/>
            <w:tcBorders>
              <w:right w:val="single" w:sz="4" w:space="0" w:color="auto"/>
            </w:tcBorders>
          </w:tcPr>
          <w:p w:rsidR="003B5C1D" w:rsidRPr="00781E45" w:rsidRDefault="003B5C1D" w:rsidP="00F606A2">
            <w:pPr>
              <w:jc w:val="center"/>
              <w:rPr>
                <w:rFonts w:ascii="Verdana" w:hAnsi="Verdana"/>
                <w:sz w:val="20"/>
                <w:szCs w:val="20"/>
              </w:rPr>
            </w:pPr>
            <w:r w:rsidRPr="00F606A2">
              <w:rPr>
                <w:rFonts w:ascii="Verdana" w:hAnsi="Verdana"/>
                <w:sz w:val="20"/>
                <w:szCs w:val="20"/>
              </w:rPr>
              <w:t>31.8%</w:t>
            </w:r>
          </w:p>
        </w:tc>
        <w:tc>
          <w:tcPr>
            <w:tcW w:w="2302" w:type="dxa"/>
            <w:tcBorders>
              <w:right w:val="single" w:sz="4" w:space="0" w:color="auto"/>
            </w:tcBorders>
          </w:tcPr>
          <w:p w:rsidR="003B5C1D" w:rsidRPr="00781E45" w:rsidRDefault="003B5C1D" w:rsidP="00F606A2">
            <w:pPr>
              <w:jc w:val="center"/>
              <w:rPr>
                <w:rFonts w:ascii="Verdana" w:hAnsi="Verdana"/>
                <w:sz w:val="20"/>
                <w:szCs w:val="20"/>
              </w:rPr>
            </w:pPr>
            <w:r w:rsidRPr="00F606A2">
              <w:rPr>
                <w:rFonts w:ascii="Verdana" w:hAnsi="Verdana"/>
                <w:sz w:val="20"/>
                <w:szCs w:val="20"/>
              </w:rPr>
              <w:t>64.2%</w:t>
            </w:r>
          </w:p>
        </w:tc>
        <w:tc>
          <w:tcPr>
            <w:tcW w:w="1971" w:type="dxa"/>
            <w:tcBorders>
              <w:right w:val="single" w:sz="4" w:space="0" w:color="auto"/>
            </w:tcBorders>
          </w:tcPr>
          <w:p w:rsidR="003B5C1D" w:rsidRPr="00781E45" w:rsidRDefault="003B5C1D" w:rsidP="00F606A2">
            <w:pPr>
              <w:jc w:val="center"/>
              <w:rPr>
                <w:rFonts w:ascii="Verdana" w:hAnsi="Verdana"/>
                <w:sz w:val="20"/>
                <w:szCs w:val="20"/>
              </w:rPr>
            </w:pPr>
            <w:r w:rsidRPr="00F606A2">
              <w:rPr>
                <w:rFonts w:ascii="Verdana" w:hAnsi="Verdana"/>
                <w:sz w:val="20"/>
                <w:szCs w:val="20"/>
              </w:rPr>
              <w:t>1.7%</w:t>
            </w:r>
          </w:p>
        </w:tc>
        <w:tc>
          <w:tcPr>
            <w:tcW w:w="2130" w:type="dxa"/>
            <w:tcBorders>
              <w:right w:val="single" w:sz="4" w:space="0" w:color="auto"/>
            </w:tcBorders>
          </w:tcPr>
          <w:p w:rsidR="003B5C1D" w:rsidRPr="00781E45" w:rsidRDefault="003B5C1D" w:rsidP="00F606A2">
            <w:pPr>
              <w:jc w:val="center"/>
              <w:rPr>
                <w:rFonts w:ascii="Verdana" w:hAnsi="Verdana"/>
                <w:sz w:val="20"/>
                <w:szCs w:val="20"/>
              </w:rPr>
            </w:pPr>
            <w:r w:rsidRPr="00F606A2">
              <w:rPr>
                <w:rFonts w:ascii="Verdana" w:hAnsi="Verdana"/>
                <w:sz w:val="20"/>
                <w:szCs w:val="20"/>
              </w:rPr>
              <w:t>2.2%</w:t>
            </w:r>
          </w:p>
        </w:tc>
      </w:tr>
      <w:tr w:rsidR="003B5C1D" w:rsidRPr="00781E45" w:rsidTr="00E4217D">
        <w:trPr>
          <w:trHeight w:val="285"/>
        </w:trPr>
        <w:tc>
          <w:tcPr>
            <w:tcW w:w="1250" w:type="dxa"/>
            <w:hideMark/>
          </w:tcPr>
          <w:p w:rsidR="003B5C1D" w:rsidRPr="00781E45" w:rsidRDefault="003B5C1D" w:rsidP="00F606A2">
            <w:pPr>
              <w:jc w:val="center"/>
              <w:rPr>
                <w:rFonts w:ascii="Verdana" w:hAnsi="Verdana"/>
                <w:b/>
                <w:bCs/>
                <w:i/>
                <w:iCs/>
                <w:sz w:val="20"/>
                <w:szCs w:val="20"/>
              </w:rPr>
            </w:pPr>
            <w:r w:rsidRPr="00781E45">
              <w:rPr>
                <w:rFonts w:ascii="Verdana" w:hAnsi="Verdana"/>
                <w:b/>
                <w:bCs/>
                <w:i/>
                <w:iCs/>
                <w:sz w:val="20"/>
                <w:szCs w:val="20"/>
              </w:rPr>
              <w:t>0.5%</w:t>
            </w:r>
          </w:p>
        </w:tc>
        <w:tc>
          <w:tcPr>
            <w:tcW w:w="2060" w:type="dxa"/>
            <w:tcBorders>
              <w:right w:val="single" w:sz="4" w:space="0" w:color="auto"/>
            </w:tcBorders>
          </w:tcPr>
          <w:p w:rsidR="003B5C1D" w:rsidRPr="00781E45" w:rsidRDefault="003B5C1D" w:rsidP="00F606A2">
            <w:pPr>
              <w:jc w:val="center"/>
              <w:rPr>
                <w:rFonts w:ascii="Verdana" w:hAnsi="Verdana"/>
                <w:sz w:val="20"/>
                <w:szCs w:val="20"/>
              </w:rPr>
            </w:pPr>
            <w:r w:rsidRPr="00F606A2">
              <w:rPr>
                <w:rFonts w:ascii="Verdana" w:hAnsi="Verdana"/>
                <w:sz w:val="20"/>
                <w:szCs w:val="20"/>
              </w:rPr>
              <w:t>16.2%</w:t>
            </w:r>
          </w:p>
        </w:tc>
        <w:tc>
          <w:tcPr>
            <w:tcW w:w="2302" w:type="dxa"/>
            <w:tcBorders>
              <w:right w:val="single" w:sz="4" w:space="0" w:color="auto"/>
            </w:tcBorders>
          </w:tcPr>
          <w:p w:rsidR="003B5C1D" w:rsidRPr="00781E45" w:rsidRDefault="003B5C1D" w:rsidP="00F606A2">
            <w:pPr>
              <w:jc w:val="center"/>
              <w:rPr>
                <w:rFonts w:ascii="Verdana" w:hAnsi="Verdana"/>
                <w:sz w:val="20"/>
                <w:szCs w:val="20"/>
              </w:rPr>
            </w:pPr>
            <w:r w:rsidRPr="00F606A2">
              <w:rPr>
                <w:rFonts w:ascii="Verdana" w:hAnsi="Verdana"/>
                <w:sz w:val="20"/>
                <w:szCs w:val="20"/>
              </w:rPr>
              <w:t>74.9%</w:t>
            </w:r>
          </w:p>
        </w:tc>
        <w:tc>
          <w:tcPr>
            <w:tcW w:w="1971" w:type="dxa"/>
            <w:tcBorders>
              <w:right w:val="single" w:sz="4" w:space="0" w:color="auto"/>
            </w:tcBorders>
          </w:tcPr>
          <w:p w:rsidR="003B5C1D" w:rsidRPr="00781E45" w:rsidRDefault="003B5C1D" w:rsidP="00F606A2">
            <w:pPr>
              <w:jc w:val="center"/>
              <w:rPr>
                <w:rFonts w:ascii="Verdana" w:hAnsi="Verdana"/>
                <w:sz w:val="20"/>
                <w:szCs w:val="20"/>
              </w:rPr>
            </w:pPr>
            <w:r w:rsidRPr="00F606A2">
              <w:rPr>
                <w:rFonts w:ascii="Verdana" w:hAnsi="Verdana"/>
                <w:sz w:val="20"/>
                <w:szCs w:val="20"/>
              </w:rPr>
              <w:t>6.1%</w:t>
            </w:r>
          </w:p>
        </w:tc>
        <w:tc>
          <w:tcPr>
            <w:tcW w:w="2130" w:type="dxa"/>
            <w:tcBorders>
              <w:right w:val="single" w:sz="4" w:space="0" w:color="auto"/>
            </w:tcBorders>
          </w:tcPr>
          <w:p w:rsidR="003B5C1D" w:rsidRPr="00781E45" w:rsidRDefault="003B5C1D" w:rsidP="00F606A2">
            <w:pPr>
              <w:jc w:val="center"/>
              <w:rPr>
                <w:rFonts w:ascii="Verdana" w:hAnsi="Verdana"/>
                <w:sz w:val="20"/>
                <w:szCs w:val="20"/>
              </w:rPr>
            </w:pPr>
            <w:r w:rsidRPr="00F606A2">
              <w:rPr>
                <w:rFonts w:ascii="Verdana" w:hAnsi="Verdana"/>
                <w:sz w:val="20"/>
                <w:szCs w:val="20"/>
              </w:rPr>
              <w:t>2.8%</w:t>
            </w:r>
          </w:p>
        </w:tc>
      </w:tr>
      <w:tr w:rsidR="003B5C1D" w:rsidRPr="00781E45" w:rsidTr="00E4217D">
        <w:trPr>
          <w:trHeight w:val="285"/>
        </w:trPr>
        <w:tc>
          <w:tcPr>
            <w:tcW w:w="1250" w:type="dxa"/>
            <w:hideMark/>
          </w:tcPr>
          <w:p w:rsidR="003B5C1D" w:rsidRPr="00781E45" w:rsidRDefault="003B5C1D" w:rsidP="00F606A2">
            <w:pPr>
              <w:jc w:val="center"/>
              <w:rPr>
                <w:rFonts w:ascii="Verdana" w:hAnsi="Verdana"/>
                <w:b/>
                <w:bCs/>
                <w:i/>
                <w:iCs/>
                <w:sz w:val="20"/>
                <w:szCs w:val="20"/>
              </w:rPr>
            </w:pPr>
            <w:r w:rsidRPr="00781E45">
              <w:rPr>
                <w:rFonts w:ascii="Verdana" w:hAnsi="Verdana"/>
                <w:b/>
                <w:bCs/>
                <w:i/>
                <w:iCs/>
                <w:sz w:val="20"/>
                <w:szCs w:val="20"/>
              </w:rPr>
              <w:t>1.0%</w:t>
            </w:r>
          </w:p>
        </w:tc>
        <w:tc>
          <w:tcPr>
            <w:tcW w:w="2060" w:type="dxa"/>
            <w:tcBorders>
              <w:right w:val="single" w:sz="4" w:space="0" w:color="auto"/>
            </w:tcBorders>
          </w:tcPr>
          <w:p w:rsidR="003B5C1D" w:rsidRPr="00781E45" w:rsidRDefault="003B5C1D" w:rsidP="00F606A2">
            <w:pPr>
              <w:jc w:val="center"/>
              <w:rPr>
                <w:rFonts w:ascii="Verdana" w:hAnsi="Verdana"/>
                <w:sz w:val="20"/>
                <w:szCs w:val="20"/>
              </w:rPr>
            </w:pPr>
            <w:r w:rsidRPr="00F606A2">
              <w:rPr>
                <w:rFonts w:ascii="Verdana" w:hAnsi="Verdana"/>
                <w:sz w:val="20"/>
                <w:szCs w:val="20"/>
              </w:rPr>
              <w:t>10.1%</w:t>
            </w:r>
          </w:p>
        </w:tc>
        <w:tc>
          <w:tcPr>
            <w:tcW w:w="2302" w:type="dxa"/>
            <w:tcBorders>
              <w:right w:val="single" w:sz="4" w:space="0" w:color="auto"/>
            </w:tcBorders>
          </w:tcPr>
          <w:p w:rsidR="003B5C1D" w:rsidRPr="00781E45" w:rsidRDefault="003B5C1D" w:rsidP="00F606A2">
            <w:pPr>
              <w:jc w:val="center"/>
              <w:rPr>
                <w:rFonts w:ascii="Verdana" w:hAnsi="Verdana"/>
                <w:sz w:val="20"/>
                <w:szCs w:val="20"/>
              </w:rPr>
            </w:pPr>
            <w:r w:rsidRPr="00F606A2">
              <w:rPr>
                <w:rFonts w:ascii="Verdana" w:hAnsi="Verdana"/>
                <w:sz w:val="20"/>
                <w:szCs w:val="20"/>
              </w:rPr>
              <w:t>78.2%</w:t>
            </w:r>
          </w:p>
        </w:tc>
        <w:tc>
          <w:tcPr>
            <w:tcW w:w="1971" w:type="dxa"/>
            <w:tcBorders>
              <w:right w:val="single" w:sz="4" w:space="0" w:color="auto"/>
            </w:tcBorders>
          </w:tcPr>
          <w:p w:rsidR="003B5C1D" w:rsidRPr="00781E45" w:rsidRDefault="003B5C1D" w:rsidP="00F606A2">
            <w:pPr>
              <w:jc w:val="center"/>
              <w:rPr>
                <w:rFonts w:ascii="Verdana" w:hAnsi="Verdana"/>
                <w:sz w:val="20"/>
                <w:szCs w:val="20"/>
              </w:rPr>
            </w:pPr>
            <w:r w:rsidRPr="00F606A2">
              <w:rPr>
                <w:rFonts w:ascii="Verdana" w:hAnsi="Verdana"/>
                <w:sz w:val="20"/>
                <w:szCs w:val="20"/>
              </w:rPr>
              <w:t>10.1%</w:t>
            </w:r>
          </w:p>
        </w:tc>
        <w:tc>
          <w:tcPr>
            <w:tcW w:w="2130" w:type="dxa"/>
            <w:tcBorders>
              <w:right w:val="single" w:sz="4" w:space="0" w:color="auto"/>
            </w:tcBorders>
          </w:tcPr>
          <w:p w:rsidR="003B5C1D" w:rsidRPr="00781E45" w:rsidRDefault="003B5C1D" w:rsidP="00F606A2">
            <w:pPr>
              <w:jc w:val="center"/>
              <w:rPr>
                <w:rFonts w:ascii="Verdana" w:hAnsi="Verdana"/>
                <w:sz w:val="20"/>
                <w:szCs w:val="20"/>
              </w:rPr>
            </w:pPr>
            <w:r w:rsidRPr="00F606A2">
              <w:rPr>
                <w:rFonts w:ascii="Verdana" w:hAnsi="Verdana"/>
                <w:sz w:val="20"/>
                <w:szCs w:val="20"/>
              </w:rPr>
              <w:t>1.7%</w:t>
            </w:r>
          </w:p>
        </w:tc>
      </w:tr>
      <w:tr w:rsidR="003B5C1D" w:rsidRPr="00781E45" w:rsidTr="00E4217D">
        <w:trPr>
          <w:trHeight w:val="285"/>
        </w:trPr>
        <w:tc>
          <w:tcPr>
            <w:tcW w:w="1250" w:type="dxa"/>
            <w:hideMark/>
          </w:tcPr>
          <w:p w:rsidR="003B5C1D" w:rsidRPr="00781E45" w:rsidRDefault="003B5C1D" w:rsidP="00F606A2">
            <w:pPr>
              <w:jc w:val="center"/>
              <w:rPr>
                <w:rFonts w:ascii="Verdana" w:hAnsi="Verdana"/>
                <w:b/>
                <w:bCs/>
                <w:i/>
                <w:iCs/>
                <w:sz w:val="20"/>
                <w:szCs w:val="20"/>
              </w:rPr>
            </w:pPr>
            <w:r w:rsidRPr="00781E45">
              <w:rPr>
                <w:rFonts w:ascii="Verdana" w:hAnsi="Verdana"/>
                <w:b/>
                <w:bCs/>
                <w:i/>
                <w:iCs/>
                <w:sz w:val="20"/>
                <w:szCs w:val="20"/>
              </w:rPr>
              <w:t>1.5%</w:t>
            </w:r>
          </w:p>
        </w:tc>
        <w:tc>
          <w:tcPr>
            <w:tcW w:w="2060" w:type="dxa"/>
            <w:tcBorders>
              <w:right w:val="single" w:sz="4" w:space="0" w:color="auto"/>
            </w:tcBorders>
          </w:tcPr>
          <w:p w:rsidR="003B5C1D" w:rsidRPr="00781E45" w:rsidRDefault="003B5C1D" w:rsidP="00F606A2">
            <w:pPr>
              <w:jc w:val="center"/>
              <w:rPr>
                <w:rFonts w:ascii="Verdana" w:hAnsi="Verdana"/>
                <w:sz w:val="20"/>
                <w:szCs w:val="20"/>
              </w:rPr>
            </w:pPr>
            <w:r w:rsidRPr="00F606A2">
              <w:rPr>
                <w:rFonts w:ascii="Verdana" w:hAnsi="Verdana"/>
                <w:sz w:val="20"/>
                <w:szCs w:val="20"/>
              </w:rPr>
              <w:t>6.7%</w:t>
            </w:r>
          </w:p>
        </w:tc>
        <w:tc>
          <w:tcPr>
            <w:tcW w:w="2302" w:type="dxa"/>
            <w:tcBorders>
              <w:right w:val="single" w:sz="4" w:space="0" w:color="auto"/>
            </w:tcBorders>
          </w:tcPr>
          <w:p w:rsidR="003B5C1D" w:rsidRPr="00781E45" w:rsidRDefault="003B5C1D" w:rsidP="00F606A2">
            <w:pPr>
              <w:jc w:val="center"/>
              <w:rPr>
                <w:rFonts w:ascii="Verdana" w:hAnsi="Verdana"/>
                <w:sz w:val="20"/>
                <w:szCs w:val="20"/>
              </w:rPr>
            </w:pPr>
            <w:r w:rsidRPr="00F606A2">
              <w:rPr>
                <w:rFonts w:ascii="Verdana" w:hAnsi="Verdana"/>
                <w:sz w:val="20"/>
                <w:szCs w:val="20"/>
              </w:rPr>
              <w:t>71.5%</w:t>
            </w:r>
          </w:p>
        </w:tc>
        <w:tc>
          <w:tcPr>
            <w:tcW w:w="1971" w:type="dxa"/>
            <w:tcBorders>
              <w:right w:val="single" w:sz="4" w:space="0" w:color="auto"/>
            </w:tcBorders>
          </w:tcPr>
          <w:p w:rsidR="003B5C1D" w:rsidRPr="00781E45" w:rsidRDefault="003B5C1D" w:rsidP="00F606A2">
            <w:pPr>
              <w:jc w:val="center"/>
              <w:rPr>
                <w:rFonts w:ascii="Verdana" w:hAnsi="Verdana"/>
                <w:sz w:val="20"/>
                <w:szCs w:val="20"/>
              </w:rPr>
            </w:pPr>
            <w:r w:rsidRPr="00F606A2">
              <w:rPr>
                <w:rFonts w:ascii="Verdana" w:hAnsi="Verdana"/>
                <w:sz w:val="20"/>
                <w:szCs w:val="20"/>
              </w:rPr>
              <w:t>17.3%</w:t>
            </w:r>
          </w:p>
        </w:tc>
        <w:tc>
          <w:tcPr>
            <w:tcW w:w="2130" w:type="dxa"/>
            <w:tcBorders>
              <w:right w:val="single" w:sz="4" w:space="0" w:color="auto"/>
            </w:tcBorders>
          </w:tcPr>
          <w:p w:rsidR="003B5C1D" w:rsidRPr="00781E45" w:rsidRDefault="003B5C1D" w:rsidP="00F606A2">
            <w:pPr>
              <w:jc w:val="center"/>
              <w:rPr>
                <w:rFonts w:ascii="Verdana" w:hAnsi="Verdana"/>
                <w:sz w:val="20"/>
                <w:szCs w:val="20"/>
              </w:rPr>
            </w:pPr>
            <w:r w:rsidRPr="00F606A2">
              <w:rPr>
                <w:rFonts w:ascii="Verdana" w:hAnsi="Verdana"/>
                <w:sz w:val="20"/>
                <w:szCs w:val="20"/>
              </w:rPr>
              <w:t>4.5%</w:t>
            </w:r>
          </w:p>
        </w:tc>
      </w:tr>
      <w:tr w:rsidR="003B5C1D" w:rsidRPr="00781E45" w:rsidTr="00E4217D">
        <w:trPr>
          <w:trHeight w:val="285"/>
        </w:trPr>
        <w:tc>
          <w:tcPr>
            <w:tcW w:w="1250" w:type="dxa"/>
            <w:hideMark/>
          </w:tcPr>
          <w:p w:rsidR="003B5C1D" w:rsidRPr="00781E45" w:rsidRDefault="003B5C1D" w:rsidP="00F606A2">
            <w:pPr>
              <w:jc w:val="center"/>
              <w:rPr>
                <w:rFonts w:ascii="Verdana" w:hAnsi="Verdana"/>
                <w:b/>
                <w:bCs/>
                <w:i/>
                <w:iCs/>
                <w:sz w:val="20"/>
                <w:szCs w:val="20"/>
              </w:rPr>
            </w:pPr>
            <w:r w:rsidRPr="00781E45">
              <w:rPr>
                <w:rFonts w:ascii="Verdana" w:hAnsi="Verdana"/>
                <w:b/>
                <w:bCs/>
                <w:i/>
                <w:iCs/>
                <w:sz w:val="20"/>
                <w:szCs w:val="20"/>
              </w:rPr>
              <w:t>2.0%</w:t>
            </w:r>
          </w:p>
        </w:tc>
        <w:tc>
          <w:tcPr>
            <w:tcW w:w="2060" w:type="dxa"/>
            <w:tcBorders>
              <w:right w:val="single" w:sz="4" w:space="0" w:color="auto"/>
            </w:tcBorders>
          </w:tcPr>
          <w:p w:rsidR="003B5C1D" w:rsidRPr="00781E45" w:rsidRDefault="003B5C1D" w:rsidP="00F606A2">
            <w:pPr>
              <w:jc w:val="center"/>
              <w:rPr>
                <w:rFonts w:ascii="Verdana" w:hAnsi="Verdana"/>
                <w:sz w:val="20"/>
                <w:szCs w:val="20"/>
              </w:rPr>
            </w:pPr>
            <w:r w:rsidRPr="00F606A2">
              <w:rPr>
                <w:rFonts w:ascii="Verdana" w:hAnsi="Verdana"/>
                <w:sz w:val="20"/>
                <w:szCs w:val="20"/>
              </w:rPr>
              <w:t>6.1%</w:t>
            </w:r>
          </w:p>
        </w:tc>
        <w:tc>
          <w:tcPr>
            <w:tcW w:w="2302" w:type="dxa"/>
            <w:tcBorders>
              <w:right w:val="single" w:sz="4" w:space="0" w:color="auto"/>
            </w:tcBorders>
          </w:tcPr>
          <w:p w:rsidR="003B5C1D" w:rsidRPr="00781E45" w:rsidRDefault="003B5C1D" w:rsidP="00F606A2">
            <w:pPr>
              <w:jc w:val="center"/>
              <w:rPr>
                <w:rFonts w:ascii="Verdana" w:hAnsi="Verdana"/>
                <w:sz w:val="20"/>
                <w:szCs w:val="20"/>
              </w:rPr>
            </w:pPr>
            <w:r w:rsidRPr="00F606A2">
              <w:rPr>
                <w:rFonts w:ascii="Verdana" w:hAnsi="Verdana"/>
                <w:sz w:val="20"/>
                <w:szCs w:val="20"/>
              </w:rPr>
              <w:t>60.9%</w:t>
            </w:r>
          </w:p>
        </w:tc>
        <w:tc>
          <w:tcPr>
            <w:tcW w:w="1971" w:type="dxa"/>
            <w:tcBorders>
              <w:right w:val="single" w:sz="4" w:space="0" w:color="auto"/>
            </w:tcBorders>
          </w:tcPr>
          <w:p w:rsidR="003B5C1D" w:rsidRPr="00781E45" w:rsidRDefault="003B5C1D" w:rsidP="00F606A2">
            <w:pPr>
              <w:jc w:val="center"/>
              <w:rPr>
                <w:rFonts w:ascii="Verdana" w:hAnsi="Verdana"/>
                <w:sz w:val="20"/>
                <w:szCs w:val="20"/>
              </w:rPr>
            </w:pPr>
            <w:r w:rsidRPr="00F606A2">
              <w:rPr>
                <w:rFonts w:ascii="Verdana" w:hAnsi="Verdana"/>
                <w:sz w:val="20"/>
                <w:szCs w:val="20"/>
              </w:rPr>
              <w:t>27.4%</w:t>
            </w:r>
          </w:p>
        </w:tc>
        <w:tc>
          <w:tcPr>
            <w:tcW w:w="2130" w:type="dxa"/>
            <w:tcBorders>
              <w:right w:val="single" w:sz="4" w:space="0" w:color="auto"/>
            </w:tcBorders>
          </w:tcPr>
          <w:p w:rsidR="003B5C1D" w:rsidRPr="00781E45" w:rsidRDefault="003B5C1D" w:rsidP="00F606A2">
            <w:pPr>
              <w:jc w:val="center"/>
              <w:rPr>
                <w:rFonts w:ascii="Verdana" w:hAnsi="Verdana"/>
                <w:sz w:val="20"/>
                <w:szCs w:val="20"/>
              </w:rPr>
            </w:pPr>
            <w:r w:rsidRPr="00F606A2">
              <w:rPr>
                <w:rFonts w:ascii="Verdana" w:hAnsi="Verdana"/>
                <w:sz w:val="20"/>
                <w:szCs w:val="20"/>
              </w:rPr>
              <w:t>5.6%</w:t>
            </w:r>
          </w:p>
        </w:tc>
      </w:tr>
      <w:tr w:rsidR="003B5C1D" w:rsidRPr="00781E45" w:rsidTr="00E4217D">
        <w:trPr>
          <w:trHeight w:val="285"/>
        </w:trPr>
        <w:tc>
          <w:tcPr>
            <w:tcW w:w="1250" w:type="dxa"/>
            <w:hideMark/>
          </w:tcPr>
          <w:p w:rsidR="003B5C1D" w:rsidRPr="00781E45" w:rsidRDefault="003B5C1D" w:rsidP="00F606A2">
            <w:pPr>
              <w:jc w:val="center"/>
              <w:rPr>
                <w:rFonts w:ascii="Verdana" w:hAnsi="Verdana"/>
                <w:b/>
                <w:bCs/>
                <w:i/>
                <w:iCs/>
                <w:sz w:val="20"/>
                <w:szCs w:val="20"/>
              </w:rPr>
            </w:pPr>
            <w:r w:rsidRPr="00781E45">
              <w:rPr>
                <w:rFonts w:ascii="Verdana" w:hAnsi="Verdana"/>
                <w:b/>
                <w:bCs/>
                <w:i/>
                <w:iCs/>
                <w:sz w:val="20"/>
                <w:szCs w:val="20"/>
              </w:rPr>
              <w:t>2.5%</w:t>
            </w:r>
          </w:p>
        </w:tc>
        <w:tc>
          <w:tcPr>
            <w:tcW w:w="2060" w:type="dxa"/>
            <w:tcBorders>
              <w:right w:val="single" w:sz="4" w:space="0" w:color="auto"/>
            </w:tcBorders>
          </w:tcPr>
          <w:p w:rsidR="003B5C1D" w:rsidRPr="00781E45" w:rsidRDefault="003B5C1D" w:rsidP="00F606A2">
            <w:pPr>
              <w:jc w:val="center"/>
              <w:rPr>
                <w:rFonts w:ascii="Verdana" w:hAnsi="Verdana"/>
                <w:sz w:val="20"/>
                <w:szCs w:val="20"/>
              </w:rPr>
            </w:pPr>
            <w:r w:rsidRPr="00F606A2">
              <w:rPr>
                <w:rFonts w:ascii="Verdana" w:hAnsi="Verdana"/>
                <w:sz w:val="20"/>
                <w:szCs w:val="20"/>
              </w:rPr>
              <w:t>4.5%</w:t>
            </w:r>
          </w:p>
        </w:tc>
        <w:tc>
          <w:tcPr>
            <w:tcW w:w="2302" w:type="dxa"/>
            <w:tcBorders>
              <w:right w:val="single" w:sz="4" w:space="0" w:color="auto"/>
            </w:tcBorders>
          </w:tcPr>
          <w:p w:rsidR="003B5C1D" w:rsidRPr="00781E45" w:rsidRDefault="003B5C1D" w:rsidP="00F606A2">
            <w:pPr>
              <w:jc w:val="center"/>
              <w:rPr>
                <w:rFonts w:ascii="Verdana" w:hAnsi="Verdana"/>
                <w:sz w:val="20"/>
                <w:szCs w:val="20"/>
              </w:rPr>
            </w:pPr>
            <w:r w:rsidRPr="00F606A2">
              <w:rPr>
                <w:rFonts w:ascii="Verdana" w:hAnsi="Verdana"/>
                <w:sz w:val="20"/>
                <w:szCs w:val="20"/>
              </w:rPr>
              <w:t>48.6%</w:t>
            </w:r>
          </w:p>
        </w:tc>
        <w:tc>
          <w:tcPr>
            <w:tcW w:w="1971" w:type="dxa"/>
            <w:tcBorders>
              <w:right w:val="single" w:sz="4" w:space="0" w:color="auto"/>
            </w:tcBorders>
          </w:tcPr>
          <w:p w:rsidR="003B5C1D" w:rsidRPr="00781E45" w:rsidRDefault="003B5C1D" w:rsidP="00F606A2">
            <w:pPr>
              <w:jc w:val="center"/>
              <w:rPr>
                <w:rFonts w:ascii="Verdana" w:hAnsi="Verdana"/>
                <w:sz w:val="20"/>
                <w:szCs w:val="20"/>
              </w:rPr>
            </w:pPr>
            <w:r w:rsidRPr="00F606A2">
              <w:rPr>
                <w:rFonts w:ascii="Verdana" w:hAnsi="Verdana"/>
                <w:sz w:val="20"/>
                <w:szCs w:val="20"/>
              </w:rPr>
              <w:t>38.5%</w:t>
            </w:r>
          </w:p>
        </w:tc>
        <w:tc>
          <w:tcPr>
            <w:tcW w:w="2130" w:type="dxa"/>
            <w:tcBorders>
              <w:right w:val="single" w:sz="4" w:space="0" w:color="auto"/>
            </w:tcBorders>
          </w:tcPr>
          <w:p w:rsidR="003B5C1D" w:rsidRPr="00781E45" w:rsidRDefault="003B5C1D" w:rsidP="00F606A2">
            <w:pPr>
              <w:jc w:val="center"/>
              <w:rPr>
                <w:rFonts w:ascii="Verdana" w:hAnsi="Verdana"/>
                <w:sz w:val="20"/>
                <w:szCs w:val="20"/>
              </w:rPr>
            </w:pPr>
            <w:r w:rsidRPr="00F606A2">
              <w:rPr>
                <w:rFonts w:ascii="Verdana" w:hAnsi="Verdana"/>
                <w:sz w:val="20"/>
                <w:szCs w:val="20"/>
              </w:rPr>
              <w:t>8.4%</w:t>
            </w:r>
          </w:p>
        </w:tc>
      </w:tr>
      <w:tr w:rsidR="001C6E28" w:rsidRPr="00781E45" w:rsidTr="00E4217D">
        <w:trPr>
          <w:trHeight w:val="285"/>
        </w:trPr>
        <w:tc>
          <w:tcPr>
            <w:tcW w:w="1250" w:type="dxa"/>
            <w:hideMark/>
          </w:tcPr>
          <w:p w:rsidR="001C6E28" w:rsidRPr="00781E45" w:rsidRDefault="001C6E28" w:rsidP="00F606A2">
            <w:pPr>
              <w:jc w:val="center"/>
              <w:rPr>
                <w:rFonts w:ascii="Verdana" w:hAnsi="Verdana"/>
                <w:b/>
                <w:bCs/>
                <w:i/>
                <w:iCs/>
                <w:sz w:val="20"/>
                <w:szCs w:val="20"/>
              </w:rPr>
            </w:pPr>
            <w:r w:rsidRPr="00781E45">
              <w:rPr>
                <w:rFonts w:ascii="Verdana" w:hAnsi="Verdana"/>
                <w:b/>
                <w:bCs/>
                <w:i/>
                <w:iCs/>
                <w:sz w:val="20"/>
                <w:szCs w:val="20"/>
              </w:rPr>
              <w:t>3.0%</w:t>
            </w:r>
          </w:p>
        </w:tc>
        <w:tc>
          <w:tcPr>
            <w:tcW w:w="2060" w:type="dxa"/>
            <w:tcBorders>
              <w:right w:val="single" w:sz="4" w:space="0" w:color="auto"/>
            </w:tcBorders>
          </w:tcPr>
          <w:p w:rsidR="001C6E28" w:rsidRPr="00781E45" w:rsidRDefault="001C6E28" w:rsidP="00F606A2">
            <w:pPr>
              <w:jc w:val="center"/>
              <w:rPr>
                <w:rFonts w:ascii="Verdana" w:hAnsi="Verdana"/>
                <w:sz w:val="20"/>
                <w:szCs w:val="20"/>
              </w:rPr>
            </w:pPr>
            <w:r w:rsidRPr="00F606A2">
              <w:rPr>
                <w:rFonts w:ascii="Verdana" w:hAnsi="Verdana"/>
                <w:sz w:val="20"/>
                <w:szCs w:val="20"/>
              </w:rPr>
              <w:t>3.4%</w:t>
            </w:r>
          </w:p>
        </w:tc>
        <w:tc>
          <w:tcPr>
            <w:tcW w:w="2302" w:type="dxa"/>
            <w:tcBorders>
              <w:right w:val="single" w:sz="4" w:space="0" w:color="auto"/>
            </w:tcBorders>
          </w:tcPr>
          <w:p w:rsidR="001C6E28" w:rsidRPr="00781E45" w:rsidRDefault="001C6E28" w:rsidP="00F606A2">
            <w:pPr>
              <w:jc w:val="center"/>
              <w:rPr>
                <w:rFonts w:ascii="Verdana" w:hAnsi="Verdana"/>
                <w:sz w:val="20"/>
                <w:szCs w:val="20"/>
              </w:rPr>
            </w:pPr>
            <w:r w:rsidRPr="00F606A2">
              <w:rPr>
                <w:rFonts w:ascii="Verdana" w:hAnsi="Verdana"/>
                <w:sz w:val="20"/>
                <w:szCs w:val="20"/>
              </w:rPr>
              <w:t>34.6%</w:t>
            </w:r>
          </w:p>
        </w:tc>
        <w:tc>
          <w:tcPr>
            <w:tcW w:w="1971" w:type="dxa"/>
            <w:tcBorders>
              <w:right w:val="single" w:sz="4" w:space="0" w:color="auto"/>
            </w:tcBorders>
          </w:tcPr>
          <w:p w:rsidR="001C6E28" w:rsidRPr="00781E45" w:rsidRDefault="001C6E28" w:rsidP="00F606A2">
            <w:pPr>
              <w:jc w:val="center"/>
              <w:rPr>
                <w:rFonts w:ascii="Verdana" w:hAnsi="Verdana"/>
                <w:sz w:val="20"/>
                <w:szCs w:val="20"/>
              </w:rPr>
            </w:pPr>
            <w:r w:rsidRPr="00F606A2">
              <w:rPr>
                <w:rFonts w:ascii="Verdana" w:hAnsi="Verdana"/>
                <w:sz w:val="20"/>
                <w:szCs w:val="20"/>
              </w:rPr>
              <w:t>41.9%</w:t>
            </w:r>
          </w:p>
        </w:tc>
        <w:tc>
          <w:tcPr>
            <w:tcW w:w="2130" w:type="dxa"/>
            <w:tcBorders>
              <w:right w:val="single" w:sz="4" w:space="0" w:color="auto"/>
            </w:tcBorders>
          </w:tcPr>
          <w:p w:rsidR="001C6E28" w:rsidRPr="00781E45" w:rsidRDefault="001C6E28" w:rsidP="00F606A2">
            <w:pPr>
              <w:jc w:val="center"/>
              <w:rPr>
                <w:rFonts w:ascii="Verdana" w:hAnsi="Verdana"/>
                <w:sz w:val="20"/>
                <w:szCs w:val="20"/>
              </w:rPr>
            </w:pPr>
            <w:r w:rsidRPr="00F606A2">
              <w:rPr>
                <w:rFonts w:ascii="Verdana" w:hAnsi="Verdana"/>
                <w:sz w:val="20"/>
                <w:szCs w:val="20"/>
              </w:rPr>
              <w:t>20.1%</w:t>
            </w:r>
          </w:p>
        </w:tc>
      </w:tr>
      <w:tr w:rsidR="001C6E28" w:rsidRPr="00781E45" w:rsidTr="00E4217D">
        <w:trPr>
          <w:trHeight w:val="285"/>
        </w:trPr>
        <w:tc>
          <w:tcPr>
            <w:tcW w:w="1250" w:type="dxa"/>
            <w:hideMark/>
          </w:tcPr>
          <w:p w:rsidR="001C6E28" w:rsidRPr="00781E45" w:rsidRDefault="001C6E28" w:rsidP="00F606A2">
            <w:pPr>
              <w:jc w:val="center"/>
              <w:rPr>
                <w:rFonts w:ascii="Verdana" w:hAnsi="Verdana"/>
                <w:b/>
                <w:bCs/>
                <w:i/>
                <w:iCs/>
                <w:sz w:val="20"/>
                <w:szCs w:val="20"/>
              </w:rPr>
            </w:pPr>
            <w:r w:rsidRPr="00781E45">
              <w:rPr>
                <w:rFonts w:ascii="Verdana" w:hAnsi="Verdana"/>
                <w:b/>
                <w:bCs/>
                <w:i/>
                <w:iCs/>
                <w:sz w:val="20"/>
                <w:szCs w:val="20"/>
              </w:rPr>
              <w:t>3.5%</w:t>
            </w:r>
          </w:p>
        </w:tc>
        <w:tc>
          <w:tcPr>
            <w:tcW w:w="2060" w:type="dxa"/>
            <w:tcBorders>
              <w:right w:val="single" w:sz="4" w:space="0" w:color="auto"/>
            </w:tcBorders>
          </w:tcPr>
          <w:p w:rsidR="001C6E28" w:rsidRPr="00781E45" w:rsidRDefault="001C6E28" w:rsidP="00F606A2">
            <w:pPr>
              <w:jc w:val="center"/>
              <w:rPr>
                <w:rFonts w:ascii="Verdana" w:hAnsi="Verdana"/>
                <w:sz w:val="20"/>
                <w:szCs w:val="20"/>
              </w:rPr>
            </w:pPr>
            <w:r w:rsidRPr="00F606A2">
              <w:rPr>
                <w:rFonts w:ascii="Verdana" w:hAnsi="Verdana"/>
                <w:sz w:val="20"/>
                <w:szCs w:val="20"/>
              </w:rPr>
              <w:t>3.4%</w:t>
            </w:r>
          </w:p>
        </w:tc>
        <w:tc>
          <w:tcPr>
            <w:tcW w:w="2302" w:type="dxa"/>
            <w:tcBorders>
              <w:right w:val="single" w:sz="4" w:space="0" w:color="auto"/>
            </w:tcBorders>
          </w:tcPr>
          <w:p w:rsidR="001C6E28" w:rsidRPr="00781E45" w:rsidRDefault="001C6E28" w:rsidP="00F606A2">
            <w:pPr>
              <w:jc w:val="center"/>
              <w:rPr>
                <w:rFonts w:ascii="Verdana" w:hAnsi="Verdana"/>
                <w:sz w:val="20"/>
                <w:szCs w:val="20"/>
              </w:rPr>
            </w:pPr>
            <w:r w:rsidRPr="00F606A2">
              <w:rPr>
                <w:rFonts w:ascii="Verdana" w:hAnsi="Verdana"/>
                <w:sz w:val="20"/>
                <w:szCs w:val="20"/>
              </w:rPr>
              <w:t>24.0%</w:t>
            </w:r>
          </w:p>
        </w:tc>
        <w:tc>
          <w:tcPr>
            <w:tcW w:w="1971" w:type="dxa"/>
            <w:tcBorders>
              <w:right w:val="single" w:sz="4" w:space="0" w:color="auto"/>
            </w:tcBorders>
          </w:tcPr>
          <w:p w:rsidR="001C6E28" w:rsidRPr="00781E45" w:rsidRDefault="001C6E28" w:rsidP="00F606A2">
            <w:pPr>
              <w:jc w:val="center"/>
              <w:rPr>
                <w:rFonts w:ascii="Verdana" w:hAnsi="Verdana"/>
                <w:sz w:val="20"/>
                <w:szCs w:val="20"/>
              </w:rPr>
            </w:pPr>
            <w:r w:rsidRPr="00F606A2">
              <w:rPr>
                <w:rFonts w:ascii="Verdana" w:hAnsi="Verdana"/>
                <w:sz w:val="20"/>
                <w:szCs w:val="20"/>
              </w:rPr>
              <w:t>43.6%</w:t>
            </w:r>
          </w:p>
        </w:tc>
        <w:tc>
          <w:tcPr>
            <w:tcW w:w="2130" w:type="dxa"/>
            <w:tcBorders>
              <w:right w:val="single" w:sz="4" w:space="0" w:color="auto"/>
            </w:tcBorders>
          </w:tcPr>
          <w:p w:rsidR="001C6E28" w:rsidRPr="00781E45" w:rsidRDefault="001C6E28" w:rsidP="00F606A2">
            <w:pPr>
              <w:jc w:val="center"/>
              <w:rPr>
                <w:rFonts w:ascii="Verdana" w:hAnsi="Verdana"/>
                <w:sz w:val="20"/>
                <w:szCs w:val="20"/>
              </w:rPr>
            </w:pPr>
            <w:r w:rsidRPr="00F606A2">
              <w:rPr>
                <w:rFonts w:ascii="Verdana" w:hAnsi="Verdana"/>
                <w:sz w:val="20"/>
                <w:szCs w:val="20"/>
              </w:rPr>
              <w:t>29.1%</w:t>
            </w:r>
          </w:p>
        </w:tc>
      </w:tr>
      <w:tr w:rsidR="001C6E28" w:rsidRPr="00781E45" w:rsidTr="00E4217D">
        <w:trPr>
          <w:trHeight w:val="285"/>
        </w:trPr>
        <w:tc>
          <w:tcPr>
            <w:tcW w:w="1250" w:type="dxa"/>
            <w:hideMark/>
          </w:tcPr>
          <w:p w:rsidR="001C6E28" w:rsidRPr="00781E45" w:rsidRDefault="001C6E28" w:rsidP="00F606A2">
            <w:pPr>
              <w:jc w:val="center"/>
              <w:rPr>
                <w:rFonts w:ascii="Verdana" w:hAnsi="Verdana"/>
                <w:b/>
                <w:bCs/>
                <w:i/>
                <w:iCs/>
                <w:sz w:val="20"/>
                <w:szCs w:val="20"/>
              </w:rPr>
            </w:pPr>
            <w:r w:rsidRPr="00781E45">
              <w:rPr>
                <w:rFonts w:ascii="Verdana" w:hAnsi="Verdana"/>
                <w:b/>
                <w:bCs/>
                <w:i/>
                <w:iCs/>
                <w:sz w:val="20"/>
                <w:szCs w:val="20"/>
              </w:rPr>
              <w:t>4.0%</w:t>
            </w:r>
          </w:p>
        </w:tc>
        <w:tc>
          <w:tcPr>
            <w:tcW w:w="2060" w:type="dxa"/>
            <w:tcBorders>
              <w:right w:val="single" w:sz="4" w:space="0" w:color="auto"/>
            </w:tcBorders>
          </w:tcPr>
          <w:p w:rsidR="001C6E28" w:rsidRPr="00781E45" w:rsidRDefault="001C6E28" w:rsidP="00F606A2">
            <w:pPr>
              <w:jc w:val="center"/>
              <w:rPr>
                <w:rFonts w:ascii="Verdana" w:hAnsi="Verdana"/>
                <w:sz w:val="20"/>
                <w:szCs w:val="20"/>
              </w:rPr>
            </w:pPr>
            <w:r w:rsidRPr="00F606A2">
              <w:rPr>
                <w:rFonts w:ascii="Verdana" w:hAnsi="Verdana"/>
                <w:sz w:val="20"/>
                <w:szCs w:val="20"/>
              </w:rPr>
              <w:t>5.0%</w:t>
            </w:r>
          </w:p>
        </w:tc>
        <w:tc>
          <w:tcPr>
            <w:tcW w:w="2302" w:type="dxa"/>
            <w:tcBorders>
              <w:right w:val="single" w:sz="4" w:space="0" w:color="auto"/>
            </w:tcBorders>
          </w:tcPr>
          <w:p w:rsidR="001C6E28" w:rsidRPr="00781E45" w:rsidRDefault="001C6E28" w:rsidP="00F606A2">
            <w:pPr>
              <w:jc w:val="center"/>
              <w:rPr>
                <w:rFonts w:ascii="Verdana" w:hAnsi="Verdana"/>
                <w:sz w:val="20"/>
                <w:szCs w:val="20"/>
              </w:rPr>
            </w:pPr>
            <w:r w:rsidRPr="00F606A2">
              <w:rPr>
                <w:rFonts w:ascii="Verdana" w:hAnsi="Verdana"/>
                <w:sz w:val="20"/>
                <w:szCs w:val="20"/>
              </w:rPr>
              <w:t>19.6%</w:t>
            </w:r>
          </w:p>
        </w:tc>
        <w:tc>
          <w:tcPr>
            <w:tcW w:w="1971" w:type="dxa"/>
            <w:tcBorders>
              <w:right w:val="single" w:sz="4" w:space="0" w:color="auto"/>
            </w:tcBorders>
          </w:tcPr>
          <w:p w:rsidR="001C6E28" w:rsidRPr="00781E45" w:rsidRDefault="001C6E28" w:rsidP="00F606A2">
            <w:pPr>
              <w:jc w:val="center"/>
              <w:rPr>
                <w:rFonts w:ascii="Verdana" w:hAnsi="Verdana"/>
                <w:sz w:val="20"/>
                <w:szCs w:val="20"/>
              </w:rPr>
            </w:pPr>
            <w:r w:rsidRPr="00F606A2">
              <w:rPr>
                <w:rFonts w:ascii="Verdana" w:hAnsi="Verdana"/>
                <w:sz w:val="20"/>
                <w:szCs w:val="20"/>
              </w:rPr>
              <w:t>35.8%</w:t>
            </w:r>
          </w:p>
        </w:tc>
        <w:tc>
          <w:tcPr>
            <w:tcW w:w="2130" w:type="dxa"/>
            <w:tcBorders>
              <w:right w:val="single" w:sz="4" w:space="0" w:color="auto"/>
            </w:tcBorders>
          </w:tcPr>
          <w:p w:rsidR="001C6E28" w:rsidRPr="00781E45" w:rsidRDefault="001C6E28" w:rsidP="00F606A2">
            <w:pPr>
              <w:jc w:val="center"/>
              <w:rPr>
                <w:rFonts w:ascii="Verdana" w:hAnsi="Verdana"/>
                <w:sz w:val="20"/>
                <w:szCs w:val="20"/>
              </w:rPr>
            </w:pPr>
            <w:r w:rsidRPr="00F606A2">
              <w:rPr>
                <w:rFonts w:ascii="Verdana" w:hAnsi="Verdana"/>
                <w:sz w:val="20"/>
                <w:szCs w:val="20"/>
              </w:rPr>
              <w:t>39.7%</w:t>
            </w:r>
          </w:p>
        </w:tc>
      </w:tr>
    </w:tbl>
    <w:p w:rsidR="00B11F36" w:rsidRDefault="00B11F36" w:rsidP="000D71BB">
      <w:pPr>
        <w:numPr>
          <w:ilvl w:val="1"/>
          <w:numId w:val="0"/>
        </w:numPr>
        <w:spacing w:after="0"/>
        <w:jc w:val="center"/>
        <w:rPr>
          <w:rFonts w:ascii="Verdana" w:eastAsiaTheme="majorEastAsia" w:hAnsi="Verdana" w:cstheme="majorBidi"/>
          <w:b/>
          <w:iCs/>
          <w:spacing w:val="15"/>
          <w:sz w:val="16"/>
          <w:szCs w:val="16"/>
        </w:rPr>
      </w:pPr>
    </w:p>
    <w:p w:rsidR="00B11F36" w:rsidRDefault="00B11F36">
      <w:pPr>
        <w:rPr>
          <w:rFonts w:ascii="Verdana" w:eastAsiaTheme="majorEastAsia" w:hAnsi="Verdana" w:cstheme="majorBidi"/>
          <w:b/>
          <w:iCs/>
          <w:spacing w:val="15"/>
          <w:sz w:val="16"/>
          <w:szCs w:val="16"/>
        </w:rPr>
      </w:pPr>
      <w:r>
        <w:rPr>
          <w:rFonts w:ascii="Verdana" w:eastAsiaTheme="majorEastAsia" w:hAnsi="Verdana" w:cstheme="majorBidi"/>
          <w:b/>
          <w:iCs/>
          <w:spacing w:val="15"/>
          <w:sz w:val="16"/>
          <w:szCs w:val="16"/>
        </w:rPr>
        <w:br w:type="page"/>
      </w:r>
    </w:p>
    <w:p w:rsidR="00E26A21" w:rsidRPr="002D2940" w:rsidRDefault="00805EB6" w:rsidP="000D71BB">
      <w:pPr>
        <w:numPr>
          <w:ilvl w:val="1"/>
          <w:numId w:val="0"/>
        </w:numPr>
        <w:spacing w:after="0"/>
        <w:jc w:val="center"/>
        <w:rPr>
          <w:rFonts w:ascii="Verdana" w:eastAsiaTheme="majorEastAsia" w:hAnsi="Verdana" w:cstheme="majorBidi"/>
          <w:b/>
          <w:iCs/>
          <w:spacing w:val="15"/>
          <w:sz w:val="16"/>
          <w:szCs w:val="16"/>
        </w:rPr>
      </w:pPr>
      <w:r>
        <w:rPr>
          <w:rFonts w:ascii="Verdana" w:eastAsiaTheme="majorEastAsia" w:hAnsi="Verdana" w:cstheme="majorBidi"/>
          <w:b/>
          <w:iCs/>
          <w:spacing w:val="15"/>
          <w:sz w:val="16"/>
          <w:szCs w:val="16"/>
        </w:rPr>
        <w:lastRenderedPageBreak/>
        <w:t>Chart</w:t>
      </w:r>
      <w:r w:rsidR="00FB2479" w:rsidRPr="002D2940">
        <w:rPr>
          <w:rFonts w:ascii="Verdana" w:eastAsiaTheme="majorEastAsia" w:hAnsi="Verdana" w:cstheme="majorBidi"/>
          <w:b/>
          <w:iCs/>
          <w:spacing w:val="15"/>
          <w:sz w:val="16"/>
          <w:szCs w:val="16"/>
        </w:rPr>
        <w:t xml:space="preserve"> </w:t>
      </w:r>
      <w:r w:rsidR="00E550BF">
        <w:rPr>
          <w:rFonts w:ascii="Verdana" w:eastAsiaTheme="majorEastAsia" w:hAnsi="Verdana" w:cstheme="majorBidi"/>
          <w:b/>
          <w:iCs/>
          <w:spacing w:val="15"/>
          <w:sz w:val="16"/>
          <w:szCs w:val="16"/>
        </w:rPr>
        <w:t>1</w:t>
      </w:r>
      <w:r w:rsidR="00D51FB6">
        <w:rPr>
          <w:rFonts w:ascii="Verdana" w:eastAsiaTheme="majorEastAsia" w:hAnsi="Verdana" w:cstheme="majorBidi"/>
          <w:b/>
          <w:iCs/>
          <w:spacing w:val="15"/>
          <w:sz w:val="16"/>
          <w:szCs w:val="16"/>
        </w:rPr>
        <w:t>0</w:t>
      </w:r>
      <w:r w:rsidR="00FB2479" w:rsidRPr="002D2940">
        <w:rPr>
          <w:rFonts w:ascii="Verdana" w:eastAsiaTheme="majorEastAsia" w:hAnsi="Verdana" w:cstheme="majorBidi"/>
          <w:b/>
          <w:iCs/>
          <w:spacing w:val="15"/>
          <w:sz w:val="16"/>
          <w:szCs w:val="16"/>
        </w:rPr>
        <w:t xml:space="preserve"> – </w:t>
      </w:r>
      <w:r w:rsidR="00121ED2" w:rsidRPr="002D2940">
        <w:rPr>
          <w:rFonts w:ascii="Verdana" w:eastAsiaTheme="majorEastAsia" w:hAnsi="Verdana" w:cstheme="majorBidi"/>
          <w:b/>
          <w:iCs/>
          <w:spacing w:val="15"/>
          <w:sz w:val="16"/>
          <w:szCs w:val="16"/>
        </w:rPr>
        <w:t>Respondents reporting negative impacts</w:t>
      </w:r>
    </w:p>
    <w:p w:rsidR="00017C8D" w:rsidRDefault="000D71BB" w:rsidP="002D2940">
      <w:pPr>
        <w:jc w:val="center"/>
        <w:rPr>
          <w:rFonts w:ascii="Verdana" w:hAnsi="Verdana"/>
          <w:sz w:val="20"/>
          <w:szCs w:val="20"/>
        </w:rPr>
      </w:pPr>
      <w:r w:rsidRPr="000D71BB">
        <w:rPr>
          <w:rFonts w:ascii="Verdana" w:hAnsi="Verdana"/>
          <w:sz w:val="20"/>
          <w:szCs w:val="20"/>
        </w:rPr>
        <w:t xml:space="preserve"> </w:t>
      </w:r>
      <w:r w:rsidR="00CB44F0" w:rsidRPr="00CB44F0">
        <w:rPr>
          <w:noProof/>
          <w:lang w:eastAsia="en-AU"/>
        </w:rPr>
        <w:drawing>
          <wp:inline distT="0" distB="0" distL="0" distR="0" wp14:anchorId="6293780A" wp14:editId="4E70FB36">
            <wp:extent cx="4858385" cy="31051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58385" cy="3105150"/>
                    </a:xfrm>
                    <a:prstGeom prst="rect">
                      <a:avLst/>
                    </a:prstGeom>
                    <a:noFill/>
                    <a:ln>
                      <a:noFill/>
                    </a:ln>
                  </pic:spPr>
                </pic:pic>
              </a:graphicData>
            </a:graphic>
          </wp:inline>
        </w:drawing>
      </w:r>
    </w:p>
    <w:p w:rsidR="007F7FE2" w:rsidRDefault="007F7FE2" w:rsidP="00D07420">
      <w:pPr>
        <w:jc w:val="center"/>
        <w:rPr>
          <w:rFonts w:ascii="Verdana" w:eastAsiaTheme="majorEastAsia" w:hAnsi="Verdana" w:cstheme="majorBidi"/>
          <w:b/>
          <w:iCs/>
          <w:spacing w:val="15"/>
          <w:sz w:val="16"/>
          <w:szCs w:val="16"/>
        </w:rPr>
      </w:pPr>
    </w:p>
    <w:p w:rsidR="00121ED2" w:rsidRPr="00641968" w:rsidRDefault="00805EB6" w:rsidP="00D07420">
      <w:pPr>
        <w:jc w:val="center"/>
        <w:rPr>
          <w:rFonts w:ascii="Verdana" w:eastAsiaTheme="majorEastAsia" w:hAnsi="Verdana" w:cstheme="majorBidi"/>
          <w:b/>
          <w:iCs/>
          <w:spacing w:val="15"/>
          <w:sz w:val="16"/>
          <w:szCs w:val="16"/>
          <w:highlight w:val="magenta"/>
        </w:rPr>
      </w:pPr>
      <w:r>
        <w:rPr>
          <w:rFonts w:ascii="Verdana" w:eastAsiaTheme="majorEastAsia" w:hAnsi="Verdana" w:cstheme="majorBidi"/>
          <w:b/>
          <w:iCs/>
          <w:spacing w:val="15"/>
          <w:sz w:val="16"/>
          <w:szCs w:val="16"/>
        </w:rPr>
        <w:t>Chart</w:t>
      </w:r>
      <w:r w:rsidR="00121ED2" w:rsidRPr="002D2940">
        <w:rPr>
          <w:rFonts w:ascii="Verdana" w:eastAsiaTheme="majorEastAsia" w:hAnsi="Verdana" w:cstheme="majorBidi"/>
          <w:b/>
          <w:iCs/>
          <w:spacing w:val="15"/>
          <w:sz w:val="16"/>
          <w:szCs w:val="16"/>
        </w:rPr>
        <w:t xml:space="preserve"> </w:t>
      </w:r>
      <w:r w:rsidR="00E550BF">
        <w:rPr>
          <w:rFonts w:ascii="Verdana" w:eastAsiaTheme="majorEastAsia" w:hAnsi="Verdana" w:cstheme="majorBidi"/>
          <w:b/>
          <w:iCs/>
          <w:spacing w:val="15"/>
          <w:sz w:val="16"/>
          <w:szCs w:val="16"/>
        </w:rPr>
        <w:t>1</w:t>
      </w:r>
      <w:r w:rsidR="00D51FB6">
        <w:rPr>
          <w:rFonts w:ascii="Verdana" w:eastAsiaTheme="majorEastAsia" w:hAnsi="Verdana" w:cstheme="majorBidi"/>
          <w:b/>
          <w:iCs/>
          <w:spacing w:val="15"/>
          <w:sz w:val="16"/>
          <w:szCs w:val="16"/>
        </w:rPr>
        <w:t>1</w:t>
      </w:r>
      <w:r w:rsidR="00121ED2" w:rsidRPr="002D2940">
        <w:rPr>
          <w:rFonts w:ascii="Verdana" w:eastAsiaTheme="majorEastAsia" w:hAnsi="Verdana" w:cstheme="majorBidi"/>
          <w:b/>
          <w:iCs/>
          <w:spacing w:val="15"/>
          <w:sz w:val="16"/>
          <w:szCs w:val="16"/>
        </w:rPr>
        <w:t xml:space="preserve"> – Marginal cost (increase in respondents reporting negative impacts)</w:t>
      </w:r>
    </w:p>
    <w:p w:rsidR="00017C8D" w:rsidRDefault="00121ED2" w:rsidP="002D2940">
      <w:pPr>
        <w:jc w:val="center"/>
        <w:rPr>
          <w:rFonts w:ascii="Verdana" w:hAnsi="Verdana"/>
          <w:sz w:val="20"/>
          <w:szCs w:val="20"/>
        </w:rPr>
      </w:pPr>
      <w:r w:rsidRPr="00321FF4">
        <w:t xml:space="preserve"> </w:t>
      </w:r>
      <w:r w:rsidR="00CB44F0" w:rsidRPr="00CB44F0">
        <w:rPr>
          <w:noProof/>
          <w:lang w:eastAsia="en-AU"/>
        </w:rPr>
        <w:drawing>
          <wp:inline distT="0" distB="0" distL="0" distR="0" wp14:anchorId="5F622FD1" wp14:editId="54D13FAA">
            <wp:extent cx="4845050" cy="3268345"/>
            <wp:effectExtent l="0" t="0" r="0"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45050" cy="3268345"/>
                    </a:xfrm>
                    <a:prstGeom prst="rect">
                      <a:avLst/>
                    </a:prstGeom>
                    <a:noFill/>
                    <a:ln>
                      <a:noFill/>
                    </a:ln>
                  </pic:spPr>
                </pic:pic>
              </a:graphicData>
            </a:graphic>
          </wp:inline>
        </w:drawing>
      </w:r>
    </w:p>
    <w:p w:rsidR="00B47E1A" w:rsidRDefault="00B47E1A">
      <w:pPr>
        <w:rPr>
          <w:rFonts w:ascii="Verdana" w:hAnsi="Verdana"/>
          <w:sz w:val="20"/>
          <w:szCs w:val="20"/>
        </w:rPr>
      </w:pPr>
    </w:p>
    <w:p w:rsidR="00B47E1A" w:rsidRDefault="00B47E1A">
      <w:pPr>
        <w:rPr>
          <w:rFonts w:ascii="Verdana" w:hAnsi="Verdana"/>
          <w:sz w:val="20"/>
          <w:szCs w:val="20"/>
        </w:rPr>
      </w:pPr>
    </w:p>
    <w:p w:rsidR="00B47E1A" w:rsidRDefault="00B47E1A">
      <w:pPr>
        <w:rPr>
          <w:rFonts w:ascii="Verdana" w:hAnsi="Verdana"/>
          <w:sz w:val="20"/>
          <w:szCs w:val="20"/>
        </w:rPr>
      </w:pPr>
    </w:p>
    <w:p w:rsidR="00EA3D3F" w:rsidRDefault="00FF078B" w:rsidP="002D2940">
      <w:pPr>
        <w:spacing w:line="240" w:lineRule="auto"/>
        <w:rPr>
          <w:rStyle w:val="Heading1Char"/>
        </w:rPr>
      </w:pPr>
      <w:r>
        <w:rPr>
          <w:rStyle w:val="Heading1Char"/>
        </w:rPr>
        <w:lastRenderedPageBreak/>
        <w:t>P</w:t>
      </w:r>
      <w:r w:rsidR="00F85003">
        <w:rPr>
          <w:rStyle w:val="Heading1Char"/>
        </w:rPr>
        <w:t xml:space="preserve">art </w:t>
      </w:r>
      <w:r>
        <w:rPr>
          <w:rStyle w:val="Heading1Char"/>
        </w:rPr>
        <w:t>I</w:t>
      </w:r>
      <w:r w:rsidR="00F85003">
        <w:rPr>
          <w:rStyle w:val="Heading1Char"/>
        </w:rPr>
        <w:t>V</w:t>
      </w:r>
      <w:r>
        <w:rPr>
          <w:rStyle w:val="Heading1Char"/>
        </w:rPr>
        <w:t xml:space="preserve"> </w:t>
      </w:r>
      <w:r w:rsidR="00C64F55">
        <w:rPr>
          <w:rStyle w:val="Heading1Char"/>
        </w:rPr>
        <w:t>–</w:t>
      </w:r>
      <w:r>
        <w:rPr>
          <w:rStyle w:val="Heading1Char"/>
        </w:rPr>
        <w:t xml:space="preserve"> </w:t>
      </w:r>
      <w:r w:rsidR="00C64F55">
        <w:rPr>
          <w:rStyle w:val="Heading1Char"/>
        </w:rPr>
        <w:t>The Penalty rates decision</w:t>
      </w:r>
    </w:p>
    <w:p w:rsidR="002302AA" w:rsidRPr="00F147F6" w:rsidRDefault="00C64F55" w:rsidP="00F147F6">
      <w:pPr>
        <w:rPr>
          <w:rStyle w:val="Heading1Char"/>
          <w:color w:val="auto"/>
          <w:sz w:val="20"/>
          <w:szCs w:val="20"/>
        </w:rPr>
      </w:pPr>
      <w:r w:rsidRPr="00F147F6">
        <w:rPr>
          <w:rStyle w:val="Heading1Char"/>
          <w:color w:val="auto"/>
          <w:sz w:val="20"/>
          <w:szCs w:val="20"/>
        </w:rPr>
        <w:t>The 20</w:t>
      </w:r>
      <w:r w:rsidR="00C16490">
        <w:rPr>
          <w:rStyle w:val="Heading1Char"/>
          <w:color w:val="auto"/>
          <w:sz w:val="20"/>
          <w:szCs w:val="20"/>
        </w:rPr>
        <w:t>16-</w:t>
      </w:r>
      <w:r w:rsidRPr="00F147F6">
        <w:rPr>
          <w:rStyle w:val="Heading1Char"/>
          <w:color w:val="auto"/>
          <w:sz w:val="20"/>
          <w:szCs w:val="20"/>
        </w:rPr>
        <w:t xml:space="preserve">17 </w:t>
      </w:r>
      <w:r w:rsidR="009E60FC" w:rsidRPr="00F147F6">
        <w:rPr>
          <w:rStyle w:val="Heading1Char"/>
          <w:color w:val="auto"/>
          <w:sz w:val="20"/>
          <w:szCs w:val="20"/>
        </w:rPr>
        <w:t xml:space="preserve">AWR </w:t>
      </w:r>
      <w:r w:rsidRPr="00F147F6">
        <w:rPr>
          <w:rStyle w:val="Heading1Char"/>
          <w:color w:val="auto"/>
          <w:sz w:val="20"/>
          <w:szCs w:val="20"/>
        </w:rPr>
        <w:t xml:space="preserve">decision discussed whether and the extent to which the Panel should take account of the </w:t>
      </w:r>
      <w:r w:rsidR="00C944AF" w:rsidRPr="00F147F6">
        <w:rPr>
          <w:rStyle w:val="Heading1Char"/>
          <w:i/>
          <w:color w:val="auto"/>
          <w:sz w:val="20"/>
          <w:szCs w:val="20"/>
        </w:rPr>
        <w:t>P</w:t>
      </w:r>
      <w:r w:rsidRPr="00F147F6">
        <w:rPr>
          <w:rStyle w:val="Heading1Char"/>
          <w:i/>
          <w:color w:val="auto"/>
          <w:sz w:val="20"/>
          <w:szCs w:val="20"/>
        </w:rPr>
        <w:t xml:space="preserve">enalty </w:t>
      </w:r>
      <w:r w:rsidR="00C944AF" w:rsidRPr="00F147F6">
        <w:rPr>
          <w:rStyle w:val="Heading1Char"/>
          <w:i/>
          <w:color w:val="auto"/>
          <w:sz w:val="20"/>
          <w:szCs w:val="20"/>
        </w:rPr>
        <w:t>R</w:t>
      </w:r>
      <w:r w:rsidRPr="00F147F6">
        <w:rPr>
          <w:rStyle w:val="Heading1Char"/>
          <w:i/>
          <w:color w:val="auto"/>
          <w:sz w:val="20"/>
          <w:szCs w:val="20"/>
        </w:rPr>
        <w:t>ates decision</w:t>
      </w:r>
      <w:r w:rsidRPr="00F147F6">
        <w:rPr>
          <w:rStyle w:val="Heading1Char"/>
          <w:color w:val="auto"/>
          <w:sz w:val="20"/>
          <w:szCs w:val="20"/>
        </w:rPr>
        <w:t xml:space="preserve"> </w:t>
      </w:r>
      <w:r w:rsidR="00C944AF" w:rsidRPr="00F147F6">
        <w:rPr>
          <w:rStyle w:val="Heading1Char"/>
          <w:color w:val="auto"/>
          <w:sz w:val="20"/>
          <w:szCs w:val="20"/>
        </w:rPr>
        <w:t xml:space="preserve">([2017] FWCFB 1001) </w:t>
      </w:r>
      <w:r w:rsidRPr="00F147F6">
        <w:rPr>
          <w:rStyle w:val="Heading1Char"/>
          <w:color w:val="auto"/>
          <w:sz w:val="20"/>
          <w:szCs w:val="20"/>
        </w:rPr>
        <w:t xml:space="preserve">in determining any increase to the NMW and award minimum wages.  </w:t>
      </w:r>
      <w:r w:rsidR="00C944AF" w:rsidRPr="00F147F6">
        <w:rPr>
          <w:rStyle w:val="Heading1Char"/>
          <w:color w:val="auto"/>
          <w:sz w:val="20"/>
          <w:szCs w:val="20"/>
        </w:rPr>
        <w:t>The first variation arising out of th</w:t>
      </w:r>
      <w:r w:rsidR="002302AA" w:rsidRPr="00F147F6">
        <w:rPr>
          <w:rStyle w:val="Heading1Char"/>
          <w:color w:val="auto"/>
          <w:sz w:val="20"/>
          <w:szCs w:val="20"/>
        </w:rPr>
        <w:t xml:space="preserve">e </w:t>
      </w:r>
      <w:r w:rsidR="002302AA" w:rsidRPr="00F147F6">
        <w:rPr>
          <w:rStyle w:val="Heading1Char"/>
          <w:i/>
          <w:color w:val="auto"/>
          <w:sz w:val="20"/>
          <w:szCs w:val="20"/>
        </w:rPr>
        <w:t xml:space="preserve">Penalty Rates </w:t>
      </w:r>
      <w:r w:rsidR="002302AA" w:rsidRPr="00F147F6">
        <w:t>decision</w:t>
      </w:r>
      <w:r w:rsidR="00C944AF" w:rsidRPr="00F147F6">
        <w:rPr>
          <w:rStyle w:val="Heading1Char"/>
          <w:i/>
          <w:color w:val="auto"/>
          <w:sz w:val="20"/>
          <w:szCs w:val="20"/>
        </w:rPr>
        <w:t xml:space="preserve"> </w:t>
      </w:r>
      <w:r w:rsidR="00C944AF" w:rsidRPr="00F147F6">
        <w:rPr>
          <w:rStyle w:val="Heading1Char"/>
          <w:color w:val="auto"/>
          <w:sz w:val="20"/>
          <w:szCs w:val="20"/>
        </w:rPr>
        <w:t>and the subsequent</w:t>
      </w:r>
      <w:r w:rsidR="00C944AF" w:rsidRPr="00F147F6">
        <w:rPr>
          <w:rStyle w:val="Heading1Char"/>
          <w:i/>
          <w:color w:val="auto"/>
          <w:sz w:val="20"/>
          <w:szCs w:val="20"/>
        </w:rPr>
        <w:t xml:space="preserve"> </w:t>
      </w:r>
      <w:r w:rsidR="009E60FC" w:rsidRPr="00F147F6">
        <w:rPr>
          <w:rStyle w:val="Heading1Char"/>
          <w:i/>
          <w:color w:val="auto"/>
          <w:sz w:val="20"/>
          <w:szCs w:val="20"/>
        </w:rPr>
        <w:t>T</w:t>
      </w:r>
      <w:r w:rsidR="002302AA" w:rsidRPr="00F147F6">
        <w:rPr>
          <w:rStyle w:val="Heading1Char"/>
          <w:i/>
          <w:color w:val="auto"/>
          <w:sz w:val="20"/>
          <w:szCs w:val="20"/>
        </w:rPr>
        <w:t xml:space="preserve">ransitional </w:t>
      </w:r>
      <w:r w:rsidR="009E60FC" w:rsidRPr="00F147F6">
        <w:rPr>
          <w:rStyle w:val="Heading1Char"/>
          <w:i/>
          <w:color w:val="auto"/>
          <w:sz w:val="20"/>
          <w:szCs w:val="20"/>
        </w:rPr>
        <w:t xml:space="preserve">Arrangements </w:t>
      </w:r>
      <w:r w:rsidR="002302AA" w:rsidRPr="00F147F6">
        <w:rPr>
          <w:rStyle w:val="Heading1Char"/>
          <w:color w:val="auto"/>
          <w:sz w:val="20"/>
          <w:szCs w:val="20"/>
        </w:rPr>
        <w:t xml:space="preserve">decision ([2017] FWCFB </w:t>
      </w:r>
      <w:r w:rsidR="009E60FC" w:rsidRPr="00F147F6">
        <w:rPr>
          <w:rStyle w:val="Heading1Char"/>
          <w:color w:val="auto"/>
          <w:sz w:val="20"/>
          <w:szCs w:val="20"/>
        </w:rPr>
        <w:t xml:space="preserve">3001) </w:t>
      </w:r>
      <w:r w:rsidR="00C944AF" w:rsidRPr="00F147F6">
        <w:rPr>
          <w:rStyle w:val="Heading1Char"/>
          <w:color w:val="auto"/>
          <w:sz w:val="20"/>
          <w:szCs w:val="20"/>
        </w:rPr>
        <w:t xml:space="preserve">was to take effect from the same date as any variation determination </w:t>
      </w:r>
      <w:r w:rsidR="002302AA" w:rsidRPr="00F147F6">
        <w:rPr>
          <w:rStyle w:val="Heading1Char"/>
          <w:color w:val="auto"/>
          <w:sz w:val="20"/>
          <w:szCs w:val="20"/>
        </w:rPr>
        <w:t xml:space="preserve">that </w:t>
      </w:r>
      <w:r w:rsidR="00C944AF" w:rsidRPr="00F147F6">
        <w:rPr>
          <w:rStyle w:val="Heading1Char"/>
          <w:color w:val="auto"/>
          <w:sz w:val="20"/>
          <w:szCs w:val="20"/>
        </w:rPr>
        <w:t xml:space="preserve">the Panel might make would come into operation.  </w:t>
      </w:r>
    </w:p>
    <w:p w:rsidR="00C64F55" w:rsidRPr="00F147F6" w:rsidRDefault="000F6FCF" w:rsidP="00F147F6">
      <w:pPr>
        <w:rPr>
          <w:rStyle w:val="Heading1Char"/>
          <w:color w:val="auto"/>
          <w:sz w:val="20"/>
          <w:szCs w:val="20"/>
        </w:rPr>
      </w:pPr>
      <w:r w:rsidRPr="00F147F6">
        <w:rPr>
          <w:rStyle w:val="Heading1Char"/>
          <w:color w:val="auto"/>
          <w:sz w:val="20"/>
          <w:szCs w:val="20"/>
        </w:rPr>
        <w:t>It is not entirely clear where the Panel landed on th</w:t>
      </w:r>
      <w:r w:rsidR="009E60FC" w:rsidRPr="00F147F6">
        <w:rPr>
          <w:rStyle w:val="Heading1Char"/>
          <w:color w:val="auto"/>
          <w:sz w:val="20"/>
          <w:szCs w:val="20"/>
        </w:rPr>
        <w:t xml:space="preserve">e question as to whether and the extent to which it should take account of the </w:t>
      </w:r>
      <w:r w:rsidR="009E60FC" w:rsidRPr="00F147F6">
        <w:rPr>
          <w:rStyle w:val="Heading1Char"/>
          <w:i/>
          <w:color w:val="auto"/>
          <w:sz w:val="20"/>
          <w:szCs w:val="20"/>
        </w:rPr>
        <w:t>Penalty Rates decision</w:t>
      </w:r>
      <w:r w:rsidRPr="00F147F6">
        <w:rPr>
          <w:rStyle w:val="Heading1Char"/>
          <w:color w:val="auto"/>
          <w:sz w:val="20"/>
          <w:szCs w:val="20"/>
        </w:rPr>
        <w:t xml:space="preserve">.  </w:t>
      </w:r>
      <w:r w:rsidR="00C64F55" w:rsidRPr="00F147F6">
        <w:rPr>
          <w:rStyle w:val="Heading1Char"/>
          <w:color w:val="auto"/>
          <w:sz w:val="20"/>
          <w:szCs w:val="20"/>
        </w:rPr>
        <w:t xml:space="preserve">The Panel concluded that </w:t>
      </w:r>
    </w:p>
    <w:p w:rsidR="000F6FCF" w:rsidRPr="00F147F6" w:rsidRDefault="000F6FCF" w:rsidP="00F147F6">
      <w:pPr>
        <w:pStyle w:val="NormalWeb"/>
        <w:ind w:left="720"/>
        <w:rPr>
          <w:rFonts w:ascii="Verdana" w:hAnsi="Verdana"/>
          <w:i/>
          <w:sz w:val="20"/>
          <w:szCs w:val="20"/>
        </w:rPr>
      </w:pPr>
      <w:r w:rsidRPr="00F147F6">
        <w:rPr>
          <w:rFonts w:ascii="Verdana" w:hAnsi="Verdana"/>
          <w:bCs/>
          <w:i/>
          <w:sz w:val="20"/>
          <w:szCs w:val="20"/>
        </w:rPr>
        <w:t>[29]</w:t>
      </w:r>
      <w:r w:rsidRPr="00F147F6">
        <w:rPr>
          <w:rFonts w:ascii="Verdana" w:hAnsi="Verdana"/>
          <w:b/>
          <w:bCs/>
          <w:i/>
          <w:sz w:val="20"/>
          <w:szCs w:val="20"/>
        </w:rPr>
        <w:t> </w:t>
      </w:r>
      <w:r w:rsidRPr="00F147F6">
        <w:rPr>
          <w:rFonts w:ascii="Verdana" w:hAnsi="Verdana"/>
          <w:i/>
          <w:sz w:val="20"/>
          <w:szCs w:val="20"/>
        </w:rPr>
        <w:t>The </w:t>
      </w:r>
      <w:r w:rsidRPr="00F147F6">
        <w:rPr>
          <w:rFonts w:ascii="Verdana" w:hAnsi="Verdana"/>
          <w:i/>
          <w:iCs/>
          <w:sz w:val="20"/>
          <w:szCs w:val="20"/>
          <w:u w:val="single"/>
        </w:rPr>
        <w:t>Penalty Rates decision</w:t>
      </w:r>
      <w:r w:rsidRPr="00F147F6">
        <w:rPr>
          <w:rFonts w:ascii="Verdana" w:hAnsi="Verdana"/>
          <w:i/>
          <w:iCs/>
          <w:sz w:val="20"/>
          <w:szCs w:val="20"/>
        </w:rPr>
        <w:t> </w:t>
      </w:r>
      <w:r w:rsidRPr="00F147F6">
        <w:rPr>
          <w:rFonts w:ascii="Verdana" w:hAnsi="Verdana"/>
          <w:i/>
          <w:sz w:val="20"/>
          <w:szCs w:val="20"/>
        </w:rPr>
        <w:t>will, over time, reduce the employment costs of some employers covered by the </w:t>
      </w:r>
      <w:r w:rsidRPr="00F147F6">
        <w:rPr>
          <w:rFonts w:ascii="Verdana" w:hAnsi="Verdana"/>
          <w:i/>
          <w:iCs/>
          <w:sz w:val="20"/>
          <w:szCs w:val="20"/>
        </w:rPr>
        <w:t>Hospitality </w:t>
      </w:r>
      <w:r w:rsidRPr="00F147F6">
        <w:rPr>
          <w:rFonts w:ascii="Verdana" w:hAnsi="Verdana"/>
          <w:i/>
          <w:sz w:val="20"/>
          <w:szCs w:val="20"/>
        </w:rPr>
        <w:t>and </w:t>
      </w:r>
      <w:r w:rsidRPr="00F147F6">
        <w:rPr>
          <w:rFonts w:ascii="Verdana" w:hAnsi="Verdana"/>
          <w:i/>
          <w:iCs/>
          <w:sz w:val="20"/>
          <w:szCs w:val="20"/>
        </w:rPr>
        <w:t>Retail Awards </w:t>
      </w:r>
      <w:r w:rsidRPr="00F147F6">
        <w:rPr>
          <w:rFonts w:ascii="Verdana" w:hAnsi="Verdana"/>
          <w:i/>
          <w:sz w:val="20"/>
          <w:szCs w:val="20"/>
        </w:rPr>
        <w:t>affected by the decision. It is not appropriate to take account of the decision in some quantifiable or mechanistic way to support a particular level of increase in the NMW or in modern award minimum wages. […].</w:t>
      </w:r>
    </w:p>
    <w:p w:rsidR="000F6FCF" w:rsidRPr="00F147F6" w:rsidRDefault="000F6FCF" w:rsidP="00F147F6">
      <w:pPr>
        <w:pStyle w:val="NormalWeb"/>
        <w:ind w:left="720"/>
        <w:rPr>
          <w:rFonts w:ascii="Verdana" w:hAnsi="Verdana"/>
          <w:sz w:val="20"/>
          <w:szCs w:val="20"/>
        </w:rPr>
      </w:pPr>
      <w:r w:rsidRPr="00F147F6">
        <w:rPr>
          <w:rFonts w:ascii="Verdana" w:hAnsi="Verdana"/>
          <w:bCs/>
          <w:i/>
          <w:sz w:val="20"/>
          <w:szCs w:val="20"/>
        </w:rPr>
        <w:t>[30]</w:t>
      </w:r>
      <w:r w:rsidRPr="00F147F6">
        <w:rPr>
          <w:rFonts w:ascii="Verdana" w:hAnsi="Verdana"/>
          <w:b/>
          <w:bCs/>
          <w:i/>
          <w:sz w:val="20"/>
          <w:szCs w:val="20"/>
        </w:rPr>
        <w:t> </w:t>
      </w:r>
      <w:r w:rsidRPr="00F147F6">
        <w:rPr>
          <w:rFonts w:ascii="Verdana" w:hAnsi="Verdana"/>
          <w:i/>
          <w:sz w:val="20"/>
          <w:szCs w:val="20"/>
        </w:rPr>
        <w:t>The </w:t>
      </w:r>
      <w:r w:rsidRPr="00F147F6">
        <w:rPr>
          <w:rFonts w:ascii="Verdana" w:hAnsi="Verdana"/>
          <w:i/>
          <w:iCs/>
          <w:sz w:val="20"/>
          <w:szCs w:val="20"/>
        </w:rPr>
        <w:t>Penalty Rates decision </w:t>
      </w:r>
      <w:r w:rsidRPr="00F147F6">
        <w:rPr>
          <w:rFonts w:ascii="Verdana" w:hAnsi="Verdana"/>
          <w:i/>
          <w:sz w:val="20"/>
          <w:szCs w:val="20"/>
        </w:rPr>
        <w:t>does form part of the broad factual matrix against which the Review is conducted and, to that limited extent, we have taken it into account.</w:t>
      </w:r>
      <w:r w:rsidRPr="00F147F6">
        <w:rPr>
          <w:rStyle w:val="FootnoteReference"/>
          <w:rFonts w:ascii="Verdana" w:hAnsi="Verdana"/>
          <w:sz w:val="20"/>
          <w:szCs w:val="20"/>
        </w:rPr>
        <w:footnoteReference w:id="22"/>
      </w:r>
    </w:p>
    <w:p w:rsidR="003C63AD" w:rsidRPr="00F147F6" w:rsidRDefault="000F6FCF" w:rsidP="000F6FCF">
      <w:pPr>
        <w:spacing w:line="240" w:lineRule="auto"/>
        <w:rPr>
          <w:rStyle w:val="Heading1Char"/>
          <w:color w:val="auto"/>
          <w:sz w:val="20"/>
          <w:szCs w:val="20"/>
        </w:rPr>
      </w:pPr>
      <w:r w:rsidRPr="00F147F6">
        <w:rPr>
          <w:rStyle w:val="Heading1Char"/>
          <w:color w:val="auto"/>
          <w:sz w:val="20"/>
          <w:szCs w:val="20"/>
        </w:rPr>
        <w:t xml:space="preserve">The Panel </w:t>
      </w:r>
      <w:r w:rsidR="009F218B" w:rsidRPr="00F147F6">
        <w:rPr>
          <w:rStyle w:val="Heading1Char"/>
          <w:color w:val="auto"/>
          <w:sz w:val="20"/>
          <w:szCs w:val="20"/>
        </w:rPr>
        <w:t>adopt</w:t>
      </w:r>
      <w:r w:rsidR="009E0F3B" w:rsidRPr="00F147F6">
        <w:rPr>
          <w:rStyle w:val="Heading1Char"/>
          <w:color w:val="auto"/>
          <w:sz w:val="20"/>
          <w:szCs w:val="20"/>
        </w:rPr>
        <w:t>ed</w:t>
      </w:r>
      <w:r w:rsidR="009F218B" w:rsidRPr="00F147F6">
        <w:rPr>
          <w:rStyle w:val="Heading1Char"/>
          <w:color w:val="auto"/>
          <w:sz w:val="20"/>
          <w:szCs w:val="20"/>
        </w:rPr>
        <w:t xml:space="preserve"> </w:t>
      </w:r>
      <w:r w:rsidRPr="00F147F6">
        <w:rPr>
          <w:rStyle w:val="Heading1Char"/>
          <w:color w:val="auto"/>
          <w:sz w:val="20"/>
          <w:szCs w:val="20"/>
        </w:rPr>
        <w:t xml:space="preserve">the </w:t>
      </w:r>
      <w:r w:rsidR="009E0F3B" w:rsidRPr="00F147F6">
        <w:rPr>
          <w:rStyle w:val="Heading1Char"/>
          <w:color w:val="auto"/>
          <w:sz w:val="20"/>
          <w:szCs w:val="20"/>
        </w:rPr>
        <w:t xml:space="preserve">conclusions in the </w:t>
      </w:r>
      <w:r w:rsidR="009E0F3B" w:rsidRPr="00F147F6">
        <w:rPr>
          <w:rStyle w:val="Heading1Char"/>
          <w:i/>
          <w:color w:val="auto"/>
          <w:sz w:val="20"/>
          <w:szCs w:val="20"/>
        </w:rPr>
        <w:t>Penalty Rates decision</w:t>
      </w:r>
      <w:r w:rsidR="009E0F3B" w:rsidRPr="00F147F6">
        <w:rPr>
          <w:rStyle w:val="Heading1Char"/>
          <w:color w:val="auto"/>
          <w:sz w:val="20"/>
          <w:szCs w:val="20"/>
        </w:rPr>
        <w:t xml:space="preserve"> following </w:t>
      </w:r>
      <w:r w:rsidR="006B234D">
        <w:rPr>
          <w:rStyle w:val="Heading1Char"/>
          <w:color w:val="auto"/>
          <w:sz w:val="20"/>
          <w:szCs w:val="20"/>
        </w:rPr>
        <w:t>the</w:t>
      </w:r>
      <w:r w:rsidR="009E0F3B" w:rsidRPr="00F147F6">
        <w:rPr>
          <w:rStyle w:val="Heading1Char"/>
          <w:color w:val="auto"/>
          <w:sz w:val="20"/>
          <w:szCs w:val="20"/>
        </w:rPr>
        <w:t xml:space="preserve"> </w:t>
      </w:r>
      <w:r w:rsidRPr="00F147F6">
        <w:rPr>
          <w:rStyle w:val="Heading1Char"/>
          <w:color w:val="auto"/>
          <w:sz w:val="20"/>
          <w:szCs w:val="20"/>
        </w:rPr>
        <w:t xml:space="preserve">consideration of “…a fair and relevant </w:t>
      </w:r>
      <w:r w:rsidR="009F218B" w:rsidRPr="00F147F6">
        <w:rPr>
          <w:rStyle w:val="Heading1Char"/>
          <w:color w:val="auto"/>
          <w:sz w:val="20"/>
          <w:szCs w:val="20"/>
        </w:rPr>
        <w:t>minimum safety</w:t>
      </w:r>
      <w:r w:rsidRPr="00F147F6">
        <w:rPr>
          <w:rStyle w:val="Heading1Char"/>
          <w:color w:val="auto"/>
          <w:sz w:val="20"/>
          <w:szCs w:val="20"/>
        </w:rPr>
        <w:t xml:space="preserve"> net of </w:t>
      </w:r>
      <w:r w:rsidR="009F218B" w:rsidRPr="00F147F6">
        <w:rPr>
          <w:rStyle w:val="Heading1Char"/>
          <w:color w:val="auto"/>
          <w:sz w:val="20"/>
          <w:szCs w:val="20"/>
        </w:rPr>
        <w:t xml:space="preserve">terms and </w:t>
      </w:r>
      <w:r w:rsidRPr="00F147F6">
        <w:rPr>
          <w:rStyle w:val="Heading1Char"/>
          <w:color w:val="auto"/>
          <w:sz w:val="20"/>
          <w:szCs w:val="20"/>
        </w:rPr>
        <w:t>conditions</w:t>
      </w:r>
      <w:r w:rsidR="009F218B" w:rsidRPr="00F147F6">
        <w:rPr>
          <w:rStyle w:val="Heading1Char"/>
          <w:color w:val="auto"/>
          <w:sz w:val="20"/>
          <w:szCs w:val="20"/>
        </w:rPr>
        <w:t>” undertaken by th</w:t>
      </w:r>
      <w:r w:rsidR="009E0F3B" w:rsidRPr="00F147F6">
        <w:rPr>
          <w:rStyle w:val="Heading1Char"/>
          <w:color w:val="auto"/>
          <w:sz w:val="20"/>
          <w:szCs w:val="20"/>
        </w:rPr>
        <w:t>at</w:t>
      </w:r>
      <w:r w:rsidR="009F218B" w:rsidRPr="00F147F6">
        <w:rPr>
          <w:rStyle w:val="Heading1Char"/>
          <w:color w:val="auto"/>
          <w:sz w:val="20"/>
          <w:szCs w:val="20"/>
        </w:rPr>
        <w:t xml:space="preserve"> bench</w:t>
      </w:r>
      <w:r w:rsidR="009F218B" w:rsidRPr="00F147F6">
        <w:rPr>
          <w:rStyle w:val="Heading1Char"/>
          <w:i/>
          <w:color w:val="auto"/>
          <w:sz w:val="20"/>
          <w:szCs w:val="20"/>
        </w:rPr>
        <w:t>.</w:t>
      </w:r>
      <w:r w:rsidR="009F218B" w:rsidRPr="00F147F6">
        <w:rPr>
          <w:rStyle w:val="Heading1Char"/>
          <w:color w:val="auto"/>
          <w:sz w:val="20"/>
          <w:szCs w:val="20"/>
        </w:rPr>
        <w:t xml:space="preserve">  </w:t>
      </w:r>
      <w:r w:rsidR="009E0F3B" w:rsidRPr="00F147F6">
        <w:rPr>
          <w:rStyle w:val="Heading1Char"/>
          <w:color w:val="auto"/>
          <w:sz w:val="20"/>
          <w:szCs w:val="20"/>
        </w:rPr>
        <w:t>The Panel</w:t>
      </w:r>
      <w:r w:rsidR="002302AA" w:rsidRPr="00F147F6">
        <w:rPr>
          <w:rStyle w:val="Heading1Char"/>
          <w:color w:val="auto"/>
          <w:sz w:val="20"/>
          <w:szCs w:val="20"/>
        </w:rPr>
        <w:t xml:space="preserve"> said</w:t>
      </w:r>
    </w:p>
    <w:p w:rsidR="003C63AD" w:rsidRPr="00F147F6" w:rsidRDefault="003C63AD" w:rsidP="00F147F6">
      <w:pPr>
        <w:pStyle w:val="NormalWeb"/>
        <w:ind w:left="720"/>
        <w:rPr>
          <w:rFonts w:ascii="Verdana" w:hAnsi="Verdana"/>
          <w:i/>
          <w:sz w:val="20"/>
          <w:szCs w:val="20"/>
        </w:rPr>
      </w:pPr>
      <w:r w:rsidRPr="00F147F6">
        <w:rPr>
          <w:rFonts w:ascii="Verdana" w:hAnsi="Verdana"/>
          <w:bCs/>
          <w:i/>
          <w:sz w:val="20"/>
          <w:szCs w:val="20"/>
        </w:rPr>
        <w:t>[127]</w:t>
      </w:r>
      <w:r w:rsidRPr="00F147F6">
        <w:rPr>
          <w:rFonts w:ascii="Verdana" w:hAnsi="Verdana"/>
          <w:b/>
          <w:bCs/>
          <w:i/>
          <w:sz w:val="20"/>
          <w:szCs w:val="20"/>
        </w:rPr>
        <w:t> </w:t>
      </w:r>
      <w:r w:rsidRPr="00F147F6">
        <w:rPr>
          <w:rFonts w:ascii="Verdana" w:hAnsi="Verdana"/>
          <w:i/>
          <w:sz w:val="20"/>
          <w:szCs w:val="20"/>
        </w:rPr>
        <w:t xml:space="preserve">We agree with the above observations </w:t>
      </w:r>
      <w:r w:rsidRPr="00F147F6">
        <w:rPr>
          <w:rFonts w:ascii="Verdana" w:hAnsi="Verdana"/>
          <w:sz w:val="20"/>
          <w:szCs w:val="20"/>
        </w:rPr>
        <w:t xml:space="preserve">[made by the Penalty Rates bench] </w:t>
      </w:r>
      <w:r w:rsidRPr="00F147F6">
        <w:rPr>
          <w:rFonts w:ascii="Verdana" w:hAnsi="Verdana"/>
          <w:i/>
          <w:sz w:val="20"/>
          <w:szCs w:val="20"/>
        </w:rPr>
        <w:t>and adopt them in our consideration of the modern awards objective. We are also of the view that the observations as to the meaning of ‘fair’ and ‘safety net’ in the modern awards objective apply with equal force to the meaning of those words in the minimum wages objective.</w:t>
      </w:r>
    </w:p>
    <w:p w:rsidR="003C63AD" w:rsidRPr="00F147F6" w:rsidRDefault="003C63AD" w:rsidP="00F147F6">
      <w:pPr>
        <w:pStyle w:val="NormalWeb"/>
        <w:ind w:left="720"/>
        <w:rPr>
          <w:rFonts w:ascii="Verdana" w:hAnsi="Verdana"/>
          <w:i/>
          <w:sz w:val="20"/>
          <w:szCs w:val="20"/>
        </w:rPr>
      </w:pPr>
      <w:r w:rsidRPr="00F147F6">
        <w:rPr>
          <w:rFonts w:ascii="Verdana" w:hAnsi="Verdana"/>
          <w:bCs/>
          <w:i/>
          <w:sz w:val="20"/>
          <w:szCs w:val="20"/>
        </w:rPr>
        <w:t>[128]</w:t>
      </w:r>
      <w:r w:rsidRPr="00F147F6">
        <w:rPr>
          <w:rFonts w:ascii="Verdana" w:hAnsi="Verdana"/>
          <w:b/>
          <w:bCs/>
          <w:i/>
          <w:sz w:val="20"/>
          <w:szCs w:val="20"/>
        </w:rPr>
        <w:t> </w:t>
      </w:r>
      <w:r w:rsidRPr="00F147F6">
        <w:rPr>
          <w:rFonts w:ascii="Verdana" w:hAnsi="Verdana"/>
          <w:i/>
          <w:sz w:val="20"/>
          <w:szCs w:val="20"/>
        </w:rPr>
        <w:t xml:space="preserve">In giving effect to these statutory objectives </w:t>
      </w:r>
      <w:r w:rsidRPr="00F147F6">
        <w:rPr>
          <w:rFonts w:ascii="Verdana" w:hAnsi="Verdana"/>
          <w:sz w:val="20"/>
          <w:szCs w:val="20"/>
        </w:rPr>
        <w:t xml:space="preserve">[a safety net of fair minimum wages and, with the National Employment Standards, a fair and relevant safety net of terms and conditions] </w:t>
      </w:r>
      <w:r w:rsidRPr="00F147F6">
        <w:rPr>
          <w:rFonts w:ascii="Verdana" w:hAnsi="Verdana"/>
          <w:i/>
          <w:sz w:val="20"/>
          <w:szCs w:val="20"/>
        </w:rPr>
        <w:t xml:space="preserve">the Panel must take into account the particular considerations identified in ss.134(1)(a) to (h) (the s.134 considerations) and 284(1)(a) to (e) (the s.284 considerations). While the statutory considerations referred to must be taken into account it is important to bear in mind that these considerations inform the modern awards objective and the minimum wages objective, but they do not themselves constitute the relevant statutory objectives. The modern awards objective is to ‘ensure that modern awards, together with the National Employment Standards, provide a fair and relevant minimum safety net of terms and conditions.’  The minimum wages objective is to ‘establish and maintain a safety net of fair minimum wages.’ These objectives are very broadly expressed and the notion of fairness is at the heart of both statutory objectives. As we have mentioned, fairness in this context </w:t>
      </w:r>
      <w:r w:rsidRPr="00F147F6">
        <w:rPr>
          <w:rFonts w:ascii="Verdana" w:hAnsi="Verdana"/>
          <w:i/>
          <w:sz w:val="20"/>
          <w:szCs w:val="20"/>
        </w:rPr>
        <w:lastRenderedPageBreak/>
        <w:t>is to be assessed from the perspective of the employees and employers covered by the NMW or the modern award in question.</w:t>
      </w:r>
      <w:r w:rsidRPr="00F147F6">
        <w:rPr>
          <w:rStyle w:val="FootnoteReference"/>
          <w:rFonts w:ascii="Verdana" w:hAnsi="Verdana"/>
          <w:sz w:val="20"/>
          <w:szCs w:val="20"/>
        </w:rPr>
        <w:footnoteReference w:id="23"/>
      </w:r>
      <w:r w:rsidRPr="00F147F6">
        <w:rPr>
          <w:rFonts w:ascii="Verdana" w:hAnsi="Verdana"/>
          <w:i/>
          <w:sz w:val="20"/>
          <w:szCs w:val="20"/>
        </w:rPr>
        <w:t xml:space="preserve"> </w:t>
      </w:r>
    </w:p>
    <w:p w:rsidR="002758C6" w:rsidRPr="00F147F6" w:rsidRDefault="009E0F3B" w:rsidP="000F6FCF">
      <w:pPr>
        <w:spacing w:line="240" w:lineRule="auto"/>
        <w:rPr>
          <w:rStyle w:val="Heading1Char"/>
          <w:color w:val="auto"/>
          <w:sz w:val="20"/>
          <w:szCs w:val="20"/>
        </w:rPr>
      </w:pPr>
      <w:r w:rsidRPr="00F147F6">
        <w:rPr>
          <w:rStyle w:val="Heading1Char"/>
          <w:color w:val="auto"/>
          <w:sz w:val="20"/>
          <w:szCs w:val="20"/>
        </w:rPr>
        <w:t xml:space="preserve">In the </w:t>
      </w:r>
      <w:r w:rsidRPr="00F147F6">
        <w:rPr>
          <w:rStyle w:val="Heading1Char"/>
          <w:i/>
          <w:color w:val="auto"/>
          <w:sz w:val="20"/>
          <w:szCs w:val="20"/>
        </w:rPr>
        <w:t>Penalty Rates decision</w:t>
      </w:r>
      <w:r w:rsidRPr="00F147F6">
        <w:rPr>
          <w:rStyle w:val="Heading1Char"/>
          <w:color w:val="auto"/>
          <w:sz w:val="20"/>
          <w:szCs w:val="20"/>
        </w:rPr>
        <w:t xml:space="preserve"> the Commission determined that the existing penalty rates </w:t>
      </w:r>
      <w:r w:rsidR="00E50164" w:rsidRPr="00F147F6">
        <w:rPr>
          <w:rStyle w:val="Heading1Char"/>
          <w:color w:val="auto"/>
          <w:sz w:val="20"/>
          <w:szCs w:val="20"/>
        </w:rPr>
        <w:t xml:space="preserve">in the hospitality and retail awards </w:t>
      </w:r>
      <w:r w:rsidRPr="00F147F6">
        <w:rPr>
          <w:rStyle w:val="Heading1Char"/>
          <w:color w:val="auto"/>
          <w:sz w:val="20"/>
          <w:szCs w:val="20"/>
        </w:rPr>
        <w:t xml:space="preserve">did not provide a fair and relevant safety net in the requisite sense.  </w:t>
      </w:r>
      <w:r w:rsidR="00C01C13" w:rsidRPr="00F147F6">
        <w:rPr>
          <w:rStyle w:val="Heading1Char"/>
          <w:color w:val="auto"/>
          <w:sz w:val="20"/>
          <w:szCs w:val="20"/>
        </w:rPr>
        <w:t xml:space="preserve">The new rates it determined, mainly affecting some Sunday and public holiday rates, did.  </w:t>
      </w:r>
    </w:p>
    <w:p w:rsidR="00F31FC8" w:rsidRPr="00F147F6" w:rsidRDefault="00DB2F90" w:rsidP="000F6FCF">
      <w:pPr>
        <w:spacing w:line="240" w:lineRule="auto"/>
        <w:rPr>
          <w:rStyle w:val="Heading1Char"/>
          <w:color w:val="auto"/>
          <w:sz w:val="20"/>
          <w:szCs w:val="20"/>
        </w:rPr>
      </w:pPr>
      <w:r w:rsidRPr="00F147F6">
        <w:rPr>
          <w:rStyle w:val="Heading1Char"/>
          <w:color w:val="auto"/>
          <w:sz w:val="20"/>
          <w:szCs w:val="20"/>
        </w:rPr>
        <w:t xml:space="preserve">That decision was confirmed by the Full Court of the Federal Court.  </w:t>
      </w:r>
    </w:p>
    <w:p w:rsidR="003C63AD" w:rsidRPr="00F147F6" w:rsidRDefault="00DB2F90" w:rsidP="000F6FCF">
      <w:pPr>
        <w:spacing w:line="240" w:lineRule="auto"/>
        <w:rPr>
          <w:rStyle w:val="Heading1Char"/>
          <w:color w:val="auto"/>
          <w:sz w:val="20"/>
          <w:szCs w:val="20"/>
        </w:rPr>
      </w:pPr>
      <w:r w:rsidRPr="00F147F6">
        <w:rPr>
          <w:rStyle w:val="Heading1Char"/>
          <w:color w:val="auto"/>
          <w:sz w:val="20"/>
          <w:szCs w:val="20"/>
        </w:rPr>
        <w:t>The 4 yearly review is a review at large.</w:t>
      </w:r>
      <w:r w:rsidR="00932353" w:rsidRPr="00F147F6">
        <w:rPr>
          <w:rStyle w:val="FootnoteReference"/>
          <w:rFonts w:ascii="Verdana" w:eastAsiaTheme="majorEastAsia" w:hAnsi="Verdana" w:cstheme="majorBidi"/>
          <w:bCs/>
          <w:sz w:val="20"/>
          <w:szCs w:val="20"/>
          <w:lang w:eastAsia="zh-TW"/>
        </w:rPr>
        <w:footnoteReference w:id="24"/>
      </w:r>
      <w:r w:rsidRPr="00F147F6">
        <w:rPr>
          <w:rStyle w:val="Heading1Char"/>
          <w:color w:val="auto"/>
          <w:sz w:val="20"/>
          <w:szCs w:val="20"/>
        </w:rPr>
        <w:t xml:space="preserve">  The </w:t>
      </w:r>
      <w:r w:rsidRPr="00F147F6">
        <w:rPr>
          <w:rStyle w:val="Heading1Char"/>
          <w:i/>
          <w:color w:val="auto"/>
          <w:sz w:val="20"/>
          <w:szCs w:val="20"/>
        </w:rPr>
        <w:t>Penalty Rates</w:t>
      </w:r>
      <w:r w:rsidRPr="00F147F6">
        <w:rPr>
          <w:rStyle w:val="Heading1Char"/>
          <w:color w:val="auto"/>
          <w:sz w:val="20"/>
          <w:szCs w:val="20"/>
        </w:rPr>
        <w:t xml:space="preserve"> bench did not err in determining what was a relevant fair minimum safety net</w:t>
      </w:r>
      <w:r w:rsidR="003B55CA" w:rsidRPr="00F147F6">
        <w:rPr>
          <w:rStyle w:val="FootnoteReference"/>
          <w:rFonts w:ascii="Verdana" w:eastAsiaTheme="majorEastAsia" w:hAnsi="Verdana" w:cstheme="majorBidi"/>
          <w:bCs/>
          <w:sz w:val="20"/>
          <w:szCs w:val="20"/>
          <w:lang w:eastAsia="zh-TW"/>
        </w:rPr>
        <w:footnoteReference w:id="25"/>
      </w:r>
      <w:r w:rsidRPr="00F147F6">
        <w:rPr>
          <w:rStyle w:val="Heading1Char"/>
          <w:color w:val="auto"/>
          <w:sz w:val="20"/>
          <w:szCs w:val="20"/>
        </w:rPr>
        <w:t xml:space="preserve">, nor fail to </w:t>
      </w:r>
      <w:r w:rsidR="00932353" w:rsidRPr="00F147F6">
        <w:rPr>
          <w:rStyle w:val="Heading1Char"/>
          <w:color w:val="auto"/>
          <w:sz w:val="20"/>
          <w:szCs w:val="20"/>
        </w:rPr>
        <w:t xml:space="preserve">properly </w:t>
      </w:r>
      <w:r w:rsidR="006B234D">
        <w:rPr>
          <w:rStyle w:val="Heading1Char"/>
          <w:color w:val="auto"/>
          <w:sz w:val="20"/>
          <w:szCs w:val="20"/>
        </w:rPr>
        <w:t>give effect to</w:t>
      </w:r>
      <w:r w:rsidRPr="00F147F6">
        <w:rPr>
          <w:rStyle w:val="Heading1Char"/>
          <w:color w:val="auto"/>
          <w:sz w:val="20"/>
          <w:szCs w:val="20"/>
        </w:rPr>
        <w:t xml:space="preserve"> the statutory considerations </w:t>
      </w:r>
      <w:r w:rsidR="00932353" w:rsidRPr="00F147F6">
        <w:rPr>
          <w:rStyle w:val="Heading1Char"/>
          <w:color w:val="auto"/>
          <w:sz w:val="20"/>
          <w:szCs w:val="20"/>
        </w:rPr>
        <w:t>in coming to its conclusions</w:t>
      </w:r>
      <w:r w:rsidR="003B55CA" w:rsidRPr="00F147F6">
        <w:rPr>
          <w:rStyle w:val="Heading1Char"/>
          <w:color w:val="auto"/>
          <w:sz w:val="20"/>
          <w:szCs w:val="20"/>
        </w:rPr>
        <w:t xml:space="preserve">.  The </w:t>
      </w:r>
      <w:r w:rsidR="003B55CA" w:rsidRPr="00F147F6">
        <w:rPr>
          <w:rStyle w:val="Heading1Char"/>
          <w:i/>
          <w:color w:val="auto"/>
          <w:sz w:val="20"/>
          <w:szCs w:val="20"/>
        </w:rPr>
        <w:t>Penalty Rates</w:t>
      </w:r>
      <w:r w:rsidR="003B55CA" w:rsidRPr="00F147F6">
        <w:rPr>
          <w:rStyle w:val="Heading1Char"/>
          <w:color w:val="auto"/>
          <w:sz w:val="20"/>
          <w:szCs w:val="20"/>
        </w:rPr>
        <w:t xml:space="preserve"> bench did not misconstrue the relative weight to be given to the needs of the low paid in its consideration of the existing penalty rates, </w:t>
      </w:r>
      <w:r w:rsidR="00480AE9" w:rsidRPr="00F147F6">
        <w:rPr>
          <w:rStyle w:val="Heading1Char"/>
          <w:color w:val="auto"/>
          <w:sz w:val="20"/>
          <w:szCs w:val="20"/>
        </w:rPr>
        <w:t xml:space="preserve">in determining </w:t>
      </w:r>
      <w:r w:rsidR="00F31FC8" w:rsidRPr="00F147F6">
        <w:rPr>
          <w:rStyle w:val="Heading1Char"/>
          <w:color w:val="auto"/>
          <w:sz w:val="20"/>
          <w:szCs w:val="20"/>
        </w:rPr>
        <w:t xml:space="preserve">the transitional regime, </w:t>
      </w:r>
      <w:r w:rsidR="003B55CA" w:rsidRPr="00F147F6">
        <w:rPr>
          <w:rStyle w:val="Heading1Char"/>
          <w:color w:val="auto"/>
          <w:sz w:val="20"/>
          <w:szCs w:val="20"/>
        </w:rPr>
        <w:t xml:space="preserve">nor in its characterisation of the relative </w:t>
      </w:r>
      <w:r w:rsidR="00480AE9" w:rsidRPr="00F147F6">
        <w:rPr>
          <w:rStyle w:val="Heading1Char"/>
          <w:color w:val="auto"/>
          <w:sz w:val="20"/>
          <w:szCs w:val="20"/>
        </w:rPr>
        <w:t>role</w:t>
      </w:r>
      <w:r w:rsidR="00F31FC8" w:rsidRPr="00F147F6">
        <w:rPr>
          <w:rStyle w:val="Heading1Char"/>
          <w:color w:val="auto"/>
          <w:sz w:val="20"/>
          <w:szCs w:val="20"/>
        </w:rPr>
        <w:t xml:space="preserve"> </w:t>
      </w:r>
      <w:r w:rsidR="003B55CA" w:rsidRPr="00F147F6">
        <w:rPr>
          <w:rStyle w:val="Heading1Char"/>
          <w:color w:val="auto"/>
          <w:sz w:val="20"/>
          <w:szCs w:val="20"/>
        </w:rPr>
        <w:t>of this consideration in this 4 yearly review exercise compared with annual wage reviews.</w:t>
      </w:r>
      <w:r w:rsidR="003B55CA" w:rsidRPr="00F147F6">
        <w:rPr>
          <w:rStyle w:val="FootnoteReference"/>
          <w:rFonts w:ascii="Verdana" w:eastAsiaTheme="majorEastAsia" w:hAnsi="Verdana" w:cstheme="majorBidi"/>
          <w:bCs/>
          <w:sz w:val="20"/>
          <w:szCs w:val="20"/>
          <w:lang w:eastAsia="zh-TW"/>
        </w:rPr>
        <w:footnoteReference w:id="26"/>
      </w:r>
      <w:r w:rsidR="003B55CA" w:rsidRPr="00F147F6">
        <w:rPr>
          <w:rStyle w:val="Heading1Char"/>
          <w:color w:val="auto"/>
          <w:sz w:val="20"/>
          <w:szCs w:val="20"/>
        </w:rPr>
        <w:t xml:space="preserve">  Nor was a subsequent error visited upon the </w:t>
      </w:r>
      <w:r w:rsidR="00480AE9" w:rsidRPr="00F147F6">
        <w:rPr>
          <w:rStyle w:val="Heading1Char"/>
          <w:color w:val="auto"/>
          <w:sz w:val="20"/>
          <w:szCs w:val="20"/>
        </w:rPr>
        <w:t xml:space="preserve">decision or </w:t>
      </w:r>
      <w:r w:rsidR="003B55CA" w:rsidRPr="00F147F6">
        <w:rPr>
          <w:rStyle w:val="Heading1Char"/>
          <w:color w:val="auto"/>
          <w:sz w:val="20"/>
          <w:szCs w:val="20"/>
        </w:rPr>
        <w:t xml:space="preserve">process by the </w:t>
      </w:r>
      <w:r w:rsidR="00A25367" w:rsidRPr="00F147F6">
        <w:rPr>
          <w:rStyle w:val="Heading1Char"/>
          <w:i/>
          <w:color w:val="auto"/>
          <w:sz w:val="20"/>
          <w:szCs w:val="20"/>
        </w:rPr>
        <w:t>T</w:t>
      </w:r>
      <w:r w:rsidR="003B55CA" w:rsidRPr="00F147F6">
        <w:rPr>
          <w:rStyle w:val="Heading1Char"/>
          <w:i/>
          <w:color w:val="auto"/>
          <w:sz w:val="20"/>
          <w:szCs w:val="20"/>
        </w:rPr>
        <w:t xml:space="preserve">ransitional </w:t>
      </w:r>
      <w:r w:rsidR="00A25367" w:rsidRPr="00F147F6">
        <w:rPr>
          <w:rStyle w:val="Heading1Char"/>
          <w:i/>
          <w:color w:val="auto"/>
          <w:sz w:val="20"/>
          <w:szCs w:val="20"/>
        </w:rPr>
        <w:t>Arrangements decision</w:t>
      </w:r>
      <w:r w:rsidR="003B55CA" w:rsidRPr="00F147F6">
        <w:rPr>
          <w:rStyle w:val="Heading1Char"/>
          <w:color w:val="auto"/>
          <w:sz w:val="20"/>
          <w:szCs w:val="20"/>
        </w:rPr>
        <w:t>.</w:t>
      </w:r>
      <w:r w:rsidR="003B55CA" w:rsidRPr="00F147F6">
        <w:rPr>
          <w:rStyle w:val="FootnoteReference"/>
          <w:rFonts w:ascii="Verdana" w:eastAsiaTheme="majorEastAsia" w:hAnsi="Verdana" w:cstheme="majorBidi"/>
          <w:bCs/>
          <w:sz w:val="20"/>
          <w:szCs w:val="20"/>
          <w:lang w:eastAsia="zh-TW"/>
        </w:rPr>
        <w:footnoteReference w:id="27"/>
      </w:r>
      <w:r w:rsidR="003B55CA" w:rsidRPr="00F147F6">
        <w:rPr>
          <w:rStyle w:val="Heading1Char"/>
          <w:color w:val="auto"/>
          <w:sz w:val="20"/>
          <w:szCs w:val="20"/>
        </w:rPr>
        <w:t xml:space="preserve">    </w:t>
      </w:r>
      <w:r w:rsidR="00932353" w:rsidRPr="00F147F6">
        <w:rPr>
          <w:rStyle w:val="Heading1Char"/>
          <w:color w:val="auto"/>
          <w:sz w:val="20"/>
          <w:szCs w:val="20"/>
        </w:rPr>
        <w:t xml:space="preserve"> </w:t>
      </w:r>
    </w:p>
    <w:p w:rsidR="003832BB" w:rsidRPr="00F147F6" w:rsidRDefault="002758C6" w:rsidP="002758C6">
      <w:pPr>
        <w:spacing w:line="240" w:lineRule="auto"/>
        <w:rPr>
          <w:rStyle w:val="Heading1Char"/>
          <w:color w:val="auto"/>
          <w:sz w:val="20"/>
          <w:szCs w:val="20"/>
        </w:rPr>
      </w:pPr>
      <w:r w:rsidRPr="00F147F6">
        <w:rPr>
          <w:rStyle w:val="Heading1Char"/>
          <w:color w:val="auto"/>
          <w:sz w:val="20"/>
          <w:szCs w:val="20"/>
        </w:rPr>
        <w:t xml:space="preserve">The newly determined penalty rates, not themselves minimum award wages, but </w:t>
      </w:r>
      <w:r w:rsidR="003B55CA" w:rsidRPr="00F147F6">
        <w:rPr>
          <w:rStyle w:val="Heading1Char"/>
          <w:color w:val="auto"/>
          <w:sz w:val="20"/>
          <w:szCs w:val="20"/>
        </w:rPr>
        <w:t xml:space="preserve">compensation for disutility </w:t>
      </w:r>
      <w:r w:rsidR="00480AE9" w:rsidRPr="00F147F6">
        <w:rPr>
          <w:rStyle w:val="Heading1Char"/>
          <w:color w:val="auto"/>
          <w:sz w:val="20"/>
          <w:szCs w:val="20"/>
        </w:rPr>
        <w:t>(</w:t>
      </w:r>
      <w:r w:rsidR="003B55CA" w:rsidRPr="00F147F6">
        <w:rPr>
          <w:rStyle w:val="Heading1Char"/>
          <w:color w:val="auto"/>
          <w:sz w:val="20"/>
          <w:szCs w:val="20"/>
        </w:rPr>
        <w:t xml:space="preserve">expressed as </w:t>
      </w:r>
      <w:r w:rsidRPr="00F147F6">
        <w:rPr>
          <w:rStyle w:val="Heading1Char"/>
          <w:color w:val="auto"/>
          <w:sz w:val="20"/>
          <w:szCs w:val="20"/>
        </w:rPr>
        <w:t>additional percentages which retain their relative value following wage increases</w:t>
      </w:r>
      <w:r w:rsidR="00480AE9" w:rsidRPr="00F147F6">
        <w:rPr>
          <w:rStyle w:val="Heading1Char"/>
          <w:color w:val="auto"/>
          <w:sz w:val="20"/>
          <w:szCs w:val="20"/>
        </w:rPr>
        <w:t>)</w:t>
      </w:r>
      <w:r w:rsidRPr="00F147F6">
        <w:rPr>
          <w:rStyle w:val="Heading1Char"/>
          <w:color w:val="auto"/>
          <w:sz w:val="20"/>
          <w:szCs w:val="20"/>
        </w:rPr>
        <w:t xml:space="preserve">, provided a fair and relevant safety net of terms and conditions for the sub-set of </w:t>
      </w:r>
      <w:r w:rsidR="00C16490" w:rsidRPr="00F147F6">
        <w:rPr>
          <w:rStyle w:val="Heading1Char"/>
          <w:color w:val="auto"/>
          <w:sz w:val="20"/>
          <w:szCs w:val="20"/>
        </w:rPr>
        <w:t>award</w:t>
      </w:r>
      <w:r w:rsidR="00C16490">
        <w:rPr>
          <w:rStyle w:val="Heading1Char"/>
          <w:color w:val="auto"/>
          <w:sz w:val="20"/>
          <w:szCs w:val="20"/>
        </w:rPr>
        <w:t>-</w:t>
      </w:r>
      <w:r w:rsidRPr="00F147F6">
        <w:rPr>
          <w:rStyle w:val="Heading1Char"/>
          <w:color w:val="auto"/>
          <w:sz w:val="20"/>
          <w:szCs w:val="20"/>
        </w:rPr>
        <w:t xml:space="preserve">reliant employees working those hours. </w:t>
      </w:r>
      <w:r w:rsidR="003832BB" w:rsidRPr="00F147F6">
        <w:rPr>
          <w:rStyle w:val="Heading1Char"/>
          <w:color w:val="auto"/>
          <w:sz w:val="20"/>
          <w:szCs w:val="20"/>
        </w:rPr>
        <w:t xml:space="preserve"> </w:t>
      </w:r>
    </w:p>
    <w:p w:rsidR="002758C6" w:rsidRPr="00F147F6" w:rsidRDefault="003832BB" w:rsidP="002758C6">
      <w:pPr>
        <w:spacing w:line="240" w:lineRule="auto"/>
        <w:rPr>
          <w:rStyle w:val="Heading1Char"/>
          <w:color w:val="auto"/>
          <w:sz w:val="20"/>
          <w:szCs w:val="20"/>
        </w:rPr>
      </w:pPr>
      <w:r w:rsidRPr="00F147F6">
        <w:rPr>
          <w:rStyle w:val="Heading1Char"/>
          <w:color w:val="auto"/>
          <w:sz w:val="20"/>
          <w:szCs w:val="20"/>
        </w:rPr>
        <w:t xml:space="preserve">The transitional regime was itself a balance of matters to be taken into account, including the relative living standards and needs of the low paid, in </w:t>
      </w:r>
      <w:r w:rsidR="006B234D">
        <w:rPr>
          <w:rStyle w:val="Heading1Char"/>
          <w:color w:val="auto"/>
          <w:sz w:val="20"/>
          <w:szCs w:val="20"/>
        </w:rPr>
        <w:t>giving effect to</w:t>
      </w:r>
      <w:r w:rsidRPr="00F147F6">
        <w:rPr>
          <w:rStyle w:val="Heading1Char"/>
          <w:color w:val="auto"/>
          <w:sz w:val="20"/>
          <w:szCs w:val="20"/>
        </w:rPr>
        <w:t xml:space="preserve"> a fair and relevant safety net of terms and conditions.  The transitional regime was determined having regard to the fact that variation determinations would come into operation each 1 July (as well as other matters such as length of notice of change</w:t>
      </w:r>
      <w:r w:rsidR="00870CA7" w:rsidRPr="00870CA7">
        <w:rPr>
          <w:rStyle w:val="Heading1Char"/>
          <w:color w:val="auto"/>
          <w:sz w:val="20"/>
          <w:szCs w:val="20"/>
        </w:rPr>
        <w:t xml:space="preserve"> </w:t>
      </w:r>
      <w:r w:rsidR="00870CA7">
        <w:rPr>
          <w:rStyle w:val="Heading1Char"/>
          <w:color w:val="auto"/>
          <w:sz w:val="20"/>
          <w:szCs w:val="20"/>
        </w:rPr>
        <w:t>before the first reductions</w:t>
      </w:r>
      <w:r w:rsidRPr="00F147F6">
        <w:rPr>
          <w:rStyle w:val="Heading1Char"/>
          <w:color w:val="auto"/>
          <w:sz w:val="20"/>
          <w:szCs w:val="20"/>
        </w:rPr>
        <w:t xml:space="preserve">).  </w:t>
      </w:r>
      <w:r w:rsidR="00A701F9">
        <w:rPr>
          <w:rStyle w:val="Heading1Char"/>
          <w:color w:val="auto"/>
          <w:sz w:val="20"/>
          <w:szCs w:val="20"/>
        </w:rPr>
        <w:t>T</w:t>
      </w:r>
      <w:r w:rsidR="00870CA7">
        <w:rPr>
          <w:rStyle w:val="Heading1Char"/>
          <w:color w:val="auto"/>
          <w:sz w:val="20"/>
          <w:szCs w:val="20"/>
        </w:rPr>
        <w:t>he transitional regime</w:t>
      </w:r>
      <w:r w:rsidRPr="00F147F6">
        <w:rPr>
          <w:rStyle w:val="Heading1Char"/>
          <w:color w:val="auto"/>
          <w:sz w:val="20"/>
          <w:szCs w:val="20"/>
        </w:rPr>
        <w:t xml:space="preserve"> was not determined having regard to any quantum of annual wage review increase and nor could it have been.</w:t>
      </w:r>
      <w:r w:rsidR="006B234D">
        <w:rPr>
          <w:rStyle w:val="Heading1Char"/>
          <w:color w:val="auto"/>
          <w:sz w:val="20"/>
          <w:szCs w:val="20"/>
        </w:rPr>
        <w:t xml:space="preserve">  A future AWR cannot be bound by an earlier decision</w:t>
      </w:r>
      <w:r w:rsidR="00E813C3">
        <w:rPr>
          <w:rStyle w:val="Heading1Char"/>
          <w:color w:val="auto"/>
          <w:sz w:val="20"/>
          <w:szCs w:val="20"/>
        </w:rPr>
        <w:t xml:space="preserve"> about outcome</w:t>
      </w:r>
      <w:r w:rsidR="006B234D">
        <w:rPr>
          <w:rStyle w:val="Heading1Char"/>
          <w:color w:val="auto"/>
          <w:sz w:val="20"/>
          <w:szCs w:val="20"/>
        </w:rPr>
        <w:t>.</w:t>
      </w:r>
      <w:r w:rsidR="006B234D">
        <w:rPr>
          <w:rStyle w:val="FootnoteReference"/>
          <w:rFonts w:ascii="Verdana" w:eastAsiaTheme="majorEastAsia" w:hAnsi="Verdana" w:cstheme="majorBidi"/>
          <w:bCs/>
          <w:sz w:val="20"/>
          <w:szCs w:val="20"/>
          <w:lang w:eastAsia="zh-TW"/>
        </w:rPr>
        <w:footnoteReference w:id="28"/>
      </w:r>
    </w:p>
    <w:p w:rsidR="006A4894" w:rsidRPr="00F147F6" w:rsidRDefault="006A4894" w:rsidP="002758C6">
      <w:pPr>
        <w:spacing w:line="240" w:lineRule="auto"/>
        <w:rPr>
          <w:rStyle w:val="Heading1Char"/>
          <w:color w:val="auto"/>
          <w:sz w:val="20"/>
          <w:szCs w:val="20"/>
        </w:rPr>
      </w:pPr>
      <w:r w:rsidRPr="00F147F6">
        <w:rPr>
          <w:rStyle w:val="Heading1Char"/>
          <w:color w:val="auto"/>
          <w:sz w:val="20"/>
          <w:szCs w:val="20"/>
        </w:rPr>
        <w:t xml:space="preserve">In its </w:t>
      </w:r>
      <w:r w:rsidR="006B234D">
        <w:rPr>
          <w:rStyle w:val="Heading1Char"/>
          <w:color w:val="auto"/>
          <w:sz w:val="20"/>
          <w:szCs w:val="20"/>
        </w:rPr>
        <w:t>T</w:t>
      </w:r>
      <w:r w:rsidRPr="00F147F6">
        <w:rPr>
          <w:rStyle w:val="Heading1Char"/>
          <w:color w:val="auto"/>
          <w:sz w:val="20"/>
          <w:szCs w:val="20"/>
        </w:rPr>
        <w:t xml:space="preserve">ransitional </w:t>
      </w:r>
      <w:r w:rsidR="006B234D">
        <w:rPr>
          <w:rStyle w:val="Heading1Char"/>
          <w:color w:val="auto"/>
          <w:sz w:val="20"/>
          <w:szCs w:val="20"/>
        </w:rPr>
        <w:t>Arrangements</w:t>
      </w:r>
      <w:r w:rsidRPr="00F147F6">
        <w:rPr>
          <w:rStyle w:val="Heading1Char"/>
          <w:color w:val="auto"/>
          <w:sz w:val="20"/>
          <w:szCs w:val="20"/>
        </w:rPr>
        <w:t xml:space="preserve"> decision the </w:t>
      </w:r>
      <w:r w:rsidRPr="00F147F6">
        <w:rPr>
          <w:rStyle w:val="Heading1Char"/>
          <w:i/>
          <w:color w:val="auto"/>
          <w:sz w:val="20"/>
          <w:szCs w:val="20"/>
        </w:rPr>
        <w:t>Penalty Rates</w:t>
      </w:r>
      <w:r w:rsidRPr="00F147F6">
        <w:rPr>
          <w:rStyle w:val="Heading1Char"/>
          <w:color w:val="auto"/>
          <w:sz w:val="20"/>
          <w:szCs w:val="20"/>
        </w:rPr>
        <w:t xml:space="preserve"> bench said</w:t>
      </w:r>
    </w:p>
    <w:p w:rsidR="006A4894" w:rsidRPr="00F147F6" w:rsidRDefault="006A4894" w:rsidP="00F147F6">
      <w:pPr>
        <w:spacing w:line="240" w:lineRule="auto"/>
        <w:ind w:left="720"/>
        <w:rPr>
          <w:rStyle w:val="Heading1Char"/>
          <w:color w:val="auto"/>
          <w:sz w:val="20"/>
          <w:szCs w:val="20"/>
        </w:rPr>
      </w:pPr>
      <w:r w:rsidRPr="00F147F6">
        <w:rPr>
          <w:rFonts w:ascii="Verdana" w:hAnsi="Verdana"/>
          <w:i/>
          <w:sz w:val="20"/>
          <w:szCs w:val="20"/>
          <w:shd w:val="clear" w:color="auto" w:fill="FFFFFF"/>
        </w:rPr>
        <w:t>[43] […]The phased reductions in Sunday penalty rates that we intend to make will be implemented at the same time as the implementation of any increases arising from the Annual Wage Review decision. This will usually mean that the affected employees will receive an increase in their base hourly rate of pay at the same time as they are affected by a reduction in Sunday penalty rates. As such, the take home pay of the employees concerned may not reduce to the same extent as it otherwise would – but it is also important to acknowledge that they will receive a reduction in the earnings they would have received but for the implementation of the </w:t>
      </w:r>
      <w:r w:rsidRPr="00F147F6">
        <w:rPr>
          <w:rFonts w:ascii="Verdana" w:hAnsi="Verdana"/>
          <w:i/>
          <w:iCs/>
          <w:sz w:val="20"/>
          <w:szCs w:val="20"/>
          <w:shd w:val="clear" w:color="auto" w:fill="FFFFFF"/>
        </w:rPr>
        <w:t>Penalty Rates decision</w:t>
      </w:r>
      <w:r w:rsidRPr="00F147F6">
        <w:rPr>
          <w:rFonts w:ascii="Verdana" w:hAnsi="Verdana"/>
          <w:i/>
          <w:sz w:val="20"/>
          <w:szCs w:val="20"/>
          <w:shd w:val="clear" w:color="auto" w:fill="FFFFFF"/>
        </w:rPr>
        <w:t xml:space="preserve">. </w:t>
      </w:r>
      <w:r w:rsidRPr="00F147F6">
        <w:rPr>
          <w:rFonts w:ascii="Verdana" w:hAnsi="Verdana"/>
          <w:i/>
          <w:sz w:val="20"/>
          <w:szCs w:val="20"/>
          <w:u w:val="single"/>
          <w:shd w:val="clear" w:color="auto" w:fill="FFFFFF"/>
        </w:rPr>
        <w:t xml:space="preserve">Accordingly, any Annual Wage Review increase cannot be said to ameliorate the </w:t>
      </w:r>
      <w:r w:rsidRPr="00F147F6">
        <w:rPr>
          <w:rFonts w:ascii="Verdana" w:hAnsi="Verdana"/>
          <w:i/>
          <w:sz w:val="20"/>
          <w:szCs w:val="20"/>
          <w:u w:val="single"/>
          <w:shd w:val="clear" w:color="auto" w:fill="FFFFFF"/>
        </w:rPr>
        <w:lastRenderedPageBreak/>
        <w:t>impact of our decision</w:t>
      </w:r>
      <w:r w:rsidRPr="00F147F6">
        <w:rPr>
          <w:rFonts w:ascii="Verdana" w:hAnsi="Verdana"/>
          <w:i/>
          <w:sz w:val="20"/>
          <w:szCs w:val="20"/>
          <w:shd w:val="clear" w:color="auto" w:fill="FFFFFF"/>
        </w:rPr>
        <w:t>. It is the phased implementation of the Sunday penalty rate cuts which provides a degree of amelioration</w:t>
      </w:r>
      <w:r w:rsidRPr="00F147F6">
        <w:rPr>
          <w:rFonts w:ascii="Verdana" w:hAnsi="Verdana"/>
          <w:sz w:val="20"/>
          <w:szCs w:val="20"/>
          <w:shd w:val="clear" w:color="auto" w:fill="FFFFFF"/>
        </w:rPr>
        <w:t>.</w:t>
      </w:r>
      <w:r w:rsidRPr="00F147F6">
        <w:rPr>
          <w:rStyle w:val="FootnoteReference"/>
          <w:rFonts w:ascii="Verdana" w:hAnsi="Verdana"/>
          <w:sz w:val="20"/>
          <w:szCs w:val="20"/>
          <w:shd w:val="clear" w:color="auto" w:fill="FFFFFF"/>
        </w:rPr>
        <w:footnoteReference w:id="29"/>
      </w:r>
      <w:r w:rsidRPr="00F147F6">
        <w:rPr>
          <w:rFonts w:ascii="Verdana" w:hAnsi="Verdana"/>
          <w:sz w:val="20"/>
          <w:szCs w:val="20"/>
          <w:shd w:val="clear" w:color="auto" w:fill="FFFFFF"/>
        </w:rPr>
        <w:t xml:space="preserve"> (Emphasis added)</w:t>
      </w:r>
    </w:p>
    <w:p w:rsidR="003C63AD" w:rsidRPr="00F147F6" w:rsidRDefault="006A4894" w:rsidP="000F6FCF">
      <w:pPr>
        <w:spacing w:line="240" w:lineRule="auto"/>
        <w:rPr>
          <w:rStyle w:val="Heading1Char"/>
          <w:color w:val="auto"/>
          <w:sz w:val="20"/>
          <w:szCs w:val="20"/>
        </w:rPr>
      </w:pPr>
      <w:r w:rsidRPr="00F147F6">
        <w:rPr>
          <w:rStyle w:val="Heading1Char"/>
          <w:color w:val="auto"/>
          <w:sz w:val="20"/>
          <w:szCs w:val="20"/>
        </w:rPr>
        <w:t xml:space="preserve">about which the Court said </w:t>
      </w:r>
    </w:p>
    <w:p w:rsidR="006A4894" w:rsidRPr="00F147F6" w:rsidRDefault="006A4894" w:rsidP="00F147F6">
      <w:pPr>
        <w:spacing w:line="240" w:lineRule="auto"/>
        <w:ind w:left="720"/>
        <w:rPr>
          <w:rStyle w:val="Heading1Char"/>
          <w:color w:val="auto"/>
          <w:sz w:val="20"/>
          <w:szCs w:val="20"/>
        </w:rPr>
      </w:pPr>
      <w:r w:rsidRPr="00F147F6">
        <w:rPr>
          <w:rFonts w:ascii="Verdana" w:hAnsi="Verdana"/>
          <w:i/>
          <w:sz w:val="20"/>
          <w:szCs w:val="20"/>
          <w:shd w:val="clear" w:color="auto" w:fill="FFFFFF"/>
        </w:rPr>
        <w:t xml:space="preserve">[90] […] In so doing </w:t>
      </w:r>
      <w:r w:rsidRPr="00F147F6">
        <w:rPr>
          <w:rFonts w:ascii="Verdana" w:hAnsi="Verdana"/>
          <w:sz w:val="20"/>
          <w:szCs w:val="20"/>
          <w:shd w:val="clear" w:color="auto" w:fill="FFFFFF"/>
        </w:rPr>
        <w:t>[reconsidering its decision on the basis of further submissions]</w:t>
      </w:r>
      <w:r w:rsidRPr="00F147F6">
        <w:rPr>
          <w:rFonts w:ascii="Verdana" w:hAnsi="Verdana"/>
          <w:i/>
          <w:sz w:val="20"/>
          <w:szCs w:val="20"/>
          <w:shd w:val="clear" w:color="auto" w:fill="FFFFFF"/>
        </w:rPr>
        <w:t xml:space="preserve">, it </w:t>
      </w:r>
      <w:r w:rsidRPr="00F147F6">
        <w:rPr>
          <w:rFonts w:ascii="Verdana" w:hAnsi="Verdana"/>
          <w:sz w:val="20"/>
          <w:szCs w:val="20"/>
          <w:shd w:val="clear" w:color="auto" w:fill="FFFFFF"/>
        </w:rPr>
        <w:t>[the Penalty Rates bench]</w:t>
      </w:r>
      <w:r w:rsidRPr="00F147F6">
        <w:rPr>
          <w:rFonts w:ascii="Verdana" w:hAnsi="Verdana"/>
          <w:i/>
          <w:sz w:val="20"/>
          <w:szCs w:val="20"/>
          <w:shd w:val="clear" w:color="auto" w:fill="FFFFFF"/>
        </w:rPr>
        <w:t xml:space="preserve"> accepted that its decision to reduce penalty rates would negatively impact on the low paid in terms of their relative living standards and capacity to meet their needs. As explained at [43] it considered this negative impact would be ameliorated to some extent but not completely by transitional arrangements because the earnings of the affected employees would still be affected. It also accepted that any annual wage review cannot be said to have an ameliorative effect despite the fact that affected employees will likely receive an increase in their minimum rates of pay from an annual wage review at the same time that the reductions to penalty rates are implemented.</w:t>
      </w:r>
      <w:r w:rsidRPr="00F147F6">
        <w:rPr>
          <w:rStyle w:val="FootnoteReference"/>
          <w:rFonts w:ascii="Verdana" w:hAnsi="Verdana"/>
          <w:sz w:val="20"/>
          <w:szCs w:val="20"/>
          <w:shd w:val="clear" w:color="auto" w:fill="FFFFFF"/>
        </w:rPr>
        <w:footnoteReference w:id="30"/>
      </w:r>
    </w:p>
    <w:p w:rsidR="00886EC7" w:rsidRDefault="00365D37" w:rsidP="000F6FCF">
      <w:pPr>
        <w:spacing w:line="240" w:lineRule="auto"/>
        <w:rPr>
          <w:rStyle w:val="Heading1Char"/>
          <w:color w:val="auto"/>
          <w:sz w:val="20"/>
          <w:szCs w:val="20"/>
        </w:rPr>
      </w:pPr>
      <w:r w:rsidRPr="00F147F6">
        <w:rPr>
          <w:rStyle w:val="Heading1Char"/>
          <w:color w:val="auto"/>
          <w:sz w:val="20"/>
          <w:szCs w:val="20"/>
        </w:rPr>
        <w:t xml:space="preserve">In </w:t>
      </w:r>
      <w:r w:rsidR="00886EC7">
        <w:rPr>
          <w:rStyle w:val="Heading1Char"/>
          <w:color w:val="auto"/>
          <w:sz w:val="20"/>
          <w:szCs w:val="20"/>
        </w:rPr>
        <w:t>its AWR</w:t>
      </w:r>
      <w:r w:rsidRPr="00F147F6">
        <w:rPr>
          <w:rStyle w:val="Heading1Char"/>
          <w:color w:val="auto"/>
          <w:sz w:val="20"/>
          <w:szCs w:val="20"/>
        </w:rPr>
        <w:t xml:space="preserve"> the Panel is required to review modern award wages so as to assess the extent to which they, modern award wages, are providing a safety net of fair minimum wages and together with the National Employment </w:t>
      </w:r>
      <w:r w:rsidR="00886EC7">
        <w:rPr>
          <w:rStyle w:val="Heading1Char"/>
          <w:color w:val="auto"/>
          <w:sz w:val="20"/>
          <w:szCs w:val="20"/>
        </w:rPr>
        <w:t>S</w:t>
      </w:r>
      <w:r w:rsidR="00886EC7" w:rsidRPr="00F147F6">
        <w:rPr>
          <w:rStyle w:val="Heading1Char"/>
          <w:color w:val="auto"/>
          <w:sz w:val="20"/>
          <w:szCs w:val="20"/>
        </w:rPr>
        <w:t>tandards</w:t>
      </w:r>
      <w:r w:rsidRPr="00F147F6">
        <w:rPr>
          <w:rStyle w:val="Heading1Char"/>
          <w:color w:val="auto"/>
          <w:sz w:val="20"/>
          <w:szCs w:val="20"/>
        </w:rPr>
        <w:t xml:space="preserve"> provide a fair and relevant minimum safety net of terms and conditions.  The determinations varying the relevant hospitality and retail awards </w:t>
      </w:r>
      <w:r w:rsidR="00886EC7">
        <w:rPr>
          <w:rStyle w:val="Heading1Char"/>
          <w:color w:val="auto"/>
          <w:sz w:val="20"/>
          <w:szCs w:val="20"/>
        </w:rPr>
        <w:t>give effect to</w:t>
      </w:r>
      <w:r w:rsidRPr="00F147F6">
        <w:rPr>
          <w:rStyle w:val="Heading1Char"/>
          <w:color w:val="auto"/>
          <w:sz w:val="20"/>
          <w:szCs w:val="20"/>
        </w:rPr>
        <w:t xml:space="preserve"> the modern awards objective and they </w:t>
      </w:r>
      <w:r w:rsidR="00886EC7">
        <w:rPr>
          <w:rStyle w:val="Heading1Char"/>
          <w:color w:val="auto"/>
          <w:sz w:val="20"/>
          <w:szCs w:val="20"/>
        </w:rPr>
        <w:t xml:space="preserve">were not and </w:t>
      </w:r>
      <w:r w:rsidRPr="00F147F6">
        <w:rPr>
          <w:rStyle w:val="Heading1Char"/>
          <w:color w:val="auto"/>
          <w:sz w:val="20"/>
          <w:szCs w:val="20"/>
        </w:rPr>
        <w:t xml:space="preserve">cannot have been dependent on a given or minimum amount of </w:t>
      </w:r>
      <w:r w:rsidR="002110C5" w:rsidRPr="00F147F6">
        <w:rPr>
          <w:rStyle w:val="Heading1Char"/>
          <w:color w:val="auto"/>
          <w:sz w:val="20"/>
          <w:szCs w:val="20"/>
        </w:rPr>
        <w:t xml:space="preserve">award </w:t>
      </w:r>
      <w:r w:rsidRPr="00F147F6">
        <w:rPr>
          <w:rStyle w:val="Heading1Char"/>
          <w:color w:val="auto"/>
          <w:sz w:val="20"/>
          <w:szCs w:val="20"/>
        </w:rPr>
        <w:t>minimum wage increase</w:t>
      </w:r>
      <w:r w:rsidR="002110C5" w:rsidRPr="00F147F6">
        <w:rPr>
          <w:rStyle w:val="Heading1Char"/>
          <w:color w:val="auto"/>
          <w:sz w:val="20"/>
          <w:szCs w:val="20"/>
        </w:rPr>
        <w:t xml:space="preserve">.  </w:t>
      </w:r>
      <w:r w:rsidR="008F737B">
        <w:rPr>
          <w:rStyle w:val="Heading1Char"/>
          <w:color w:val="auto"/>
          <w:sz w:val="20"/>
          <w:szCs w:val="20"/>
        </w:rPr>
        <w:t>It is not clear how the</w:t>
      </w:r>
      <w:r w:rsidR="00180DF1">
        <w:rPr>
          <w:rStyle w:val="Heading1Char"/>
          <w:color w:val="auto"/>
          <w:sz w:val="20"/>
          <w:szCs w:val="20"/>
        </w:rPr>
        <w:t xml:space="preserve"> determinations</w:t>
      </w:r>
      <w:r w:rsidR="008F737B">
        <w:rPr>
          <w:rStyle w:val="Heading1Char"/>
          <w:color w:val="auto"/>
          <w:sz w:val="20"/>
          <w:szCs w:val="20"/>
        </w:rPr>
        <w:t xml:space="preserve"> form part of the broad factual matrix against which the AWR is conducted.</w:t>
      </w:r>
    </w:p>
    <w:p w:rsidR="0016293A" w:rsidRDefault="003B13AF" w:rsidP="000F6FCF">
      <w:pPr>
        <w:spacing w:line="240" w:lineRule="auto"/>
        <w:rPr>
          <w:rStyle w:val="Heading1Char"/>
          <w:color w:val="auto"/>
          <w:sz w:val="20"/>
          <w:szCs w:val="20"/>
        </w:rPr>
      </w:pPr>
      <w:r>
        <w:rPr>
          <w:rStyle w:val="Heading1Char"/>
          <w:color w:val="auto"/>
          <w:sz w:val="20"/>
          <w:szCs w:val="20"/>
        </w:rPr>
        <w:t>Giving effect to a fair and relevant safety net of terms and conditions includes taking into account the</w:t>
      </w:r>
      <w:r w:rsidRPr="00F147F6">
        <w:rPr>
          <w:rStyle w:val="Heading1Char"/>
          <w:color w:val="auto"/>
          <w:sz w:val="20"/>
          <w:szCs w:val="20"/>
        </w:rPr>
        <w:t xml:space="preserve"> relative living standards and needs of the low paid</w:t>
      </w:r>
      <w:r>
        <w:rPr>
          <w:rStyle w:val="Heading1Char"/>
          <w:color w:val="auto"/>
          <w:sz w:val="20"/>
          <w:szCs w:val="20"/>
        </w:rPr>
        <w:t xml:space="preserve">.   </w:t>
      </w:r>
      <w:r w:rsidR="00F97C51">
        <w:rPr>
          <w:rStyle w:val="Heading1Char"/>
          <w:color w:val="auto"/>
          <w:sz w:val="20"/>
          <w:szCs w:val="20"/>
        </w:rPr>
        <w:t xml:space="preserve">This is one of a </w:t>
      </w:r>
      <w:r w:rsidR="0016293A">
        <w:rPr>
          <w:rStyle w:val="Heading1Char"/>
          <w:color w:val="auto"/>
          <w:sz w:val="20"/>
          <w:szCs w:val="20"/>
        </w:rPr>
        <w:t xml:space="preserve">number of different matters which must be taken into account and there is no statutory </w:t>
      </w:r>
      <w:r w:rsidR="003F5336">
        <w:rPr>
          <w:rStyle w:val="Heading1Char"/>
          <w:color w:val="auto"/>
          <w:sz w:val="20"/>
          <w:szCs w:val="20"/>
        </w:rPr>
        <w:t>primacy</w:t>
      </w:r>
      <w:r w:rsidR="0016293A">
        <w:rPr>
          <w:rStyle w:val="Heading1Char"/>
          <w:color w:val="auto"/>
          <w:sz w:val="20"/>
          <w:szCs w:val="20"/>
        </w:rPr>
        <w:t xml:space="preserve"> afforded any one of the</w:t>
      </w:r>
      <w:r w:rsidR="003F5336">
        <w:rPr>
          <w:rStyle w:val="Heading1Char"/>
          <w:color w:val="auto"/>
          <w:sz w:val="20"/>
          <w:szCs w:val="20"/>
        </w:rPr>
        <w:t xml:space="preserve">se considerations </w:t>
      </w:r>
      <w:r w:rsidR="0016293A">
        <w:rPr>
          <w:rStyle w:val="Heading1Char"/>
          <w:color w:val="auto"/>
          <w:sz w:val="20"/>
          <w:szCs w:val="20"/>
        </w:rPr>
        <w:t>over others.  However circumstances may impact weighting.</w:t>
      </w:r>
    </w:p>
    <w:p w:rsidR="0016293A" w:rsidRPr="008E534C" w:rsidRDefault="0016293A" w:rsidP="008E534C">
      <w:pPr>
        <w:pStyle w:val="NormalWeb"/>
        <w:ind w:left="720"/>
        <w:rPr>
          <w:rFonts w:ascii="Verdana" w:hAnsi="Verdana"/>
          <w:color w:val="000000"/>
          <w:sz w:val="20"/>
          <w:szCs w:val="20"/>
        </w:rPr>
      </w:pPr>
      <w:r w:rsidRPr="008E534C">
        <w:rPr>
          <w:rFonts w:ascii="Verdana" w:hAnsi="Verdana"/>
          <w:bCs/>
          <w:i/>
          <w:color w:val="000000"/>
          <w:sz w:val="20"/>
          <w:szCs w:val="20"/>
        </w:rPr>
        <w:t>[50]</w:t>
      </w:r>
      <w:r w:rsidRPr="008E534C">
        <w:rPr>
          <w:rFonts w:ascii="Verdana" w:hAnsi="Verdana"/>
          <w:b/>
          <w:bCs/>
          <w:i/>
          <w:color w:val="000000"/>
          <w:sz w:val="20"/>
          <w:szCs w:val="20"/>
        </w:rPr>
        <w:t> </w:t>
      </w:r>
      <w:r w:rsidRPr="008E534C">
        <w:rPr>
          <w:rFonts w:ascii="Verdana" w:hAnsi="Verdana"/>
          <w:i/>
          <w:color w:val="000000"/>
          <w:sz w:val="20"/>
          <w:szCs w:val="20"/>
        </w:rPr>
        <w:t>Sections 134, 284 and 578 of the Act each direct the Panel to ‘take into account’ certain specified considerations in conducting and completing an AWR. A matter which the Panel is directed to ‘take into account’ is a relevant consideration in the </w:t>
      </w:r>
      <w:r w:rsidRPr="008E534C">
        <w:rPr>
          <w:rFonts w:ascii="Verdana" w:hAnsi="Verdana"/>
          <w:i/>
          <w:iCs/>
          <w:color w:val="000000"/>
          <w:sz w:val="20"/>
          <w:szCs w:val="20"/>
        </w:rPr>
        <w:t>Peko-Wallsend</w:t>
      </w:r>
      <w:r w:rsidR="004608DA">
        <w:rPr>
          <w:rFonts w:ascii="Verdana" w:hAnsi="Verdana"/>
          <w:i/>
          <w:iCs/>
          <w:color w:val="000000"/>
          <w:sz w:val="20"/>
          <w:szCs w:val="20"/>
        </w:rPr>
        <w:t xml:space="preserve"> </w:t>
      </w:r>
      <w:r w:rsidRPr="008E534C">
        <w:rPr>
          <w:rFonts w:ascii="Verdana" w:hAnsi="Verdana"/>
          <w:i/>
          <w:color w:val="000000"/>
          <w:sz w:val="20"/>
          <w:szCs w:val="20"/>
        </w:rPr>
        <w:t>sense; which is those matters which the decision maker is bound to take into account and treat as matters of significance in the decision making process.</w:t>
      </w:r>
      <w:r w:rsidR="004608DA" w:rsidRPr="004608DA">
        <w:rPr>
          <w:rFonts w:ascii="Verdana" w:hAnsi="Verdana"/>
          <w:i/>
          <w:color w:val="000000"/>
          <w:sz w:val="20"/>
          <w:szCs w:val="20"/>
        </w:rPr>
        <w:t xml:space="preserve">  </w:t>
      </w:r>
      <w:r w:rsidRPr="008E534C">
        <w:rPr>
          <w:rFonts w:ascii="Verdana" w:hAnsi="Verdana"/>
          <w:i/>
          <w:color w:val="000000"/>
          <w:sz w:val="20"/>
          <w:szCs w:val="20"/>
        </w:rPr>
        <w:t>No particular primacy is attached to any of the considerations identified in the modern awards objective (s.134(1)(a)-(h)) or in the minimum wages objective (s.284(1)(a)(e)). For our part we would observe that the weight to be attributed to a particular statutory consideration may vary from year to year depending on the social and economic context in a particular Review.</w:t>
      </w:r>
      <w:r w:rsidRPr="008E534C">
        <w:rPr>
          <w:rStyle w:val="FootnoteReference"/>
          <w:rFonts w:ascii="Verdana" w:hAnsi="Verdana"/>
          <w:color w:val="000000"/>
          <w:sz w:val="20"/>
          <w:szCs w:val="20"/>
        </w:rPr>
        <w:footnoteReference w:id="31"/>
      </w:r>
    </w:p>
    <w:p w:rsidR="00241651" w:rsidRPr="00D64D67" w:rsidRDefault="00241651" w:rsidP="00241651">
      <w:pPr>
        <w:spacing w:line="240" w:lineRule="auto"/>
        <w:rPr>
          <w:rStyle w:val="Heading1Char"/>
          <w:color w:val="auto"/>
          <w:sz w:val="20"/>
          <w:szCs w:val="20"/>
        </w:rPr>
      </w:pPr>
      <w:r>
        <w:rPr>
          <w:rStyle w:val="Heading1Char"/>
          <w:color w:val="auto"/>
          <w:sz w:val="20"/>
          <w:szCs w:val="20"/>
        </w:rPr>
        <w:t>Taking into account the</w:t>
      </w:r>
      <w:r w:rsidRPr="00F147F6">
        <w:rPr>
          <w:rStyle w:val="Heading1Char"/>
          <w:color w:val="auto"/>
          <w:sz w:val="20"/>
          <w:szCs w:val="20"/>
        </w:rPr>
        <w:t xml:space="preserve"> </w:t>
      </w:r>
      <w:r w:rsidR="00D64D67">
        <w:rPr>
          <w:rStyle w:val="Heading1Char"/>
          <w:color w:val="auto"/>
          <w:sz w:val="20"/>
          <w:szCs w:val="20"/>
        </w:rPr>
        <w:t>“…</w:t>
      </w:r>
      <w:r w:rsidRPr="00F147F6">
        <w:rPr>
          <w:rStyle w:val="Heading1Char"/>
          <w:color w:val="auto"/>
          <w:sz w:val="20"/>
          <w:szCs w:val="20"/>
        </w:rPr>
        <w:t>relative living standards and needs of the low paid</w:t>
      </w:r>
      <w:r w:rsidR="00D64D67">
        <w:rPr>
          <w:rStyle w:val="Heading1Char"/>
          <w:color w:val="auto"/>
          <w:sz w:val="20"/>
          <w:szCs w:val="20"/>
        </w:rPr>
        <w:t>”</w:t>
      </w:r>
      <w:r>
        <w:rPr>
          <w:rStyle w:val="Heading1Char"/>
          <w:color w:val="auto"/>
          <w:sz w:val="20"/>
          <w:szCs w:val="20"/>
        </w:rPr>
        <w:t xml:space="preserve"> is a single composite consideration which the Panel has described as being “</w:t>
      </w:r>
      <w:r w:rsidRPr="00106F08">
        <w:rPr>
          <w:rStyle w:val="Heading1Char"/>
          <w:i/>
          <w:color w:val="auto"/>
          <w:sz w:val="20"/>
          <w:szCs w:val="20"/>
        </w:rPr>
        <w:t>different, but related</w:t>
      </w:r>
      <w:r>
        <w:rPr>
          <w:rStyle w:val="Heading1Char"/>
          <w:color w:val="auto"/>
          <w:sz w:val="20"/>
          <w:szCs w:val="20"/>
        </w:rPr>
        <w:t xml:space="preserve">”, to some </w:t>
      </w:r>
      <w:r w:rsidRPr="00D64D67">
        <w:rPr>
          <w:rStyle w:val="Heading1Char"/>
          <w:color w:val="auto"/>
          <w:sz w:val="20"/>
          <w:szCs w:val="20"/>
        </w:rPr>
        <w:t xml:space="preserve">extent distinguishing </w:t>
      </w:r>
      <w:r w:rsidR="00055C9A">
        <w:rPr>
          <w:rStyle w:val="Heading1Char"/>
          <w:color w:val="auto"/>
          <w:sz w:val="20"/>
          <w:szCs w:val="20"/>
        </w:rPr>
        <w:t>the focus of assessment of “</w:t>
      </w:r>
      <w:r w:rsidRPr="00D64D67">
        <w:rPr>
          <w:rStyle w:val="Heading1Char"/>
          <w:color w:val="auto"/>
          <w:sz w:val="20"/>
          <w:szCs w:val="20"/>
        </w:rPr>
        <w:t>relative living standards</w:t>
      </w:r>
      <w:r w:rsidR="00055C9A">
        <w:rPr>
          <w:rStyle w:val="Heading1Char"/>
          <w:color w:val="auto"/>
          <w:sz w:val="20"/>
          <w:szCs w:val="20"/>
        </w:rPr>
        <w:t>”</w:t>
      </w:r>
      <w:r w:rsidRPr="00D64D67">
        <w:rPr>
          <w:rStyle w:val="Heading1Char"/>
          <w:color w:val="auto"/>
          <w:sz w:val="20"/>
          <w:szCs w:val="20"/>
        </w:rPr>
        <w:t xml:space="preserve"> and </w:t>
      </w:r>
      <w:r w:rsidR="00055C9A">
        <w:rPr>
          <w:rStyle w:val="Heading1Char"/>
          <w:color w:val="auto"/>
          <w:sz w:val="20"/>
          <w:szCs w:val="20"/>
        </w:rPr>
        <w:t>“</w:t>
      </w:r>
      <w:r w:rsidRPr="00D64D67">
        <w:rPr>
          <w:rStyle w:val="Heading1Char"/>
          <w:color w:val="auto"/>
          <w:sz w:val="20"/>
          <w:szCs w:val="20"/>
        </w:rPr>
        <w:t>needs</w:t>
      </w:r>
      <w:r w:rsidR="00055C9A">
        <w:rPr>
          <w:rStyle w:val="Heading1Char"/>
          <w:color w:val="auto"/>
          <w:sz w:val="20"/>
          <w:szCs w:val="20"/>
        </w:rPr>
        <w:t>”</w:t>
      </w:r>
      <w:r w:rsidRPr="00D64D67">
        <w:rPr>
          <w:rStyle w:val="Heading1Char"/>
          <w:color w:val="auto"/>
          <w:sz w:val="20"/>
          <w:szCs w:val="20"/>
        </w:rPr>
        <w:t xml:space="preserve">. </w:t>
      </w:r>
    </w:p>
    <w:p w:rsidR="00D64D67" w:rsidRPr="008E534C" w:rsidRDefault="00D64D67" w:rsidP="008E534C">
      <w:pPr>
        <w:spacing w:line="240" w:lineRule="auto"/>
        <w:ind w:left="720"/>
        <w:rPr>
          <w:rStyle w:val="Heading1Char"/>
          <w:i/>
          <w:color w:val="auto"/>
          <w:sz w:val="20"/>
          <w:szCs w:val="20"/>
        </w:rPr>
      </w:pPr>
      <w:r w:rsidRPr="008E534C">
        <w:rPr>
          <w:rFonts w:ascii="Verdana" w:hAnsi="Verdana"/>
          <w:bCs/>
          <w:i/>
          <w:color w:val="000000"/>
          <w:sz w:val="20"/>
          <w:szCs w:val="20"/>
        </w:rPr>
        <w:lastRenderedPageBreak/>
        <w:t>[53] </w:t>
      </w:r>
      <w:r w:rsidRPr="008E534C">
        <w:rPr>
          <w:rFonts w:ascii="Verdana" w:hAnsi="Verdana"/>
          <w:i/>
          <w:color w:val="000000"/>
          <w:sz w:val="20"/>
          <w:szCs w:val="20"/>
        </w:rPr>
        <w:t>The assessment of relative living standards requires a comparison of the living standards of workers reliant on the NMW and minimum award rates determined by the AWR with those of other groups that are deemed to be relevant.</w:t>
      </w:r>
    </w:p>
    <w:p w:rsidR="00D64D67" w:rsidRPr="00D64D67" w:rsidRDefault="00D64D67" w:rsidP="008E534C">
      <w:pPr>
        <w:spacing w:line="240" w:lineRule="auto"/>
        <w:ind w:left="720"/>
        <w:rPr>
          <w:rStyle w:val="Heading1Char"/>
          <w:color w:val="auto"/>
          <w:sz w:val="20"/>
          <w:szCs w:val="20"/>
        </w:rPr>
      </w:pPr>
      <w:r w:rsidRPr="00D64D67">
        <w:rPr>
          <w:rStyle w:val="Heading1Char"/>
          <w:color w:val="auto"/>
          <w:sz w:val="20"/>
          <w:szCs w:val="20"/>
        </w:rPr>
        <w:t>…</w:t>
      </w:r>
    </w:p>
    <w:p w:rsidR="00241651" w:rsidRPr="00D64D67" w:rsidRDefault="00D64D67" w:rsidP="008E534C">
      <w:pPr>
        <w:spacing w:line="240" w:lineRule="auto"/>
        <w:ind w:left="720"/>
        <w:rPr>
          <w:rStyle w:val="Heading1Char"/>
          <w:color w:val="auto"/>
          <w:sz w:val="20"/>
          <w:szCs w:val="20"/>
        </w:rPr>
      </w:pPr>
      <w:r w:rsidRPr="008E534C">
        <w:rPr>
          <w:rFonts w:ascii="Verdana" w:hAnsi="Verdana"/>
          <w:bCs/>
          <w:i/>
          <w:color w:val="000000"/>
          <w:sz w:val="20"/>
          <w:szCs w:val="20"/>
        </w:rPr>
        <w:t>[55] </w:t>
      </w:r>
      <w:r w:rsidRPr="008E534C">
        <w:rPr>
          <w:rFonts w:ascii="Verdana" w:hAnsi="Verdana"/>
          <w:i/>
          <w:color w:val="000000"/>
          <w:sz w:val="20"/>
          <w:szCs w:val="20"/>
        </w:rPr>
        <w:t>The assessment of the needs of the low paid requires an examination of the extent to which low-paid workers are able to purchase the essentials for a ‘decent standard of living’ and to engage in community life, assessed in the context of contemporary norms. In successive Annual Wage Reviews the Panel has concluded that a threshold of two-thirds of median full-time wages provides ‘a suitable and operational benchmark for identifying who is low paid’, within the meaning of s.134(1)(a).</w:t>
      </w:r>
      <w:r w:rsidRPr="00D64D67">
        <w:rPr>
          <w:rStyle w:val="FootnoteReference"/>
          <w:rFonts w:ascii="Verdana" w:hAnsi="Verdana"/>
          <w:i/>
          <w:color w:val="000000"/>
          <w:sz w:val="20"/>
          <w:szCs w:val="20"/>
        </w:rPr>
        <w:footnoteReference w:id="32"/>
      </w:r>
    </w:p>
    <w:p w:rsidR="003F5336" w:rsidRDefault="0030398E" w:rsidP="000F6FCF">
      <w:pPr>
        <w:spacing w:line="240" w:lineRule="auto"/>
        <w:rPr>
          <w:rStyle w:val="Heading1Char"/>
          <w:color w:val="auto"/>
          <w:sz w:val="20"/>
          <w:szCs w:val="20"/>
        </w:rPr>
      </w:pPr>
      <w:r>
        <w:rPr>
          <w:rStyle w:val="Heading1Char"/>
          <w:color w:val="auto"/>
          <w:sz w:val="20"/>
          <w:szCs w:val="20"/>
        </w:rPr>
        <w:t xml:space="preserve">For these comparisons the low paid are those employees whose award minimum wage (or NMWO wage) is </w:t>
      </w:r>
      <w:r w:rsidR="003F5336">
        <w:rPr>
          <w:rStyle w:val="Heading1Char"/>
          <w:color w:val="auto"/>
          <w:sz w:val="20"/>
          <w:szCs w:val="20"/>
        </w:rPr>
        <w:t xml:space="preserve">below </w:t>
      </w:r>
      <w:r>
        <w:rPr>
          <w:rStyle w:val="Heading1Char"/>
          <w:color w:val="auto"/>
          <w:sz w:val="20"/>
          <w:szCs w:val="20"/>
        </w:rPr>
        <w:t xml:space="preserve">two-thirds of full-time median </w:t>
      </w:r>
      <w:r w:rsidR="003F5336">
        <w:rPr>
          <w:rStyle w:val="Heading1Char"/>
          <w:color w:val="auto"/>
          <w:sz w:val="20"/>
          <w:szCs w:val="20"/>
        </w:rPr>
        <w:t>ordinary time earnings</w:t>
      </w:r>
      <w:r>
        <w:rPr>
          <w:rStyle w:val="Heading1Char"/>
          <w:color w:val="auto"/>
          <w:sz w:val="20"/>
          <w:szCs w:val="20"/>
        </w:rPr>
        <w:t xml:space="preserve">.  </w:t>
      </w:r>
      <w:r w:rsidR="003D42BF">
        <w:rPr>
          <w:rStyle w:val="Heading1Char"/>
          <w:color w:val="auto"/>
          <w:sz w:val="20"/>
          <w:szCs w:val="20"/>
        </w:rPr>
        <w:t xml:space="preserve">Defined award minimum wages are assessed against actual earnings.  </w:t>
      </w:r>
      <w:r>
        <w:rPr>
          <w:rStyle w:val="Heading1Char"/>
          <w:color w:val="auto"/>
          <w:sz w:val="20"/>
          <w:szCs w:val="20"/>
        </w:rPr>
        <w:t xml:space="preserve">Other income, including that derived from other payments due under the relevant award, such as for working </w:t>
      </w:r>
      <w:r w:rsidR="008F737B">
        <w:rPr>
          <w:rStyle w:val="Heading1Char"/>
          <w:color w:val="auto"/>
          <w:sz w:val="20"/>
          <w:szCs w:val="20"/>
        </w:rPr>
        <w:t>shifts</w:t>
      </w:r>
      <w:r>
        <w:rPr>
          <w:rStyle w:val="Heading1Char"/>
          <w:color w:val="auto"/>
          <w:sz w:val="20"/>
          <w:szCs w:val="20"/>
        </w:rPr>
        <w:t>, will show up in household income data</w:t>
      </w:r>
      <w:r w:rsidR="003F5336">
        <w:rPr>
          <w:rStyle w:val="Heading1Char"/>
          <w:color w:val="auto"/>
          <w:sz w:val="20"/>
          <w:szCs w:val="20"/>
        </w:rPr>
        <w:t>, and in ordinary time earnings</w:t>
      </w:r>
      <w:r w:rsidR="00423A5B">
        <w:rPr>
          <w:rStyle w:val="Heading1Char"/>
          <w:color w:val="auto"/>
          <w:sz w:val="20"/>
          <w:szCs w:val="20"/>
        </w:rPr>
        <w:t>,</w:t>
      </w:r>
      <w:r w:rsidR="003F5336">
        <w:rPr>
          <w:rStyle w:val="Heading1Char"/>
          <w:color w:val="auto"/>
          <w:sz w:val="20"/>
          <w:szCs w:val="20"/>
        </w:rPr>
        <w:t xml:space="preserve"> and therefore sets the low-paid determinant,</w:t>
      </w:r>
      <w:r>
        <w:rPr>
          <w:rStyle w:val="Heading1Char"/>
          <w:color w:val="auto"/>
          <w:sz w:val="20"/>
          <w:szCs w:val="20"/>
        </w:rPr>
        <w:t xml:space="preserve"> but </w:t>
      </w:r>
      <w:r w:rsidR="003F5336">
        <w:rPr>
          <w:rStyle w:val="Heading1Char"/>
          <w:color w:val="auto"/>
          <w:sz w:val="20"/>
          <w:szCs w:val="20"/>
        </w:rPr>
        <w:t xml:space="preserve">non-minimum award wage income </w:t>
      </w:r>
      <w:r>
        <w:rPr>
          <w:rStyle w:val="Heading1Char"/>
          <w:color w:val="auto"/>
          <w:sz w:val="20"/>
          <w:szCs w:val="20"/>
        </w:rPr>
        <w:t>does not determine whether an employee is low paid or not</w:t>
      </w:r>
      <w:r w:rsidR="003F5336">
        <w:rPr>
          <w:rStyle w:val="Heading1Char"/>
          <w:color w:val="auto"/>
          <w:sz w:val="20"/>
          <w:szCs w:val="20"/>
        </w:rPr>
        <w:t xml:space="preserve">.  </w:t>
      </w:r>
    </w:p>
    <w:p w:rsidR="003C63AD" w:rsidRPr="00F147F6" w:rsidRDefault="002110C5" w:rsidP="000F6FCF">
      <w:pPr>
        <w:spacing w:line="240" w:lineRule="auto"/>
        <w:rPr>
          <w:rStyle w:val="Heading1Char"/>
          <w:color w:val="auto"/>
          <w:sz w:val="20"/>
          <w:szCs w:val="20"/>
        </w:rPr>
      </w:pPr>
      <w:r w:rsidRPr="00F147F6">
        <w:rPr>
          <w:rStyle w:val="Heading1Char"/>
          <w:color w:val="auto"/>
          <w:sz w:val="20"/>
          <w:szCs w:val="20"/>
        </w:rPr>
        <w:t xml:space="preserve">There is nothing in the statutory scheme which suggests </w:t>
      </w:r>
      <w:r w:rsidRPr="00055C9A">
        <w:rPr>
          <w:rStyle w:val="Heading1Char"/>
          <w:color w:val="auto"/>
          <w:sz w:val="20"/>
          <w:szCs w:val="20"/>
        </w:rPr>
        <w:t>the</w:t>
      </w:r>
      <w:r w:rsidR="003F5336">
        <w:rPr>
          <w:rStyle w:val="Heading1Char"/>
          <w:color w:val="auto"/>
          <w:sz w:val="20"/>
          <w:szCs w:val="20"/>
        </w:rPr>
        <w:t xml:space="preserve"> hospitality and retail </w:t>
      </w:r>
      <w:r w:rsidR="003D42BF">
        <w:rPr>
          <w:rStyle w:val="Heading1Char"/>
          <w:color w:val="auto"/>
          <w:sz w:val="20"/>
          <w:szCs w:val="20"/>
        </w:rPr>
        <w:t>award penalty rate</w:t>
      </w:r>
      <w:r w:rsidRPr="00F147F6">
        <w:rPr>
          <w:rStyle w:val="Heading1Char"/>
          <w:color w:val="auto"/>
          <w:sz w:val="20"/>
          <w:szCs w:val="20"/>
        </w:rPr>
        <w:t xml:space="preserve"> variations should exert weight on AWR variation determinations.</w:t>
      </w:r>
      <w:r w:rsidR="00365D37" w:rsidRPr="00F147F6">
        <w:rPr>
          <w:rStyle w:val="Heading1Char"/>
          <w:color w:val="auto"/>
          <w:sz w:val="20"/>
          <w:szCs w:val="20"/>
        </w:rPr>
        <w:t xml:space="preserve">  </w:t>
      </w:r>
    </w:p>
    <w:p w:rsidR="003C63AD" w:rsidRDefault="003C63AD" w:rsidP="000F6FCF">
      <w:pPr>
        <w:spacing w:line="240" w:lineRule="auto"/>
        <w:rPr>
          <w:rStyle w:val="Heading1Char"/>
          <w:sz w:val="20"/>
          <w:szCs w:val="20"/>
        </w:rPr>
      </w:pPr>
    </w:p>
    <w:p w:rsidR="003C63AD" w:rsidRDefault="003C63AD" w:rsidP="000F6FCF">
      <w:pPr>
        <w:spacing w:line="240" w:lineRule="auto"/>
        <w:rPr>
          <w:rStyle w:val="Heading1Char"/>
          <w:sz w:val="20"/>
          <w:szCs w:val="20"/>
        </w:rPr>
      </w:pPr>
    </w:p>
    <w:p w:rsidR="003C63AD" w:rsidRDefault="003C63AD" w:rsidP="000F6FCF">
      <w:pPr>
        <w:spacing w:line="240" w:lineRule="auto"/>
        <w:rPr>
          <w:rStyle w:val="Heading1Char"/>
          <w:sz w:val="20"/>
          <w:szCs w:val="20"/>
        </w:rPr>
      </w:pPr>
    </w:p>
    <w:p w:rsidR="00EA3D3F" w:rsidRPr="00F147F6" w:rsidRDefault="000F6FCF" w:rsidP="000F6FCF">
      <w:pPr>
        <w:spacing w:line="240" w:lineRule="auto"/>
        <w:rPr>
          <w:rStyle w:val="Heading1Char"/>
          <w:sz w:val="20"/>
          <w:szCs w:val="20"/>
        </w:rPr>
      </w:pPr>
      <w:r>
        <w:rPr>
          <w:rStyle w:val="Heading1Char"/>
          <w:sz w:val="20"/>
          <w:szCs w:val="20"/>
        </w:rPr>
        <w:t xml:space="preserve">  </w:t>
      </w:r>
    </w:p>
    <w:p w:rsidR="00F147F6" w:rsidRDefault="00F147F6" w:rsidP="002D2940">
      <w:pPr>
        <w:spacing w:line="240" w:lineRule="auto"/>
        <w:rPr>
          <w:rStyle w:val="Heading1Char"/>
        </w:rPr>
      </w:pPr>
    </w:p>
    <w:p w:rsidR="00F147F6" w:rsidRDefault="00F147F6">
      <w:pPr>
        <w:rPr>
          <w:rStyle w:val="Heading1Char"/>
        </w:rPr>
      </w:pPr>
      <w:r>
        <w:rPr>
          <w:rStyle w:val="Heading1Char"/>
        </w:rPr>
        <w:br w:type="page"/>
      </w:r>
    </w:p>
    <w:p w:rsidR="00DD4495" w:rsidRPr="002D2940" w:rsidRDefault="00EA3D3F" w:rsidP="002D2940">
      <w:pPr>
        <w:spacing w:line="240" w:lineRule="auto"/>
        <w:rPr>
          <w:rStyle w:val="Heading1Char"/>
        </w:rPr>
      </w:pPr>
      <w:r>
        <w:rPr>
          <w:rStyle w:val="Heading1Char"/>
        </w:rPr>
        <w:lastRenderedPageBreak/>
        <w:t xml:space="preserve">Part V - </w:t>
      </w:r>
      <w:r w:rsidR="00DD4495" w:rsidRPr="002D2940">
        <w:rPr>
          <w:rStyle w:val="Heading1Char"/>
        </w:rPr>
        <w:t>ABI submissions to the Panel</w:t>
      </w:r>
    </w:p>
    <w:p w:rsidR="00F87321" w:rsidRPr="00F87321" w:rsidRDefault="003A2B51" w:rsidP="00F87321">
      <w:pPr>
        <w:rPr>
          <w:rFonts w:ascii="Verdana" w:hAnsi="Verdana"/>
          <w:sz w:val="20"/>
          <w:szCs w:val="20"/>
        </w:rPr>
      </w:pPr>
      <w:r>
        <w:rPr>
          <w:rFonts w:ascii="Verdana" w:hAnsi="Verdana"/>
          <w:sz w:val="20"/>
          <w:szCs w:val="20"/>
        </w:rPr>
        <w:t>T</w:t>
      </w:r>
      <w:r w:rsidR="00F87321" w:rsidRPr="00F87321">
        <w:rPr>
          <w:rFonts w:ascii="Verdana" w:hAnsi="Verdana"/>
          <w:sz w:val="20"/>
          <w:szCs w:val="20"/>
        </w:rPr>
        <w:t xml:space="preserve">he multitude </w:t>
      </w:r>
      <w:r>
        <w:rPr>
          <w:rFonts w:ascii="Verdana" w:hAnsi="Verdana"/>
          <w:sz w:val="20"/>
          <w:szCs w:val="20"/>
        </w:rPr>
        <w:t xml:space="preserve">and make-up </w:t>
      </w:r>
      <w:r w:rsidR="00F87321" w:rsidRPr="00F87321">
        <w:rPr>
          <w:rFonts w:ascii="Verdana" w:hAnsi="Verdana"/>
          <w:sz w:val="20"/>
          <w:szCs w:val="20"/>
        </w:rPr>
        <w:t>of factors that must be considered by the Panel make it difficult to determine adjustments through mechanistic approaches</w:t>
      </w:r>
      <w:r>
        <w:rPr>
          <w:rFonts w:ascii="Verdana" w:hAnsi="Verdana"/>
          <w:sz w:val="20"/>
          <w:szCs w:val="20"/>
        </w:rPr>
        <w:t>.  D</w:t>
      </w:r>
      <w:r w:rsidR="00902424">
        <w:rPr>
          <w:rFonts w:ascii="Verdana" w:hAnsi="Verdana"/>
          <w:sz w:val="20"/>
          <w:szCs w:val="20"/>
        </w:rPr>
        <w:t xml:space="preserve">ecision </w:t>
      </w:r>
      <w:r w:rsidR="00F87321" w:rsidRPr="00F87321">
        <w:rPr>
          <w:rFonts w:ascii="Verdana" w:hAnsi="Verdana"/>
          <w:sz w:val="20"/>
          <w:szCs w:val="20"/>
        </w:rPr>
        <w:t>rules, such as real</w:t>
      </w:r>
      <w:r w:rsidR="00FD1BCA">
        <w:rPr>
          <w:rFonts w:ascii="Verdana" w:hAnsi="Verdana"/>
          <w:sz w:val="20"/>
          <w:szCs w:val="20"/>
        </w:rPr>
        <w:noBreakHyphen/>
      </w:r>
      <w:r w:rsidR="00F87321" w:rsidRPr="00F87321">
        <w:rPr>
          <w:rFonts w:ascii="Verdana" w:hAnsi="Verdana"/>
          <w:sz w:val="20"/>
          <w:szCs w:val="20"/>
        </w:rPr>
        <w:t>wage maintenance</w:t>
      </w:r>
      <w:r>
        <w:rPr>
          <w:rFonts w:ascii="Verdana" w:hAnsi="Verdana"/>
          <w:sz w:val="20"/>
          <w:szCs w:val="20"/>
        </w:rPr>
        <w:t xml:space="preserve"> or index-targeted increases</w:t>
      </w:r>
      <w:r w:rsidR="00F87321" w:rsidRPr="00F87321">
        <w:rPr>
          <w:rFonts w:ascii="Verdana" w:hAnsi="Verdana"/>
          <w:sz w:val="20"/>
          <w:szCs w:val="20"/>
        </w:rPr>
        <w:t xml:space="preserve">, </w:t>
      </w:r>
      <w:r w:rsidR="00902424">
        <w:rPr>
          <w:rFonts w:ascii="Verdana" w:hAnsi="Verdana"/>
          <w:sz w:val="20"/>
          <w:szCs w:val="20"/>
        </w:rPr>
        <w:t xml:space="preserve">do </w:t>
      </w:r>
      <w:r w:rsidR="00F87321" w:rsidRPr="00F87321">
        <w:rPr>
          <w:rFonts w:ascii="Verdana" w:hAnsi="Verdana"/>
          <w:sz w:val="20"/>
          <w:szCs w:val="20"/>
        </w:rPr>
        <w:t xml:space="preserve">not appropriately reflect the diversity of statutory factors that the Panel must </w:t>
      </w:r>
      <w:r>
        <w:rPr>
          <w:rFonts w:ascii="Verdana" w:hAnsi="Verdana"/>
          <w:sz w:val="20"/>
          <w:szCs w:val="20"/>
        </w:rPr>
        <w:t>take into account</w:t>
      </w:r>
      <w:r w:rsidR="00F87321" w:rsidRPr="00F87321">
        <w:rPr>
          <w:rFonts w:ascii="Verdana" w:hAnsi="Verdana"/>
          <w:sz w:val="20"/>
          <w:szCs w:val="20"/>
        </w:rPr>
        <w:t>.  Even if more complex frameworks could be developed to give weighting to those factors, their relative impact on the decision may change depending on</w:t>
      </w:r>
      <w:r w:rsidR="008919BA">
        <w:rPr>
          <w:rFonts w:ascii="Verdana" w:hAnsi="Verdana"/>
          <w:sz w:val="20"/>
          <w:szCs w:val="20"/>
        </w:rPr>
        <w:t xml:space="preserve"> the prevailing circumstances.</w:t>
      </w:r>
    </w:p>
    <w:p w:rsidR="00BE70D4" w:rsidRDefault="00902424" w:rsidP="00F87321">
      <w:pPr>
        <w:rPr>
          <w:rFonts w:ascii="Verdana" w:hAnsi="Verdana"/>
          <w:sz w:val="20"/>
          <w:szCs w:val="20"/>
        </w:rPr>
      </w:pPr>
      <w:r>
        <w:rPr>
          <w:rFonts w:ascii="Verdana" w:hAnsi="Verdana"/>
          <w:sz w:val="20"/>
          <w:szCs w:val="20"/>
        </w:rPr>
        <w:t xml:space="preserve">Equally, though, </w:t>
      </w:r>
      <w:r w:rsidR="00F87321" w:rsidRPr="00F87321">
        <w:rPr>
          <w:rFonts w:ascii="Verdana" w:hAnsi="Verdana"/>
          <w:sz w:val="20"/>
          <w:szCs w:val="20"/>
        </w:rPr>
        <w:t>the absence of a transparent</w:t>
      </w:r>
      <w:r>
        <w:rPr>
          <w:rFonts w:ascii="Verdana" w:hAnsi="Verdana"/>
          <w:sz w:val="20"/>
          <w:szCs w:val="20"/>
        </w:rPr>
        <w:t>ly</w:t>
      </w:r>
      <w:r w:rsidR="00F87321" w:rsidRPr="00F87321">
        <w:rPr>
          <w:rFonts w:ascii="Verdana" w:hAnsi="Verdana"/>
          <w:sz w:val="20"/>
          <w:szCs w:val="20"/>
        </w:rPr>
        <w:t xml:space="preserve"> objective basis for reaching a decision</w:t>
      </w:r>
      <w:r>
        <w:rPr>
          <w:rFonts w:ascii="Verdana" w:hAnsi="Verdana"/>
          <w:sz w:val="20"/>
          <w:szCs w:val="20"/>
        </w:rPr>
        <w:t xml:space="preserve"> makes </w:t>
      </w:r>
      <w:r w:rsidR="004E4183">
        <w:rPr>
          <w:rFonts w:ascii="Verdana" w:hAnsi="Verdana"/>
          <w:sz w:val="20"/>
          <w:szCs w:val="20"/>
        </w:rPr>
        <w:t xml:space="preserve">it </w:t>
      </w:r>
      <w:r w:rsidR="00F87321" w:rsidRPr="00F87321">
        <w:rPr>
          <w:rFonts w:ascii="Verdana" w:hAnsi="Verdana"/>
          <w:sz w:val="20"/>
          <w:szCs w:val="20"/>
        </w:rPr>
        <w:t xml:space="preserve">difficult for parties to account for any quantification of changes </w:t>
      </w:r>
      <w:r w:rsidR="003A2B51">
        <w:rPr>
          <w:rFonts w:ascii="Verdana" w:hAnsi="Verdana"/>
          <w:sz w:val="20"/>
          <w:szCs w:val="20"/>
        </w:rPr>
        <w:t xml:space="preserve">they </w:t>
      </w:r>
      <w:r w:rsidR="00F87321" w:rsidRPr="00F87321">
        <w:rPr>
          <w:rFonts w:ascii="Verdana" w:hAnsi="Verdana"/>
          <w:sz w:val="20"/>
          <w:szCs w:val="20"/>
        </w:rPr>
        <w:t>recommend to the Panel</w:t>
      </w:r>
      <w:r w:rsidR="00995547">
        <w:rPr>
          <w:rFonts w:ascii="Verdana" w:hAnsi="Verdana"/>
          <w:sz w:val="20"/>
          <w:szCs w:val="20"/>
        </w:rPr>
        <w:t>.</w:t>
      </w:r>
      <w:r w:rsidR="00F87321" w:rsidRPr="00F87321">
        <w:rPr>
          <w:rFonts w:ascii="Verdana" w:hAnsi="Verdana"/>
          <w:sz w:val="20"/>
          <w:szCs w:val="20"/>
        </w:rPr>
        <w:t xml:space="preserve"> </w:t>
      </w:r>
      <w:r w:rsidR="00BE70D4">
        <w:rPr>
          <w:rFonts w:ascii="Verdana" w:hAnsi="Verdana"/>
          <w:sz w:val="20"/>
          <w:szCs w:val="20"/>
        </w:rPr>
        <w:t xml:space="preserve"> This is underscored by last year’s decision to award a 3.3 per cent in</w:t>
      </w:r>
      <w:r w:rsidR="00DB6C01">
        <w:rPr>
          <w:rFonts w:ascii="Verdana" w:hAnsi="Verdana"/>
          <w:sz w:val="20"/>
          <w:szCs w:val="20"/>
        </w:rPr>
        <w:t xml:space="preserve">crease without a </w:t>
      </w:r>
      <w:r w:rsidR="0067236F">
        <w:rPr>
          <w:rFonts w:ascii="Verdana" w:hAnsi="Verdana"/>
          <w:sz w:val="20"/>
          <w:szCs w:val="20"/>
        </w:rPr>
        <w:t>detailed</w:t>
      </w:r>
      <w:r w:rsidR="00DB6C01">
        <w:rPr>
          <w:rFonts w:ascii="Verdana" w:hAnsi="Verdana"/>
          <w:sz w:val="20"/>
          <w:szCs w:val="20"/>
        </w:rPr>
        <w:t xml:space="preserve"> </w:t>
      </w:r>
      <w:r w:rsidR="0067236F">
        <w:rPr>
          <w:rFonts w:ascii="Verdana" w:hAnsi="Verdana"/>
          <w:sz w:val="20"/>
          <w:szCs w:val="20"/>
        </w:rPr>
        <w:t>explanation</w:t>
      </w:r>
      <w:r w:rsidR="00DB6C01">
        <w:rPr>
          <w:rFonts w:ascii="Verdana" w:hAnsi="Verdana"/>
          <w:sz w:val="20"/>
          <w:szCs w:val="20"/>
        </w:rPr>
        <w:t xml:space="preserve"> of how </w:t>
      </w:r>
      <w:r w:rsidR="0067236F">
        <w:rPr>
          <w:rFonts w:ascii="Verdana" w:hAnsi="Verdana"/>
          <w:sz w:val="20"/>
          <w:szCs w:val="20"/>
        </w:rPr>
        <w:t xml:space="preserve">3.3% is to </w:t>
      </w:r>
      <w:r w:rsidR="00DB6C01">
        <w:rPr>
          <w:rFonts w:ascii="Verdana" w:hAnsi="Verdana"/>
          <w:sz w:val="20"/>
          <w:szCs w:val="20"/>
        </w:rPr>
        <w:t xml:space="preserve">be </w:t>
      </w:r>
      <w:r w:rsidR="00BE70D4">
        <w:rPr>
          <w:rFonts w:ascii="Verdana" w:hAnsi="Verdana"/>
          <w:sz w:val="20"/>
          <w:szCs w:val="20"/>
        </w:rPr>
        <w:t xml:space="preserve">reconciled with earlier decisions.  </w:t>
      </w:r>
      <w:r w:rsidR="0067236F">
        <w:rPr>
          <w:rFonts w:ascii="Verdana" w:hAnsi="Verdana"/>
          <w:sz w:val="20"/>
          <w:szCs w:val="20"/>
        </w:rPr>
        <w:t>T</w:t>
      </w:r>
      <w:r w:rsidR="00BE70D4">
        <w:rPr>
          <w:rFonts w:ascii="Verdana" w:hAnsi="Verdana"/>
          <w:sz w:val="20"/>
          <w:szCs w:val="20"/>
        </w:rPr>
        <w:t xml:space="preserve">he decision </w:t>
      </w:r>
      <w:r w:rsidR="0067236F">
        <w:rPr>
          <w:rFonts w:ascii="Verdana" w:hAnsi="Verdana"/>
          <w:sz w:val="20"/>
          <w:szCs w:val="20"/>
        </w:rPr>
        <w:t>advised</w:t>
      </w:r>
      <w:r w:rsidR="00BE70D4">
        <w:rPr>
          <w:rFonts w:ascii="Verdana" w:hAnsi="Verdana"/>
          <w:sz w:val="20"/>
          <w:szCs w:val="20"/>
        </w:rPr>
        <w:t xml:space="preserve"> that the Panel </w:t>
      </w:r>
      <w:r w:rsidR="0067236F">
        <w:rPr>
          <w:rFonts w:ascii="Verdana" w:hAnsi="Verdana"/>
          <w:sz w:val="20"/>
          <w:szCs w:val="20"/>
        </w:rPr>
        <w:t xml:space="preserve">now </w:t>
      </w:r>
      <w:r w:rsidR="00BE70D4">
        <w:rPr>
          <w:rFonts w:ascii="Verdana" w:hAnsi="Verdana"/>
          <w:sz w:val="20"/>
          <w:szCs w:val="20"/>
        </w:rPr>
        <w:t xml:space="preserve">considered </w:t>
      </w:r>
      <w:r w:rsidR="0067236F">
        <w:rPr>
          <w:rFonts w:ascii="Verdana" w:hAnsi="Verdana"/>
          <w:sz w:val="20"/>
          <w:szCs w:val="20"/>
        </w:rPr>
        <w:t xml:space="preserve">that </w:t>
      </w:r>
      <w:r w:rsidR="00BE70D4">
        <w:rPr>
          <w:rFonts w:ascii="Verdana" w:hAnsi="Verdana"/>
          <w:sz w:val="20"/>
          <w:szCs w:val="20"/>
        </w:rPr>
        <w:t xml:space="preserve">it has been ”overly cautious” </w:t>
      </w:r>
      <w:r w:rsidR="0067236F">
        <w:rPr>
          <w:rFonts w:ascii="Verdana" w:hAnsi="Verdana"/>
          <w:sz w:val="20"/>
          <w:szCs w:val="20"/>
        </w:rPr>
        <w:t>in</w:t>
      </w:r>
      <w:r w:rsidR="00BE70D4">
        <w:rPr>
          <w:rFonts w:ascii="Verdana" w:hAnsi="Verdana"/>
          <w:sz w:val="20"/>
          <w:szCs w:val="20"/>
        </w:rPr>
        <w:t xml:space="preserve"> its regard for disemployment effects</w:t>
      </w:r>
      <w:r w:rsidR="00FD1BCA">
        <w:rPr>
          <w:rFonts w:ascii="Verdana" w:hAnsi="Verdana"/>
          <w:sz w:val="20"/>
          <w:szCs w:val="20"/>
        </w:rPr>
        <w:t xml:space="preserve"> but </w:t>
      </w:r>
      <w:r w:rsidR="00D05197">
        <w:rPr>
          <w:rFonts w:ascii="Verdana" w:hAnsi="Verdana"/>
          <w:sz w:val="20"/>
          <w:szCs w:val="20"/>
        </w:rPr>
        <w:t>did not account for the extent to which this resulted in a much larger increase than had been awarded in previous years.</w:t>
      </w:r>
      <w:r w:rsidR="00D05197">
        <w:rPr>
          <w:rStyle w:val="FootnoteReference"/>
          <w:rFonts w:ascii="Verdana" w:hAnsi="Verdana"/>
          <w:sz w:val="20"/>
          <w:szCs w:val="20"/>
        </w:rPr>
        <w:footnoteReference w:id="33"/>
      </w:r>
    </w:p>
    <w:p w:rsidR="00D1167E" w:rsidRDefault="00F85E5E" w:rsidP="00C36B09">
      <w:pPr>
        <w:rPr>
          <w:rFonts w:ascii="Verdana" w:hAnsi="Verdana"/>
          <w:sz w:val="20"/>
          <w:szCs w:val="20"/>
        </w:rPr>
      </w:pPr>
      <w:r>
        <w:rPr>
          <w:rFonts w:ascii="Verdana" w:hAnsi="Verdana"/>
          <w:sz w:val="20"/>
          <w:szCs w:val="20"/>
        </w:rPr>
        <w:t xml:space="preserve">Notwithstanding challenges faced by </w:t>
      </w:r>
      <w:r w:rsidR="0067236F">
        <w:rPr>
          <w:rFonts w:ascii="Verdana" w:hAnsi="Verdana"/>
          <w:sz w:val="20"/>
          <w:szCs w:val="20"/>
        </w:rPr>
        <w:t xml:space="preserve">parties </w:t>
      </w:r>
      <w:r>
        <w:rPr>
          <w:rFonts w:ascii="Verdana" w:hAnsi="Verdana"/>
          <w:sz w:val="20"/>
          <w:szCs w:val="20"/>
        </w:rPr>
        <w:t>in attempting to quantify a recommended increase</w:t>
      </w:r>
      <w:r w:rsidR="00F87321" w:rsidRPr="00F87321">
        <w:rPr>
          <w:rFonts w:ascii="Verdana" w:hAnsi="Verdana"/>
          <w:sz w:val="20"/>
          <w:szCs w:val="20"/>
        </w:rPr>
        <w:t>, ABI has given consideration as to the nature of any increase that would be broadly suitable to the conditions faced by employers and the needs of award</w:t>
      </w:r>
      <w:r w:rsidR="00181205">
        <w:rPr>
          <w:rFonts w:ascii="Verdana" w:hAnsi="Verdana"/>
          <w:sz w:val="20"/>
          <w:szCs w:val="20"/>
        </w:rPr>
        <w:t>-</w:t>
      </w:r>
      <w:r w:rsidR="00F87321" w:rsidRPr="00F87321">
        <w:rPr>
          <w:rFonts w:ascii="Verdana" w:hAnsi="Verdana"/>
          <w:sz w:val="20"/>
          <w:szCs w:val="20"/>
        </w:rPr>
        <w:t xml:space="preserve">reliant employees.  </w:t>
      </w:r>
      <w:r>
        <w:rPr>
          <w:rFonts w:ascii="Verdana" w:hAnsi="Verdana"/>
          <w:sz w:val="20"/>
          <w:szCs w:val="20"/>
        </w:rPr>
        <w:t>ABI submits that, within the contemporary context, broader price movements in the economy should anchor changes to the NMW.  ABI is of the view this approach offers a useful foundation for determining a change to the NMW that optimises outcomes with respect to the statutory considerations.  Upon assessing a broad range of price measures in the economy, ABI has come to a view that an increase of not more than 1.9% would be appropriate in the current economic environment.</w:t>
      </w:r>
      <w:r w:rsidR="00ED085A">
        <w:rPr>
          <w:rFonts w:ascii="Verdana" w:hAnsi="Verdana"/>
          <w:sz w:val="20"/>
          <w:szCs w:val="20"/>
        </w:rPr>
        <w:t xml:space="preserve">  </w:t>
      </w:r>
    </w:p>
    <w:p w:rsidR="00F85E5E" w:rsidRDefault="00ED085A" w:rsidP="00C36B09">
      <w:pPr>
        <w:rPr>
          <w:rFonts w:ascii="Verdana" w:hAnsi="Verdana"/>
          <w:sz w:val="20"/>
          <w:szCs w:val="20"/>
        </w:rPr>
      </w:pPr>
      <w:r>
        <w:rPr>
          <w:rFonts w:ascii="Verdana" w:hAnsi="Verdana"/>
          <w:sz w:val="20"/>
          <w:szCs w:val="20"/>
        </w:rPr>
        <w:t>To be clear, ABI does not argue that changes to the NMW should be mechanically linke</w:t>
      </w:r>
      <w:r w:rsidR="00AD670E">
        <w:rPr>
          <w:rFonts w:ascii="Verdana" w:hAnsi="Verdana"/>
          <w:sz w:val="20"/>
          <w:szCs w:val="20"/>
        </w:rPr>
        <w:t xml:space="preserve">d to measures of prices growth </w:t>
      </w:r>
      <w:r>
        <w:rPr>
          <w:rFonts w:ascii="Verdana" w:hAnsi="Verdana"/>
          <w:sz w:val="20"/>
          <w:szCs w:val="20"/>
        </w:rPr>
        <w:t>such as</w:t>
      </w:r>
      <w:r w:rsidR="003E2508">
        <w:rPr>
          <w:rFonts w:ascii="Verdana" w:hAnsi="Verdana"/>
          <w:sz w:val="20"/>
          <w:szCs w:val="20"/>
        </w:rPr>
        <w:t xml:space="preserve"> </w:t>
      </w:r>
      <w:r>
        <w:rPr>
          <w:rFonts w:ascii="Verdana" w:hAnsi="Verdana"/>
          <w:sz w:val="20"/>
          <w:szCs w:val="20"/>
        </w:rPr>
        <w:t>CPI.</w:t>
      </w:r>
    </w:p>
    <w:p w:rsidR="00ED085A" w:rsidRPr="00ED085A" w:rsidRDefault="00ED085A" w:rsidP="00ED085A">
      <w:r>
        <w:rPr>
          <w:rFonts w:ascii="Verdana" w:hAnsi="Verdana"/>
          <w:sz w:val="20"/>
          <w:szCs w:val="20"/>
        </w:rPr>
        <w:t>The</w:t>
      </w:r>
      <w:r w:rsidRPr="00F87321">
        <w:rPr>
          <w:rFonts w:ascii="Verdana" w:hAnsi="Verdana"/>
          <w:sz w:val="20"/>
          <w:szCs w:val="20"/>
        </w:rPr>
        <w:t xml:space="preserve"> key rationale for </w:t>
      </w:r>
      <w:r w:rsidR="00D1167E">
        <w:rPr>
          <w:rFonts w:ascii="Verdana" w:hAnsi="Verdana"/>
          <w:sz w:val="20"/>
          <w:szCs w:val="20"/>
        </w:rPr>
        <w:t xml:space="preserve">arriving at </w:t>
      </w:r>
      <w:r>
        <w:rPr>
          <w:rFonts w:ascii="Verdana" w:hAnsi="Verdana"/>
          <w:sz w:val="20"/>
          <w:szCs w:val="20"/>
        </w:rPr>
        <w:t>this recommendation</w:t>
      </w:r>
      <w:r w:rsidRPr="00F87321">
        <w:rPr>
          <w:rFonts w:ascii="Verdana" w:hAnsi="Verdana"/>
          <w:sz w:val="20"/>
          <w:szCs w:val="20"/>
        </w:rPr>
        <w:t xml:space="preserve"> </w:t>
      </w:r>
      <w:r>
        <w:rPr>
          <w:rFonts w:ascii="Verdana" w:hAnsi="Verdana"/>
          <w:sz w:val="20"/>
          <w:szCs w:val="20"/>
        </w:rPr>
        <w:t xml:space="preserve">is that </w:t>
      </w:r>
      <w:r w:rsidRPr="00ED085A">
        <w:rPr>
          <w:rFonts w:ascii="Verdana" w:hAnsi="Verdana"/>
          <w:sz w:val="20"/>
          <w:szCs w:val="20"/>
        </w:rPr>
        <w:t xml:space="preserve">a low inflation, low wages growth environment </w:t>
      </w:r>
      <w:r>
        <w:rPr>
          <w:rFonts w:ascii="Verdana" w:hAnsi="Verdana"/>
          <w:sz w:val="20"/>
          <w:szCs w:val="20"/>
        </w:rPr>
        <w:t xml:space="preserve">has persisted and this </w:t>
      </w:r>
      <w:r w:rsidRPr="00ED085A">
        <w:rPr>
          <w:rFonts w:ascii="Verdana" w:hAnsi="Verdana"/>
          <w:sz w:val="20"/>
          <w:szCs w:val="20"/>
        </w:rPr>
        <w:t>ought to bias</w:t>
      </w:r>
      <w:r>
        <w:rPr>
          <w:rFonts w:ascii="Verdana" w:hAnsi="Verdana"/>
          <w:sz w:val="20"/>
          <w:szCs w:val="20"/>
        </w:rPr>
        <w:t xml:space="preserve"> toward more moderate increases.  Additionally, improvements in labour market conditions are not broad-based with four out of the five most award</w:t>
      </w:r>
      <w:r>
        <w:rPr>
          <w:rFonts w:ascii="Verdana" w:hAnsi="Verdana"/>
          <w:sz w:val="20"/>
          <w:szCs w:val="20"/>
        </w:rPr>
        <w:noBreakHyphen/>
        <w:t xml:space="preserve">reliant industries still exhibiting elevated levels of underutilisation.  Further, the cumulative impact of successive minimum wage increased well in excess of broader wages growth has made it less likely that firms will hire award-reliant </w:t>
      </w:r>
      <w:r w:rsidR="00180DF1">
        <w:rPr>
          <w:rFonts w:ascii="Verdana" w:hAnsi="Verdana"/>
          <w:sz w:val="20"/>
          <w:szCs w:val="20"/>
        </w:rPr>
        <w:t>employees</w:t>
      </w:r>
      <w:r>
        <w:rPr>
          <w:rFonts w:ascii="Verdana" w:hAnsi="Verdana"/>
          <w:sz w:val="20"/>
          <w:szCs w:val="20"/>
        </w:rPr>
        <w:t xml:space="preserve"> even though there may be favourable labour market conditions in</w:t>
      </w:r>
      <w:r w:rsidR="00D1167E">
        <w:rPr>
          <w:rFonts w:ascii="Verdana" w:hAnsi="Verdana"/>
          <w:sz w:val="20"/>
          <w:szCs w:val="20"/>
        </w:rPr>
        <w:t xml:space="preserve"> other parts of</w:t>
      </w:r>
      <w:r>
        <w:rPr>
          <w:rFonts w:ascii="Verdana" w:hAnsi="Verdana"/>
          <w:sz w:val="20"/>
          <w:szCs w:val="20"/>
        </w:rPr>
        <w:t xml:space="preserve"> the economy.  This is because higher marginal returns can be made by hiring </w:t>
      </w:r>
      <w:r w:rsidR="00180DF1">
        <w:rPr>
          <w:rFonts w:ascii="Verdana" w:hAnsi="Verdana"/>
          <w:sz w:val="20"/>
          <w:szCs w:val="20"/>
        </w:rPr>
        <w:t>employees</w:t>
      </w:r>
      <w:r>
        <w:rPr>
          <w:rFonts w:ascii="Verdana" w:hAnsi="Verdana"/>
          <w:sz w:val="20"/>
          <w:szCs w:val="20"/>
        </w:rPr>
        <w:t xml:space="preserve"> that can engage in higher</w:t>
      </w:r>
      <w:r>
        <w:rPr>
          <w:rFonts w:ascii="Verdana" w:hAnsi="Verdana"/>
          <w:sz w:val="20"/>
          <w:szCs w:val="20"/>
        </w:rPr>
        <w:noBreakHyphen/>
        <w:t xml:space="preserve">value added activities. </w:t>
      </w:r>
      <w:r w:rsidR="00933A93">
        <w:rPr>
          <w:rFonts w:ascii="Verdana" w:hAnsi="Verdana"/>
          <w:sz w:val="20"/>
          <w:szCs w:val="20"/>
        </w:rPr>
        <w:t xml:space="preserve"> The absence of a favourable labour productivity environment, including negative productivity growth in the most award-reliant industries, hastens the potential </w:t>
      </w:r>
      <w:r w:rsidR="00D1167E">
        <w:rPr>
          <w:rFonts w:ascii="Verdana" w:hAnsi="Verdana"/>
          <w:sz w:val="20"/>
          <w:szCs w:val="20"/>
        </w:rPr>
        <w:t xml:space="preserve">of </w:t>
      </w:r>
      <w:r w:rsidR="00933A93">
        <w:rPr>
          <w:rFonts w:ascii="Verdana" w:hAnsi="Verdana"/>
          <w:sz w:val="20"/>
          <w:szCs w:val="20"/>
        </w:rPr>
        <w:t>this occur</w:t>
      </w:r>
      <w:r w:rsidR="00D1167E">
        <w:rPr>
          <w:rFonts w:ascii="Verdana" w:hAnsi="Verdana"/>
          <w:sz w:val="20"/>
          <w:szCs w:val="20"/>
        </w:rPr>
        <w:t>ring</w:t>
      </w:r>
      <w:r w:rsidR="00933A93">
        <w:rPr>
          <w:rFonts w:ascii="Verdana" w:hAnsi="Verdana"/>
          <w:sz w:val="20"/>
          <w:szCs w:val="20"/>
        </w:rPr>
        <w:t>.</w:t>
      </w:r>
    </w:p>
    <w:p w:rsidR="00DE17C1" w:rsidRDefault="00D1167E" w:rsidP="00F85E5E">
      <w:pPr>
        <w:spacing w:after="0"/>
        <w:rPr>
          <w:rFonts w:ascii="Verdana" w:hAnsi="Verdana"/>
          <w:sz w:val="20"/>
          <w:szCs w:val="20"/>
        </w:rPr>
      </w:pPr>
      <w:r>
        <w:rPr>
          <w:rFonts w:ascii="Verdana" w:hAnsi="Verdana"/>
          <w:sz w:val="20"/>
          <w:szCs w:val="20"/>
        </w:rPr>
        <w:t xml:space="preserve">In its decisions the Panel </w:t>
      </w:r>
      <w:r w:rsidR="004A49C6">
        <w:rPr>
          <w:rFonts w:ascii="Verdana" w:hAnsi="Verdana"/>
          <w:sz w:val="20"/>
          <w:szCs w:val="20"/>
        </w:rPr>
        <w:t>typically</w:t>
      </w:r>
      <w:r>
        <w:rPr>
          <w:rFonts w:ascii="Verdana" w:hAnsi="Verdana"/>
          <w:sz w:val="20"/>
          <w:szCs w:val="20"/>
        </w:rPr>
        <w:t xml:space="preserve"> identif</w:t>
      </w:r>
      <w:r w:rsidR="004A49C6">
        <w:rPr>
          <w:rFonts w:ascii="Verdana" w:hAnsi="Verdana"/>
          <w:sz w:val="20"/>
          <w:szCs w:val="20"/>
        </w:rPr>
        <w:t xml:space="preserve">ies </w:t>
      </w:r>
      <w:r>
        <w:rPr>
          <w:rFonts w:ascii="Verdana" w:hAnsi="Verdana"/>
          <w:sz w:val="20"/>
          <w:szCs w:val="20"/>
        </w:rPr>
        <w:t xml:space="preserve">the </w:t>
      </w:r>
      <w:r w:rsidR="004A49C6">
        <w:rPr>
          <w:rFonts w:ascii="Verdana" w:hAnsi="Verdana"/>
          <w:sz w:val="20"/>
          <w:szCs w:val="20"/>
        </w:rPr>
        <w:t xml:space="preserve">review </w:t>
      </w:r>
      <w:r>
        <w:rPr>
          <w:rFonts w:ascii="Verdana" w:hAnsi="Verdana"/>
          <w:sz w:val="20"/>
          <w:szCs w:val="20"/>
        </w:rPr>
        <w:t xml:space="preserve">outcomes </w:t>
      </w:r>
      <w:r w:rsidR="004A49C6">
        <w:rPr>
          <w:rFonts w:ascii="Verdana" w:hAnsi="Verdana"/>
          <w:sz w:val="20"/>
          <w:szCs w:val="20"/>
        </w:rPr>
        <w:t xml:space="preserve">proposed </w:t>
      </w:r>
      <w:r>
        <w:rPr>
          <w:rFonts w:ascii="Verdana" w:hAnsi="Verdana"/>
          <w:sz w:val="20"/>
          <w:szCs w:val="20"/>
        </w:rPr>
        <w:t xml:space="preserve">by </w:t>
      </w:r>
      <w:r w:rsidR="004A49C6">
        <w:rPr>
          <w:rFonts w:ascii="Verdana" w:hAnsi="Verdana"/>
          <w:sz w:val="20"/>
          <w:szCs w:val="20"/>
        </w:rPr>
        <w:t>different</w:t>
      </w:r>
      <w:r>
        <w:rPr>
          <w:rFonts w:ascii="Verdana" w:hAnsi="Verdana"/>
          <w:sz w:val="20"/>
          <w:szCs w:val="20"/>
        </w:rPr>
        <w:t xml:space="preserve"> parties</w:t>
      </w:r>
      <w:r w:rsidR="004A49C6">
        <w:rPr>
          <w:rFonts w:ascii="Verdana" w:hAnsi="Verdana"/>
          <w:sz w:val="20"/>
          <w:szCs w:val="20"/>
        </w:rPr>
        <w:t>.</w:t>
      </w:r>
      <w:r w:rsidR="009303DF" w:rsidRPr="002D7A95">
        <w:rPr>
          <w:rStyle w:val="FootnoteReference"/>
          <w:rFonts w:ascii="Verdana" w:hAnsi="Verdana"/>
          <w:sz w:val="20"/>
          <w:szCs w:val="20"/>
        </w:rPr>
        <w:footnoteReference w:id="34"/>
      </w:r>
      <w:r w:rsidR="004A49C6">
        <w:rPr>
          <w:rFonts w:ascii="Verdana" w:hAnsi="Verdana"/>
          <w:sz w:val="20"/>
          <w:szCs w:val="20"/>
        </w:rPr>
        <w:t xml:space="preserve">  Whilst parties’ proposed outcomes might quantify for that year what is in their </w:t>
      </w:r>
      <w:r w:rsidR="004A49C6">
        <w:rPr>
          <w:rFonts w:ascii="Verdana" w:hAnsi="Verdana"/>
          <w:sz w:val="20"/>
          <w:szCs w:val="20"/>
        </w:rPr>
        <w:lastRenderedPageBreak/>
        <w:t xml:space="preserve">view “equitable”, “appropriate”, “modest” or “balancing the statutory considerations”, </w:t>
      </w:r>
      <w:r w:rsidR="00FD1BCA">
        <w:rPr>
          <w:rFonts w:ascii="Verdana" w:hAnsi="Verdana"/>
          <w:sz w:val="20"/>
          <w:szCs w:val="20"/>
        </w:rPr>
        <w:t xml:space="preserve">the Panel’s presentation of </w:t>
      </w:r>
      <w:r w:rsidR="004A49C6">
        <w:rPr>
          <w:rFonts w:ascii="Verdana" w:hAnsi="Verdana"/>
          <w:sz w:val="20"/>
          <w:szCs w:val="20"/>
        </w:rPr>
        <w:t>quantified proposed outcomes</w:t>
      </w:r>
      <w:r w:rsidR="00FD1BCA">
        <w:rPr>
          <w:rFonts w:ascii="Verdana" w:hAnsi="Verdana"/>
          <w:sz w:val="20"/>
          <w:szCs w:val="20"/>
        </w:rPr>
        <w:t xml:space="preserve"> </w:t>
      </w:r>
      <w:r w:rsidR="004A49C6">
        <w:rPr>
          <w:rFonts w:ascii="Verdana" w:hAnsi="Verdana"/>
          <w:sz w:val="20"/>
          <w:szCs w:val="20"/>
        </w:rPr>
        <w:t>supports the practice</w:t>
      </w:r>
      <w:r w:rsidR="00FD1BCA">
        <w:rPr>
          <w:rFonts w:ascii="Verdana" w:hAnsi="Verdana"/>
          <w:sz w:val="20"/>
          <w:szCs w:val="20"/>
        </w:rPr>
        <w:t xml:space="preserve">.  This </w:t>
      </w:r>
      <w:r w:rsidR="004A49C6">
        <w:rPr>
          <w:rFonts w:ascii="Verdana" w:hAnsi="Verdana"/>
          <w:sz w:val="20"/>
          <w:szCs w:val="20"/>
        </w:rPr>
        <w:t>in turn conduces to</w:t>
      </w:r>
      <w:r w:rsidR="00FD1BCA">
        <w:rPr>
          <w:rFonts w:ascii="Verdana" w:hAnsi="Verdana"/>
          <w:sz w:val="20"/>
          <w:szCs w:val="20"/>
        </w:rPr>
        <w:t xml:space="preserve"> proposed</w:t>
      </w:r>
      <w:r w:rsidR="004A49C6">
        <w:rPr>
          <w:rFonts w:ascii="Verdana" w:hAnsi="Verdana"/>
          <w:sz w:val="20"/>
          <w:szCs w:val="20"/>
        </w:rPr>
        <w:t xml:space="preserve"> outcomes </w:t>
      </w:r>
      <w:r w:rsidR="00DE17C1">
        <w:rPr>
          <w:rFonts w:ascii="Verdana" w:hAnsi="Verdana"/>
          <w:sz w:val="20"/>
          <w:szCs w:val="20"/>
        </w:rPr>
        <w:t xml:space="preserve">which are </w:t>
      </w:r>
      <w:r w:rsidR="00FD1BCA">
        <w:rPr>
          <w:rFonts w:ascii="Verdana" w:hAnsi="Verdana"/>
          <w:sz w:val="20"/>
          <w:szCs w:val="20"/>
        </w:rPr>
        <w:t xml:space="preserve">nominated </w:t>
      </w:r>
      <w:r w:rsidR="004A49C6">
        <w:rPr>
          <w:rFonts w:ascii="Verdana" w:hAnsi="Verdana"/>
          <w:sz w:val="20"/>
          <w:szCs w:val="20"/>
        </w:rPr>
        <w:t xml:space="preserve">for </w:t>
      </w:r>
      <w:r w:rsidR="00DE17C1">
        <w:rPr>
          <w:rFonts w:ascii="Verdana" w:hAnsi="Verdana"/>
          <w:sz w:val="20"/>
          <w:szCs w:val="20"/>
        </w:rPr>
        <w:t xml:space="preserve">their communication value and potentially reduces the decision’s focus on parties’ </w:t>
      </w:r>
      <w:r w:rsidR="00F85E5E">
        <w:rPr>
          <w:rFonts w:ascii="Verdana" w:hAnsi="Verdana"/>
          <w:sz w:val="20"/>
          <w:szCs w:val="20"/>
        </w:rPr>
        <w:t>underlying arguments justify</w:t>
      </w:r>
      <w:r w:rsidR="00DE17C1">
        <w:rPr>
          <w:rFonts w:ascii="Verdana" w:hAnsi="Verdana"/>
          <w:sz w:val="20"/>
          <w:szCs w:val="20"/>
        </w:rPr>
        <w:t>ing their</w:t>
      </w:r>
      <w:r w:rsidR="00F85E5E">
        <w:rPr>
          <w:rFonts w:ascii="Verdana" w:hAnsi="Verdana"/>
          <w:sz w:val="20"/>
          <w:szCs w:val="20"/>
        </w:rPr>
        <w:t xml:space="preserve"> recommendations.  </w:t>
      </w:r>
    </w:p>
    <w:p w:rsidR="00F85E5E" w:rsidRDefault="00F85E5E" w:rsidP="00F85E5E">
      <w:pPr>
        <w:spacing w:after="0"/>
        <w:rPr>
          <w:rFonts w:ascii="Verdana" w:hAnsi="Verdana"/>
          <w:sz w:val="20"/>
          <w:szCs w:val="20"/>
        </w:rPr>
      </w:pPr>
      <w:r>
        <w:rPr>
          <w:rFonts w:ascii="Verdana" w:hAnsi="Verdana"/>
          <w:sz w:val="20"/>
          <w:szCs w:val="20"/>
        </w:rPr>
        <w:t xml:space="preserve">  </w:t>
      </w:r>
    </w:p>
    <w:p w:rsidR="00307FD9" w:rsidRDefault="00307FD9" w:rsidP="00DD4495">
      <w:pPr>
        <w:numPr>
          <w:ilvl w:val="1"/>
          <w:numId w:val="0"/>
        </w:numPr>
        <w:rPr>
          <w:rFonts w:ascii="Verdana" w:eastAsiaTheme="majorEastAsia" w:hAnsi="Verdana" w:cstheme="majorBidi"/>
          <w:iCs/>
          <w:color w:val="808080" w:themeColor="background1" w:themeShade="80"/>
          <w:spacing w:val="15"/>
          <w:sz w:val="28"/>
          <w:szCs w:val="28"/>
        </w:rPr>
      </w:pPr>
      <w:r>
        <w:rPr>
          <w:rFonts w:ascii="Verdana" w:eastAsiaTheme="majorEastAsia" w:hAnsi="Verdana" w:cstheme="majorBidi"/>
          <w:iCs/>
          <w:color w:val="808080" w:themeColor="background1" w:themeShade="80"/>
          <w:spacing w:val="15"/>
          <w:sz w:val="28"/>
          <w:szCs w:val="28"/>
        </w:rPr>
        <w:t>The role of quantified recommendations</w:t>
      </w:r>
    </w:p>
    <w:p w:rsidR="00BC5876" w:rsidRDefault="00BC5876" w:rsidP="002D7A95">
      <w:pPr>
        <w:rPr>
          <w:rFonts w:ascii="Verdana" w:hAnsi="Verdana"/>
          <w:sz w:val="20"/>
          <w:szCs w:val="20"/>
        </w:rPr>
      </w:pPr>
      <w:r>
        <w:rPr>
          <w:rFonts w:ascii="Verdana" w:hAnsi="Verdana"/>
          <w:sz w:val="20"/>
          <w:szCs w:val="20"/>
        </w:rPr>
        <w:t xml:space="preserve">As noted above ABI remains concerned about the lack of clarity for submitting parties about how the Panel comes to quantify the minimum wage increase that it considers provides the best-balanced outcome across the statutory considerations.  </w:t>
      </w:r>
    </w:p>
    <w:p w:rsidR="00307FD9" w:rsidRPr="002D7A95" w:rsidRDefault="00307FD9" w:rsidP="002D7A95">
      <w:pPr>
        <w:rPr>
          <w:rFonts w:ascii="Verdana" w:hAnsi="Verdana"/>
          <w:sz w:val="20"/>
          <w:szCs w:val="20"/>
        </w:rPr>
      </w:pPr>
      <w:r w:rsidRPr="002D7A95">
        <w:rPr>
          <w:rFonts w:ascii="Verdana" w:hAnsi="Verdana"/>
          <w:sz w:val="20"/>
          <w:szCs w:val="20"/>
        </w:rPr>
        <w:t>The Act requires the Panel to weigh up the trade-offs presented by the inherent tensions in the statutory factors that it must take into account.</w:t>
      </w:r>
      <w:r w:rsidR="00FD1BCA">
        <w:rPr>
          <w:rFonts w:ascii="Verdana" w:hAnsi="Verdana"/>
          <w:sz w:val="20"/>
          <w:szCs w:val="20"/>
        </w:rPr>
        <w:t xml:space="preserve">  </w:t>
      </w:r>
      <w:r w:rsidR="006D1279">
        <w:rPr>
          <w:rFonts w:ascii="Verdana" w:hAnsi="Verdana"/>
          <w:sz w:val="20"/>
          <w:szCs w:val="20"/>
        </w:rPr>
        <w:t>Viewed from this perspective q</w:t>
      </w:r>
      <w:r w:rsidRPr="002D7A95">
        <w:rPr>
          <w:rFonts w:ascii="Verdana" w:hAnsi="Verdana"/>
          <w:sz w:val="20"/>
          <w:szCs w:val="20"/>
        </w:rPr>
        <w:t xml:space="preserve">uantified recommendations offered by parties </w:t>
      </w:r>
      <w:r w:rsidR="006D1279">
        <w:rPr>
          <w:rFonts w:ascii="Verdana" w:hAnsi="Verdana"/>
          <w:sz w:val="20"/>
          <w:szCs w:val="20"/>
        </w:rPr>
        <w:t xml:space="preserve">would seem to </w:t>
      </w:r>
      <w:r w:rsidRPr="002D7A95">
        <w:rPr>
          <w:rFonts w:ascii="Verdana" w:hAnsi="Verdana"/>
          <w:sz w:val="20"/>
          <w:szCs w:val="20"/>
        </w:rPr>
        <w:t xml:space="preserve">offer very little value in terms of the Panel’s </w:t>
      </w:r>
      <w:r w:rsidR="006D1279">
        <w:rPr>
          <w:rFonts w:ascii="Verdana" w:hAnsi="Verdana"/>
          <w:sz w:val="20"/>
          <w:szCs w:val="20"/>
        </w:rPr>
        <w:t xml:space="preserve">actual </w:t>
      </w:r>
      <w:r w:rsidRPr="002D7A95">
        <w:rPr>
          <w:rFonts w:ascii="Verdana" w:hAnsi="Verdana"/>
          <w:sz w:val="20"/>
          <w:szCs w:val="20"/>
        </w:rPr>
        <w:t xml:space="preserve">task of </w:t>
      </w:r>
      <w:r w:rsidR="006D1279">
        <w:rPr>
          <w:rFonts w:ascii="Verdana" w:hAnsi="Verdana"/>
          <w:sz w:val="20"/>
          <w:szCs w:val="20"/>
        </w:rPr>
        <w:t>taking into account</w:t>
      </w:r>
      <w:r w:rsidRPr="002D7A95">
        <w:rPr>
          <w:rFonts w:ascii="Verdana" w:hAnsi="Verdana"/>
          <w:sz w:val="20"/>
          <w:szCs w:val="20"/>
        </w:rPr>
        <w:t xml:space="preserve"> the statutory considerations</w:t>
      </w:r>
      <w:r w:rsidR="006D1279">
        <w:rPr>
          <w:rFonts w:ascii="Verdana" w:hAnsi="Verdana"/>
          <w:sz w:val="20"/>
          <w:szCs w:val="20"/>
        </w:rPr>
        <w:t xml:space="preserve"> in the circumstances</w:t>
      </w:r>
      <w:r w:rsidR="009303DF" w:rsidRPr="009303DF">
        <w:rPr>
          <w:rFonts w:ascii="Verdana" w:hAnsi="Verdana"/>
          <w:sz w:val="20"/>
          <w:szCs w:val="20"/>
        </w:rPr>
        <w:t xml:space="preserve"> </w:t>
      </w:r>
      <w:r w:rsidR="009303DF">
        <w:rPr>
          <w:rFonts w:ascii="Verdana" w:hAnsi="Verdana"/>
          <w:sz w:val="20"/>
          <w:szCs w:val="20"/>
        </w:rPr>
        <w:t>prevailing at the time of review</w:t>
      </w:r>
      <w:r w:rsidRPr="002D7A95">
        <w:rPr>
          <w:rFonts w:ascii="Verdana" w:hAnsi="Verdana"/>
          <w:sz w:val="20"/>
          <w:szCs w:val="20"/>
        </w:rPr>
        <w:t xml:space="preserve">.  </w:t>
      </w:r>
    </w:p>
    <w:p w:rsidR="002D7A95" w:rsidRDefault="009303DF" w:rsidP="00307FD9">
      <w:pPr>
        <w:rPr>
          <w:rFonts w:ascii="Verdana" w:hAnsi="Verdana"/>
          <w:sz w:val="20"/>
          <w:szCs w:val="20"/>
        </w:rPr>
      </w:pPr>
      <w:r>
        <w:rPr>
          <w:rFonts w:ascii="Verdana" w:hAnsi="Verdana"/>
          <w:sz w:val="20"/>
          <w:szCs w:val="20"/>
        </w:rPr>
        <w:t>Highlighting parties’ proposals</w:t>
      </w:r>
      <w:r w:rsidR="002D7A95">
        <w:rPr>
          <w:rFonts w:ascii="Verdana" w:hAnsi="Verdana"/>
          <w:sz w:val="20"/>
          <w:szCs w:val="20"/>
        </w:rPr>
        <w:t xml:space="preserve"> could be interpreted</w:t>
      </w:r>
      <w:r w:rsidR="00307FD9" w:rsidRPr="002D7A95">
        <w:rPr>
          <w:rFonts w:ascii="Verdana" w:hAnsi="Verdana"/>
          <w:sz w:val="20"/>
          <w:szCs w:val="20"/>
        </w:rPr>
        <w:t xml:space="preserve"> to imply that stakeholder recommendations (as opposed to broader aspects of their submissions) are a significant factor in the Panel’s deliberations.  </w:t>
      </w:r>
    </w:p>
    <w:p w:rsidR="00307FD9" w:rsidRDefault="002D7A95">
      <w:pPr>
        <w:rPr>
          <w:rFonts w:ascii="Verdana" w:eastAsiaTheme="majorEastAsia" w:hAnsi="Verdana" w:cstheme="majorBidi"/>
          <w:iCs/>
          <w:color w:val="808080" w:themeColor="background1" w:themeShade="80"/>
          <w:spacing w:val="15"/>
          <w:sz w:val="28"/>
          <w:szCs w:val="28"/>
        </w:rPr>
      </w:pPr>
      <w:r>
        <w:rPr>
          <w:rFonts w:ascii="Verdana" w:hAnsi="Verdana"/>
          <w:sz w:val="20"/>
          <w:szCs w:val="20"/>
        </w:rPr>
        <w:t xml:space="preserve">ABI encourages the Panel to consider how it can </w:t>
      </w:r>
      <w:r w:rsidR="009303DF">
        <w:rPr>
          <w:rFonts w:ascii="Verdana" w:hAnsi="Verdana"/>
          <w:sz w:val="20"/>
          <w:szCs w:val="20"/>
        </w:rPr>
        <w:t xml:space="preserve">reduce or </w:t>
      </w:r>
      <w:r>
        <w:rPr>
          <w:rFonts w:ascii="Verdana" w:hAnsi="Verdana"/>
          <w:sz w:val="20"/>
          <w:szCs w:val="20"/>
        </w:rPr>
        <w:t xml:space="preserve">mitigate the potential </w:t>
      </w:r>
      <w:r w:rsidR="009303DF">
        <w:rPr>
          <w:rFonts w:ascii="Verdana" w:hAnsi="Verdana"/>
          <w:sz w:val="20"/>
          <w:szCs w:val="20"/>
        </w:rPr>
        <w:t>for</w:t>
      </w:r>
      <w:r>
        <w:rPr>
          <w:rFonts w:ascii="Verdana" w:hAnsi="Verdana"/>
          <w:sz w:val="20"/>
          <w:szCs w:val="20"/>
        </w:rPr>
        <w:t xml:space="preserve"> ambit </w:t>
      </w:r>
      <w:r w:rsidR="009303DF">
        <w:rPr>
          <w:rFonts w:ascii="Verdana" w:hAnsi="Verdana"/>
          <w:sz w:val="20"/>
          <w:szCs w:val="20"/>
        </w:rPr>
        <w:t>informing</w:t>
      </w:r>
      <w:r>
        <w:rPr>
          <w:rFonts w:ascii="Verdana" w:hAnsi="Verdana"/>
          <w:sz w:val="20"/>
          <w:szCs w:val="20"/>
        </w:rPr>
        <w:t xml:space="preserve"> </w:t>
      </w:r>
      <w:r w:rsidR="009303DF">
        <w:rPr>
          <w:rFonts w:ascii="Verdana" w:hAnsi="Verdana"/>
          <w:sz w:val="20"/>
          <w:szCs w:val="20"/>
        </w:rPr>
        <w:t xml:space="preserve">parties’ </w:t>
      </w:r>
      <w:r>
        <w:rPr>
          <w:rFonts w:ascii="Verdana" w:hAnsi="Verdana"/>
          <w:sz w:val="20"/>
          <w:szCs w:val="20"/>
        </w:rPr>
        <w:t>recommendations</w:t>
      </w:r>
      <w:r w:rsidR="0028770B">
        <w:rPr>
          <w:rFonts w:ascii="Verdana" w:hAnsi="Verdana"/>
          <w:sz w:val="20"/>
          <w:szCs w:val="20"/>
        </w:rPr>
        <w:t xml:space="preserve"> and to better explain what processes it undertakes to translate its assessment of the statutory considerations into a quantified increase</w:t>
      </w:r>
      <w:r>
        <w:rPr>
          <w:rFonts w:ascii="Verdana" w:hAnsi="Verdana"/>
          <w:sz w:val="20"/>
          <w:szCs w:val="20"/>
        </w:rPr>
        <w:t xml:space="preserve">.  </w:t>
      </w:r>
    </w:p>
    <w:p w:rsidR="00693C3B" w:rsidRDefault="00693C3B" w:rsidP="00693C3B">
      <w:pPr>
        <w:numPr>
          <w:ilvl w:val="1"/>
          <w:numId w:val="0"/>
        </w:numPr>
        <w:rPr>
          <w:rFonts w:ascii="Verdana" w:eastAsiaTheme="majorEastAsia" w:hAnsi="Verdana" w:cstheme="majorBidi"/>
          <w:iCs/>
          <w:color w:val="808080" w:themeColor="background1" w:themeShade="80"/>
          <w:spacing w:val="15"/>
          <w:sz w:val="28"/>
          <w:szCs w:val="28"/>
        </w:rPr>
      </w:pPr>
      <w:r>
        <w:rPr>
          <w:rFonts w:ascii="Verdana" w:eastAsiaTheme="majorEastAsia" w:hAnsi="Verdana" w:cstheme="majorBidi"/>
          <w:iCs/>
          <w:color w:val="808080" w:themeColor="background1" w:themeShade="80"/>
          <w:spacing w:val="15"/>
          <w:sz w:val="28"/>
          <w:szCs w:val="28"/>
        </w:rPr>
        <w:t xml:space="preserve">Notes on </w:t>
      </w:r>
      <w:r w:rsidR="00147A51">
        <w:rPr>
          <w:rFonts w:ascii="Verdana" w:eastAsiaTheme="majorEastAsia" w:hAnsi="Verdana" w:cstheme="majorBidi"/>
          <w:iCs/>
          <w:color w:val="808080" w:themeColor="background1" w:themeShade="80"/>
          <w:spacing w:val="15"/>
          <w:sz w:val="28"/>
          <w:szCs w:val="28"/>
        </w:rPr>
        <w:t xml:space="preserve">international </w:t>
      </w:r>
      <w:r>
        <w:rPr>
          <w:rFonts w:ascii="Verdana" w:eastAsiaTheme="majorEastAsia" w:hAnsi="Verdana" w:cstheme="majorBidi"/>
          <w:iCs/>
          <w:color w:val="808080" w:themeColor="background1" w:themeShade="80"/>
          <w:spacing w:val="15"/>
          <w:sz w:val="28"/>
          <w:szCs w:val="28"/>
        </w:rPr>
        <w:t>research</w:t>
      </w:r>
    </w:p>
    <w:p w:rsidR="00674412" w:rsidRDefault="00674412" w:rsidP="00693C3B">
      <w:pPr>
        <w:rPr>
          <w:rFonts w:ascii="Verdana" w:hAnsi="Verdana"/>
          <w:sz w:val="20"/>
          <w:szCs w:val="20"/>
        </w:rPr>
      </w:pPr>
      <w:r>
        <w:rPr>
          <w:rFonts w:ascii="Verdana" w:hAnsi="Verdana"/>
          <w:sz w:val="20"/>
          <w:szCs w:val="20"/>
        </w:rPr>
        <w:t xml:space="preserve">The relationship between minimum wage increases and employment </w:t>
      </w:r>
      <w:r w:rsidR="00C70ABB">
        <w:rPr>
          <w:rFonts w:ascii="Verdana" w:hAnsi="Verdana"/>
          <w:sz w:val="20"/>
          <w:szCs w:val="20"/>
        </w:rPr>
        <w:t xml:space="preserve">effects </w:t>
      </w:r>
      <w:r>
        <w:rPr>
          <w:rFonts w:ascii="Verdana" w:hAnsi="Verdana"/>
          <w:sz w:val="20"/>
          <w:szCs w:val="20"/>
        </w:rPr>
        <w:t xml:space="preserve">is a perennial challenge for the AWR process.  It is significant that the Panel has shifted in its thinking on this in response to research undertaken in the UK.  In particular, </w:t>
      </w:r>
      <w:r w:rsidR="00D208D0">
        <w:rPr>
          <w:rFonts w:ascii="Verdana" w:hAnsi="Verdana"/>
          <w:sz w:val="20"/>
          <w:szCs w:val="20"/>
        </w:rPr>
        <w:t>in its 20</w:t>
      </w:r>
      <w:r w:rsidR="00C16490">
        <w:rPr>
          <w:rFonts w:ascii="Verdana" w:hAnsi="Verdana"/>
          <w:sz w:val="20"/>
          <w:szCs w:val="20"/>
        </w:rPr>
        <w:t>16-</w:t>
      </w:r>
      <w:r w:rsidR="00D208D0">
        <w:rPr>
          <w:rFonts w:ascii="Verdana" w:hAnsi="Verdana"/>
          <w:sz w:val="20"/>
          <w:szCs w:val="20"/>
        </w:rPr>
        <w:t xml:space="preserve">17 decision </w:t>
      </w:r>
      <w:r>
        <w:rPr>
          <w:rFonts w:ascii="Verdana" w:hAnsi="Verdana"/>
          <w:sz w:val="20"/>
          <w:szCs w:val="20"/>
        </w:rPr>
        <w:t xml:space="preserve">the Panel formed </w:t>
      </w:r>
      <w:r w:rsidR="00D208D0">
        <w:rPr>
          <w:rFonts w:ascii="Verdana" w:hAnsi="Verdana"/>
          <w:sz w:val="20"/>
          <w:szCs w:val="20"/>
        </w:rPr>
        <w:t>the</w:t>
      </w:r>
      <w:r>
        <w:rPr>
          <w:rFonts w:ascii="Verdana" w:hAnsi="Verdana"/>
          <w:sz w:val="20"/>
          <w:szCs w:val="20"/>
        </w:rPr>
        <w:t xml:space="preserve"> view that it has been overly cautious in the past.</w:t>
      </w:r>
      <w:r>
        <w:rPr>
          <w:rStyle w:val="FootnoteReference"/>
          <w:rFonts w:ascii="Verdana" w:hAnsi="Verdana"/>
          <w:sz w:val="20"/>
          <w:szCs w:val="20"/>
        </w:rPr>
        <w:footnoteReference w:id="35"/>
      </w:r>
    </w:p>
    <w:p w:rsidR="00674412" w:rsidRDefault="00674412" w:rsidP="00693C3B">
      <w:pPr>
        <w:rPr>
          <w:rFonts w:ascii="Verdana" w:hAnsi="Verdana"/>
          <w:sz w:val="20"/>
          <w:szCs w:val="20"/>
        </w:rPr>
      </w:pPr>
      <w:r>
        <w:rPr>
          <w:rFonts w:ascii="Verdana" w:hAnsi="Verdana"/>
          <w:sz w:val="20"/>
          <w:szCs w:val="20"/>
        </w:rPr>
        <w:t>The Panel’s view on the relationship between minimum wage increases and disemployment effects is underpinned by the truism that modest increases in the minimum wage have only a a small impact on employment.  But of course, what constitutes “modest” is up for debate, especially because there is no firm empirical basis for observing disemployment effects whatever their magnitude might be.</w:t>
      </w:r>
    </w:p>
    <w:p w:rsidR="001A40A2" w:rsidRDefault="00C70ABB" w:rsidP="001A40A2">
      <w:pPr>
        <w:rPr>
          <w:rFonts w:ascii="Verdana" w:hAnsi="Verdana"/>
          <w:sz w:val="20"/>
          <w:szCs w:val="20"/>
        </w:rPr>
      </w:pPr>
      <w:r>
        <w:rPr>
          <w:rFonts w:ascii="Verdana" w:hAnsi="Verdana"/>
          <w:sz w:val="20"/>
          <w:szCs w:val="20"/>
        </w:rPr>
        <w:t xml:space="preserve">It seems </w:t>
      </w:r>
      <w:r w:rsidR="001A40A2">
        <w:rPr>
          <w:rFonts w:ascii="Verdana" w:hAnsi="Verdana"/>
          <w:sz w:val="20"/>
          <w:szCs w:val="20"/>
        </w:rPr>
        <w:t>that a report by RAND Europe (hereafter the RAND Report)</w:t>
      </w:r>
      <w:r w:rsidR="001A40A2">
        <w:rPr>
          <w:rStyle w:val="FootnoteReference"/>
          <w:rFonts w:ascii="Verdana" w:hAnsi="Verdana"/>
          <w:sz w:val="20"/>
          <w:szCs w:val="20"/>
        </w:rPr>
        <w:footnoteReference w:id="36"/>
      </w:r>
      <w:r w:rsidR="001A40A2">
        <w:rPr>
          <w:rFonts w:ascii="Verdana" w:hAnsi="Verdana"/>
          <w:sz w:val="20"/>
          <w:szCs w:val="20"/>
        </w:rPr>
        <w:t xml:space="preserve"> may have been influential in encouraging the Panel to be less cautious about what it considers to be “modest” increases in the minimum wage within this framework.</w:t>
      </w:r>
      <w:r w:rsidRPr="00C70ABB">
        <w:rPr>
          <w:rFonts w:ascii="Calibri" w:hAnsi="Calibri"/>
          <w:sz w:val="20"/>
        </w:rPr>
        <w:t xml:space="preserve"> </w:t>
      </w:r>
    </w:p>
    <w:p w:rsidR="006C593F" w:rsidRDefault="001A40A2" w:rsidP="001A40A2">
      <w:pPr>
        <w:rPr>
          <w:rFonts w:ascii="Verdana" w:hAnsi="Verdana"/>
          <w:sz w:val="20"/>
          <w:szCs w:val="20"/>
        </w:rPr>
      </w:pPr>
      <w:r>
        <w:rPr>
          <w:rFonts w:ascii="Verdana" w:hAnsi="Verdana"/>
          <w:sz w:val="20"/>
          <w:szCs w:val="20"/>
        </w:rPr>
        <w:lastRenderedPageBreak/>
        <w:t>ABI notes</w:t>
      </w:r>
      <w:r w:rsidR="004356AE">
        <w:rPr>
          <w:rFonts w:ascii="Verdana" w:hAnsi="Verdana"/>
          <w:sz w:val="20"/>
          <w:szCs w:val="20"/>
        </w:rPr>
        <w:t xml:space="preserve"> findings from</w:t>
      </w:r>
      <w:r>
        <w:rPr>
          <w:rFonts w:ascii="Verdana" w:hAnsi="Verdana"/>
          <w:sz w:val="20"/>
          <w:szCs w:val="20"/>
        </w:rPr>
        <w:t xml:space="preserve"> </w:t>
      </w:r>
      <w:r w:rsidR="006C593F">
        <w:rPr>
          <w:rFonts w:ascii="Verdana" w:hAnsi="Verdana"/>
          <w:sz w:val="20"/>
          <w:szCs w:val="20"/>
        </w:rPr>
        <w:t xml:space="preserve">the </w:t>
      </w:r>
      <w:r>
        <w:rPr>
          <w:rFonts w:ascii="Verdana" w:hAnsi="Verdana"/>
          <w:sz w:val="20"/>
          <w:szCs w:val="20"/>
        </w:rPr>
        <w:t>r</w:t>
      </w:r>
      <w:r w:rsidRPr="001A40A2">
        <w:rPr>
          <w:rFonts w:ascii="Verdana" w:hAnsi="Verdana"/>
          <w:sz w:val="20"/>
          <w:szCs w:val="20"/>
        </w:rPr>
        <w:t>esearch</w:t>
      </w:r>
      <w:r w:rsidR="006C593F">
        <w:rPr>
          <w:rFonts w:ascii="Verdana" w:hAnsi="Verdana"/>
          <w:sz w:val="20"/>
          <w:szCs w:val="20"/>
        </w:rPr>
        <w:t xml:space="preserve"> report,</w:t>
      </w:r>
      <w:r>
        <w:rPr>
          <w:rFonts w:ascii="Verdana" w:hAnsi="Verdana"/>
          <w:sz w:val="20"/>
          <w:szCs w:val="20"/>
        </w:rPr>
        <w:t xml:space="preserve"> published for the 2017-18 Review</w:t>
      </w:r>
      <w:r w:rsidR="006C593F">
        <w:rPr>
          <w:rFonts w:ascii="Verdana" w:hAnsi="Verdana"/>
          <w:sz w:val="20"/>
          <w:szCs w:val="20"/>
        </w:rPr>
        <w:t>,</w:t>
      </w:r>
      <w:r>
        <w:rPr>
          <w:rFonts w:ascii="Verdana" w:hAnsi="Verdana"/>
          <w:sz w:val="20"/>
          <w:szCs w:val="20"/>
        </w:rPr>
        <w:t xml:space="preserve"> examining international research on the employment effects of the minimum wage and </w:t>
      </w:r>
      <w:r w:rsidR="00C70ABB">
        <w:rPr>
          <w:rFonts w:ascii="Verdana" w:hAnsi="Verdana"/>
          <w:sz w:val="20"/>
          <w:szCs w:val="20"/>
        </w:rPr>
        <w:t xml:space="preserve">the </w:t>
      </w:r>
      <w:r>
        <w:rPr>
          <w:rFonts w:ascii="Verdana" w:hAnsi="Verdana"/>
          <w:sz w:val="20"/>
          <w:szCs w:val="20"/>
        </w:rPr>
        <w:t>implications for Australian research.</w:t>
      </w:r>
      <w:r>
        <w:rPr>
          <w:rStyle w:val="FootnoteReference"/>
          <w:rFonts w:ascii="Verdana" w:hAnsi="Verdana"/>
          <w:sz w:val="20"/>
          <w:szCs w:val="20"/>
        </w:rPr>
        <w:footnoteReference w:id="37"/>
      </w:r>
      <w:r w:rsidR="006C593F">
        <w:rPr>
          <w:rFonts w:ascii="Verdana" w:hAnsi="Verdana"/>
          <w:sz w:val="20"/>
          <w:szCs w:val="20"/>
        </w:rPr>
        <w:t xml:space="preserve">  This report reaffirms some of the challenges associated with attempting to observe disemployment effects in an Australian context. </w:t>
      </w:r>
      <w:r w:rsidR="00227D11">
        <w:rPr>
          <w:rFonts w:ascii="Verdana" w:hAnsi="Verdana"/>
          <w:sz w:val="20"/>
          <w:szCs w:val="20"/>
        </w:rPr>
        <w:t xml:space="preserve"> </w:t>
      </w:r>
      <w:r w:rsidR="006C593F">
        <w:rPr>
          <w:rFonts w:ascii="Verdana" w:hAnsi="Verdana"/>
          <w:sz w:val="20"/>
          <w:szCs w:val="20"/>
        </w:rPr>
        <w:t>Th</w:t>
      </w:r>
      <w:r w:rsidR="00C70ABB">
        <w:rPr>
          <w:rFonts w:ascii="Verdana" w:hAnsi="Verdana"/>
          <w:sz w:val="20"/>
          <w:szCs w:val="20"/>
        </w:rPr>
        <w:t>e research report</w:t>
      </w:r>
      <w:r w:rsidR="006C593F">
        <w:rPr>
          <w:rFonts w:ascii="Verdana" w:hAnsi="Verdana"/>
          <w:sz w:val="20"/>
          <w:szCs w:val="20"/>
        </w:rPr>
        <w:t xml:space="preserve"> further underscores the need for extreme caution when relying on international research to inform minimum wage setting in Australia.</w:t>
      </w:r>
    </w:p>
    <w:p w:rsidR="005424B6" w:rsidRDefault="00086A61" w:rsidP="00911A9A">
      <w:pPr>
        <w:rPr>
          <w:rFonts w:ascii="Verdana" w:hAnsi="Verdana"/>
          <w:sz w:val="20"/>
          <w:szCs w:val="20"/>
        </w:rPr>
      </w:pPr>
      <w:r>
        <w:rPr>
          <w:rFonts w:ascii="Verdana" w:hAnsi="Verdana"/>
          <w:sz w:val="20"/>
          <w:szCs w:val="20"/>
        </w:rPr>
        <w:t>T</w:t>
      </w:r>
      <w:r w:rsidR="005424B6">
        <w:rPr>
          <w:rFonts w:ascii="Verdana" w:hAnsi="Verdana"/>
          <w:sz w:val="20"/>
          <w:szCs w:val="20"/>
        </w:rPr>
        <w:t xml:space="preserve">he absence of an observable empirical relationship between two factors does not mean it does not exist.  Indeed, when economic theory is suggestive of a relationship between two factors, then </w:t>
      </w:r>
      <w:r w:rsidR="004356AE">
        <w:rPr>
          <w:rFonts w:ascii="Verdana" w:hAnsi="Verdana"/>
          <w:sz w:val="20"/>
          <w:szCs w:val="20"/>
        </w:rPr>
        <w:t>it ought to be</w:t>
      </w:r>
      <w:r w:rsidR="005424B6">
        <w:rPr>
          <w:rFonts w:ascii="Verdana" w:hAnsi="Verdana"/>
          <w:sz w:val="20"/>
          <w:szCs w:val="20"/>
        </w:rPr>
        <w:t xml:space="preserve"> </w:t>
      </w:r>
      <w:r w:rsidR="00911A9A">
        <w:rPr>
          <w:rFonts w:ascii="Verdana" w:hAnsi="Verdana"/>
          <w:sz w:val="20"/>
          <w:szCs w:val="20"/>
        </w:rPr>
        <w:t xml:space="preserve">the </w:t>
      </w:r>
      <w:r w:rsidR="005424B6">
        <w:rPr>
          <w:rFonts w:ascii="Verdana" w:hAnsi="Verdana"/>
          <w:sz w:val="20"/>
          <w:szCs w:val="20"/>
        </w:rPr>
        <w:t xml:space="preserve">default view if there is no strong empirical evidence to the contrary.  </w:t>
      </w:r>
      <w:r w:rsidR="00911A9A">
        <w:rPr>
          <w:rFonts w:ascii="Verdana" w:hAnsi="Verdana"/>
          <w:sz w:val="20"/>
          <w:szCs w:val="20"/>
        </w:rPr>
        <w:t xml:space="preserve">As already noted </w:t>
      </w:r>
      <w:r w:rsidR="005424B6">
        <w:rPr>
          <w:rFonts w:ascii="Verdana" w:hAnsi="Verdana"/>
          <w:sz w:val="20"/>
          <w:szCs w:val="20"/>
        </w:rPr>
        <w:t xml:space="preserve">the impact of previous minimum wage increases on </w:t>
      </w:r>
      <w:r w:rsidR="00911A9A">
        <w:rPr>
          <w:rFonts w:ascii="Verdana" w:hAnsi="Verdana"/>
          <w:sz w:val="20"/>
          <w:szCs w:val="20"/>
        </w:rPr>
        <w:t>award</w:t>
      </w:r>
      <w:r w:rsidR="00C16490">
        <w:rPr>
          <w:rFonts w:ascii="Verdana" w:hAnsi="Verdana"/>
          <w:sz w:val="20"/>
          <w:szCs w:val="20"/>
        </w:rPr>
        <w:t>-</w:t>
      </w:r>
      <w:r w:rsidR="00911A9A">
        <w:rPr>
          <w:rFonts w:ascii="Verdana" w:hAnsi="Verdana"/>
          <w:sz w:val="20"/>
          <w:szCs w:val="20"/>
        </w:rPr>
        <w:t>reliant employees</w:t>
      </w:r>
      <w:r w:rsidR="005424B6">
        <w:rPr>
          <w:rFonts w:ascii="Verdana" w:hAnsi="Verdana"/>
          <w:sz w:val="20"/>
          <w:szCs w:val="20"/>
        </w:rPr>
        <w:t xml:space="preserve"> is largely unobservable</w:t>
      </w:r>
      <w:r w:rsidR="004356AE">
        <w:rPr>
          <w:rFonts w:ascii="Verdana" w:hAnsi="Verdana"/>
          <w:sz w:val="20"/>
          <w:szCs w:val="20"/>
        </w:rPr>
        <w:t xml:space="preserve"> for methodological reasons</w:t>
      </w:r>
      <w:r w:rsidR="005424B6">
        <w:rPr>
          <w:rFonts w:ascii="Verdana" w:hAnsi="Verdana"/>
          <w:sz w:val="20"/>
          <w:szCs w:val="20"/>
        </w:rPr>
        <w:t>.</w:t>
      </w:r>
      <w:r w:rsidR="00911A9A">
        <w:rPr>
          <w:rFonts w:ascii="Verdana" w:hAnsi="Verdana"/>
          <w:sz w:val="20"/>
          <w:szCs w:val="20"/>
        </w:rPr>
        <w:t xml:space="preserve"> </w:t>
      </w:r>
    </w:p>
    <w:p w:rsidR="001A40A2" w:rsidRDefault="00086A61" w:rsidP="00693C3B">
      <w:pPr>
        <w:rPr>
          <w:rFonts w:ascii="Verdana" w:hAnsi="Verdana"/>
          <w:sz w:val="20"/>
          <w:szCs w:val="20"/>
        </w:rPr>
      </w:pPr>
      <w:r>
        <w:rPr>
          <w:rFonts w:ascii="Verdana" w:hAnsi="Verdana"/>
          <w:sz w:val="20"/>
          <w:szCs w:val="20"/>
        </w:rPr>
        <w:t xml:space="preserve">ABI notes that a relatively small proportion of the workforce </w:t>
      </w:r>
      <w:r w:rsidR="00043178">
        <w:rPr>
          <w:rFonts w:ascii="Verdana" w:hAnsi="Verdana"/>
          <w:sz w:val="20"/>
          <w:szCs w:val="20"/>
        </w:rPr>
        <w:t>is</w:t>
      </w:r>
      <w:r>
        <w:rPr>
          <w:rFonts w:ascii="Verdana" w:hAnsi="Verdana"/>
          <w:sz w:val="20"/>
          <w:szCs w:val="20"/>
        </w:rPr>
        <w:t xml:space="preserve"> affected by the UK minimum wage and so changes are less likely to impact on overall employment levels.  </w:t>
      </w:r>
      <w:r w:rsidR="006C593F">
        <w:rPr>
          <w:rFonts w:ascii="Verdana" w:hAnsi="Verdana"/>
          <w:sz w:val="20"/>
          <w:szCs w:val="20"/>
        </w:rPr>
        <w:t xml:space="preserve">ABI further notes that while the RAND Report did not find evidence of an overall adverse employment effect it did find adverse effects for specific labour market sub-groups including part time employees.  </w:t>
      </w:r>
      <w:r w:rsidR="00C55098">
        <w:rPr>
          <w:rFonts w:ascii="Verdana" w:hAnsi="Verdana"/>
          <w:sz w:val="20"/>
          <w:szCs w:val="20"/>
        </w:rPr>
        <w:t>Indeed, the RAND Report itself noted:</w:t>
      </w:r>
    </w:p>
    <w:p w:rsidR="00E07126" w:rsidRPr="00E07126" w:rsidRDefault="00E07126" w:rsidP="009272A0">
      <w:pPr>
        <w:ind w:left="720"/>
        <w:rPr>
          <w:rFonts w:ascii="Verdana" w:hAnsi="Verdana"/>
          <w:i/>
          <w:sz w:val="20"/>
          <w:szCs w:val="20"/>
        </w:rPr>
      </w:pPr>
      <w:r w:rsidRPr="00E07126">
        <w:rPr>
          <w:rFonts w:ascii="Verdana" w:hAnsi="Verdana"/>
          <w:i/>
          <w:sz w:val="20"/>
          <w:szCs w:val="20"/>
        </w:rPr>
        <w:t>“…</w:t>
      </w:r>
      <w:r w:rsidR="00C55098" w:rsidRPr="00E07126">
        <w:rPr>
          <w:rFonts w:ascii="Verdana" w:hAnsi="Verdana"/>
          <w:i/>
          <w:sz w:val="20"/>
          <w:szCs w:val="20"/>
        </w:rPr>
        <w:t>the majority of existing empirical studies do not pay specific attention to potentially vulnerable groups. In order to better understand the heterogeneous employment impacts on these specific labour market subgroups, the LPC could place special emphasis on them in future research it commissions.</w:t>
      </w:r>
      <w:r>
        <w:rPr>
          <w:rFonts w:ascii="Verdana" w:hAnsi="Verdana"/>
          <w:i/>
          <w:sz w:val="20"/>
          <w:szCs w:val="20"/>
        </w:rPr>
        <w:t>”</w:t>
      </w:r>
      <w:r>
        <w:rPr>
          <w:rStyle w:val="FootnoteReference"/>
          <w:rFonts w:ascii="Verdana" w:hAnsi="Verdana"/>
          <w:i/>
          <w:sz w:val="20"/>
          <w:szCs w:val="20"/>
        </w:rPr>
        <w:footnoteReference w:id="38"/>
      </w:r>
    </w:p>
    <w:p w:rsidR="00FE6D79" w:rsidRDefault="00D82D61">
      <w:pPr>
        <w:rPr>
          <w:rFonts w:ascii="Verdana" w:eastAsiaTheme="majorEastAsia" w:hAnsi="Verdana" w:cstheme="majorBidi"/>
          <w:iCs/>
          <w:color w:val="808080" w:themeColor="background1" w:themeShade="80"/>
          <w:spacing w:val="15"/>
          <w:sz w:val="28"/>
          <w:szCs w:val="28"/>
        </w:rPr>
      </w:pPr>
      <w:r>
        <w:rPr>
          <w:rFonts w:ascii="Verdana" w:hAnsi="Verdana"/>
          <w:sz w:val="20"/>
          <w:szCs w:val="20"/>
        </w:rPr>
        <w:t>For some of the reasons outlined in Part II, ABI considers that this approach would be preferable to any specific focus on overall disemployment effects.</w:t>
      </w:r>
      <w:r w:rsidR="00FE6D79">
        <w:rPr>
          <w:rFonts w:ascii="Verdana" w:eastAsiaTheme="majorEastAsia" w:hAnsi="Verdana" w:cstheme="majorBidi"/>
          <w:iCs/>
          <w:color w:val="808080" w:themeColor="background1" w:themeShade="80"/>
          <w:spacing w:val="15"/>
          <w:sz w:val="28"/>
          <w:szCs w:val="28"/>
        </w:rPr>
        <w:br w:type="page"/>
      </w:r>
    </w:p>
    <w:p w:rsidR="00E0221E" w:rsidRPr="001464E5" w:rsidRDefault="00E0221E" w:rsidP="00E0221E">
      <w:pPr>
        <w:numPr>
          <w:ilvl w:val="1"/>
          <w:numId w:val="0"/>
        </w:numPr>
        <w:rPr>
          <w:rFonts w:ascii="Verdana" w:eastAsiaTheme="majorEastAsia" w:hAnsi="Verdana" w:cstheme="majorBidi"/>
          <w:iCs/>
          <w:color w:val="808080" w:themeColor="background1" w:themeShade="80"/>
          <w:spacing w:val="15"/>
          <w:sz w:val="28"/>
          <w:szCs w:val="28"/>
        </w:rPr>
      </w:pPr>
      <w:r w:rsidRPr="001464E5">
        <w:rPr>
          <w:rFonts w:ascii="Verdana" w:eastAsiaTheme="majorEastAsia" w:hAnsi="Verdana" w:cstheme="majorBidi"/>
          <w:iCs/>
          <w:color w:val="808080" w:themeColor="background1" w:themeShade="80"/>
          <w:spacing w:val="15"/>
          <w:sz w:val="28"/>
          <w:szCs w:val="28"/>
        </w:rPr>
        <w:lastRenderedPageBreak/>
        <w:t xml:space="preserve">The cumulative impact of </w:t>
      </w:r>
      <w:r w:rsidR="007F04E9">
        <w:rPr>
          <w:rFonts w:ascii="Verdana" w:eastAsiaTheme="majorEastAsia" w:hAnsi="Verdana" w:cstheme="majorBidi"/>
          <w:iCs/>
          <w:color w:val="808080" w:themeColor="background1" w:themeShade="80"/>
          <w:spacing w:val="15"/>
          <w:sz w:val="28"/>
          <w:szCs w:val="28"/>
        </w:rPr>
        <w:t>recent NMW increases</w:t>
      </w:r>
    </w:p>
    <w:p w:rsidR="006858EE" w:rsidRDefault="00EB6389" w:rsidP="006858EE">
      <w:pPr>
        <w:rPr>
          <w:rFonts w:ascii="Verdana" w:hAnsi="Verdana"/>
          <w:sz w:val="20"/>
          <w:szCs w:val="20"/>
        </w:rPr>
      </w:pPr>
      <w:r w:rsidRPr="00EB6389">
        <w:rPr>
          <w:rFonts w:ascii="Verdana" w:hAnsi="Verdana"/>
          <w:sz w:val="20"/>
          <w:szCs w:val="20"/>
        </w:rPr>
        <w:t xml:space="preserve">This submission has noted that </w:t>
      </w:r>
      <w:r>
        <w:rPr>
          <w:rFonts w:ascii="Verdana" w:hAnsi="Verdana"/>
          <w:sz w:val="20"/>
          <w:szCs w:val="20"/>
        </w:rPr>
        <w:t xml:space="preserve">recent NMW increases have been in excess of </w:t>
      </w:r>
      <w:r w:rsidR="00497C00">
        <w:rPr>
          <w:rFonts w:ascii="Verdana" w:hAnsi="Verdana"/>
          <w:sz w:val="20"/>
          <w:szCs w:val="20"/>
        </w:rPr>
        <w:t xml:space="preserve">WPI, including last year’s increase of 3.3 per cent which </w:t>
      </w:r>
      <w:r w:rsidR="00692DC4">
        <w:rPr>
          <w:rFonts w:ascii="Verdana" w:hAnsi="Verdana"/>
          <w:sz w:val="20"/>
          <w:szCs w:val="20"/>
        </w:rPr>
        <w:t xml:space="preserve">was </w:t>
      </w:r>
      <w:r w:rsidR="00497C00">
        <w:rPr>
          <w:rFonts w:ascii="Verdana" w:hAnsi="Verdana"/>
          <w:sz w:val="20"/>
          <w:szCs w:val="20"/>
        </w:rPr>
        <w:t>1.4 percentage points higher than the private sector WPI.</w:t>
      </w:r>
      <w:r w:rsidR="00B77499">
        <w:rPr>
          <w:rFonts w:ascii="Verdana" w:hAnsi="Verdana"/>
          <w:sz w:val="20"/>
          <w:szCs w:val="20"/>
        </w:rPr>
        <w:t xml:space="preserve">  </w:t>
      </w:r>
      <w:r w:rsidR="006858EE">
        <w:rPr>
          <w:rFonts w:ascii="Verdana" w:hAnsi="Verdana"/>
          <w:sz w:val="20"/>
          <w:szCs w:val="20"/>
        </w:rPr>
        <w:t>ABI considers that the cumulative impact of earlier minimum wage increases above WPI ought justify</w:t>
      </w:r>
      <w:r w:rsidR="0036487A">
        <w:rPr>
          <w:rFonts w:ascii="Verdana" w:hAnsi="Verdana"/>
          <w:sz w:val="20"/>
          <w:szCs w:val="20"/>
        </w:rPr>
        <w:t xml:space="preserve"> particular care as part of the 2017-18 AWR</w:t>
      </w:r>
      <w:r w:rsidR="006858EE">
        <w:rPr>
          <w:rFonts w:ascii="Verdana" w:hAnsi="Verdana"/>
          <w:sz w:val="20"/>
          <w:szCs w:val="20"/>
        </w:rPr>
        <w:t xml:space="preserve">.  Even if there were </w:t>
      </w:r>
      <w:r w:rsidR="00692DC4">
        <w:rPr>
          <w:rFonts w:ascii="Verdana" w:hAnsi="Verdana"/>
          <w:sz w:val="20"/>
          <w:szCs w:val="20"/>
        </w:rPr>
        <w:t>the view</w:t>
      </w:r>
      <w:r w:rsidR="006858EE">
        <w:rPr>
          <w:rFonts w:ascii="Verdana" w:hAnsi="Verdana"/>
          <w:sz w:val="20"/>
          <w:szCs w:val="20"/>
        </w:rPr>
        <w:t xml:space="preserve"> that the minimum wage bite should increase over time, a gradual transition would be crucial to protecting the interests of award-reliant </w:t>
      </w:r>
      <w:r w:rsidR="00180DF1">
        <w:rPr>
          <w:rFonts w:ascii="Verdana" w:hAnsi="Verdana"/>
          <w:sz w:val="20"/>
          <w:szCs w:val="20"/>
        </w:rPr>
        <w:t>employees</w:t>
      </w:r>
      <w:r w:rsidR="006858EE">
        <w:rPr>
          <w:rFonts w:ascii="Verdana" w:hAnsi="Verdana"/>
          <w:sz w:val="20"/>
          <w:szCs w:val="20"/>
        </w:rPr>
        <w:t>.</w:t>
      </w:r>
    </w:p>
    <w:p w:rsidR="000D3EB6" w:rsidRDefault="007D180C" w:rsidP="00AA7530">
      <w:pPr>
        <w:rPr>
          <w:rFonts w:ascii="Verdana" w:hAnsi="Verdana"/>
          <w:sz w:val="20"/>
          <w:szCs w:val="20"/>
        </w:rPr>
      </w:pPr>
      <w:r>
        <w:rPr>
          <w:rFonts w:ascii="Verdana" w:hAnsi="Verdana"/>
          <w:sz w:val="20"/>
          <w:szCs w:val="20"/>
        </w:rPr>
        <w:t xml:space="preserve">When taking a short run view it is plausible that firms have chosen to absorb this increase without </w:t>
      </w:r>
      <w:r w:rsidR="000D3EB6">
        <w:rPr>
          <w:rFonts w:ascii="Verdana" w:hAnsi="Verdana"/>
          <w:sz w:val="20"/>
          <w:szCs w:val="20"/>
        </w:rPr>
        <w:t xml:space="preserve">adjusting their immediate decisions around staffing levels.  Inflexibilities in employment relations and longer-term decisions around investments and production mean that many businesses have no choice but to absorb the increase as other responses would be more costly.  </w:t>
      </w:r>
    </w:p>
    <w:p w:rsidR="007D180C" w:rsidRDefault="000D3EB6" w:rsidP="00AA7530">
      <w:pPr>
        <w:rPr>
          <w:rFonts w:ascii="Verdana" w:hAnsi="Verdana"/>
          <w:sz w:val="20"/>
          <w:szCs w:val="20"/>
        </w:rPr>
      </w:pPr>
      <w:r>
        <w:rPr>
          <w:rFonts w:ascii="Verdana" w:hAnsi="Verdana"/>
          <w:sz w:val="20"/>
          <w:szCs w:val="20"/>
        </w:rPr>
        <w:t xml:space="preserve">The lack of an immediate response from business may induce an impression that firms have capacity to deliver higher wage increases without impact.  However, longer run business decisions rely on assumptions about </w:t>
      </w:r>
      <w:r w:rsidR="00AC6FFF">
        <w:rPr>
          <w:rFonts w:ascii="Verdana" w:hAnsi="Verdana"/>
          <w:sz w:val="20"/>
          <w:szCs w:val="20"/>
        </w:rPr>
        <w:t xml:space="preserve">likely future cost structures.  Previous increases that are much larger than anticipated </w:t>
      </w:r>
      <w:r w:rsidR="00692DC4">
        <w:rPr>
          <w:rFonts w:ascii="Verdana" w:hAnsi="Verdana"/>
          <w:sz w:val="20"/>
          <w:szCs w:val="20"/>
        </w:rPr>
        <w:t xml:space="preserve">will </w:t>
      </w:r>
      <w:r w:rsidR="00AC6FFF">
        <w:rPr>
          <w:rFonts w:ascii="Verdana" w:hAnsi="Verdana"/>
          <w:sz w:val="20"/>
          <w:szCs w:val="20"/>
        </w:rPr>
        <w:t>have a significant impact on firms’ longer term decisions.  Further, i</w:t>
      </w:r>
      <w:r>
        <w:rPr>
          <w:rFonts w:ascii="Verdana" w:hAnsi="Verdana"/>
          <w:sz w:val="20"/>
          <w:szCs w:val="20"/>
        </w:rPr>
        <w:t>f businesses expect the wages of award</w:t>
      </w:r>
      <w:r w:rsidR="00C16490">
        <w:rPr>
          <w:rFonts w:ascii="Verdana" w:hAnsi="Verdana"/>
          <w:sz w:val="20"/>
          <w:szCs w:val="20"/>
        </w:rPr>
        <w:t>-</w:t>
      </w:r>
      <w:r>
        <w:rPr>
          <w:rFonts w:ascii="Verdana" w:hAnsi="Verdana"/>
          <w:sz w:val="20"/>
          <w:szCs w:val="20"/>
        </w:rPr>
        <w:t xml:space="preserve">reliant </w:t>
      </w:r>
      <w:r w:rsidR="00180DF1">
        <w:rPr>
          <w:rFonts w:ascii="Verdana" w:hAnsi="Verdana"/>
          <w:sz w:val="20"/>
          <w:szCs w:val="20"/>
        </w:rPr>
        <w:t>employees</w:t>
      </w:r>
      <w:r>
        <w:rPr>
          <w:rFonts w:ascii="Verdana" w:hAnsi="Verdana"/>
          <w:sz w:val="20"/>
          <w:szCs w:val="20"/>
        </w:rPr>
        <w:t xml:space="preserve"> to increase at a much faster pace than other wage cohorts, then activities that rely on these </w:t>
      </w:r>
      <w:r w:rsidR="00180DF1">
        <w:rPr>
          <w:rFonts w:ascii="Verdana" w:hAnsi="Verdana"/>
          <w:sz w:val="20"/>
          <w:szCs w:val="20"/>
        </w:rPr>
        <w:t>employees</w:t>
      </w:r>
      <w:r>
        <w:rPr>
          <w:rFonts w:ascii="Verdana" w:hAnsi="Verdana"/>
          <w:sz w:val="20"/>
          <w:szCs w:val="20"/>
        </w:rPr>
        <w:t xml:space="preserve"> are</w:t>
      </w:r>
      <w:r w:rsidR="00AC6FFF">
        <w:rPr>
          <w:rFonts w:ascii="Verdana" w:hAnsi="Verdana"/>
          <w:sz w:val="20"/>
          <w:szCs w:val="20"/>
        </w:rPr>
        <w:t xml:space="preserve"> even</w:t>
      </w:r>
      <w:r>
        <w:rPr>
          <w:rFonts w:ascii="Verdana" w:hAnsi="Verdana"/>
          <w:sz w:val="20"/>
          <w:szCs w:val="20"/>
        </w:rPr>
        <w:t xml:space="preserve"> less likely to attract investment</w:t>
      </w:r>
      <w:r w:rsidR="00692DC4" w:rsidRPr="00692DC4">
        <w:rPr>
          <w:rFonts w:ascii="Verdana" w:hAnsi="Verdana"/>
          <w:sz w:val="20"/>
          <w:szCs w:val="20"/>
        </w:rPr>
        <w:t xml:space="preserve"> </w:t>
      </w:r>
      <w:r w:rsidR="00692DC4">
        <w:rPr>
          <w:rFonts w:ascii="Verdana" w:hAnsi="Verdana"/>
          <w:sz w:val="20"/>
          <w:szCs w:val="20"/>
        </w:rPr>
        <w:t>supporting or creating their employment</w:t>
      </w:r>
      <w:r>
        <w:rPr>
          <w:rFonts w:ascii="Verdana" w:hAnsi="Verdana"/>
          <w:sz w:val="20"/>
          <w:szCs w:val="20"/>
        </w:rPr>
        <w:t xml:space="preserve">.  This is because in relative terms, activities which rely on other wage cohorts will become more attractive.  </w:t>
      </w:r>
    </w:p>
    <w:p w:rsidR="007D180C" w:rsidRDefault="007D180C" w:rsidP="007D180C">
      <w:pPr>
        <w:rPr>
          <w:rFonts w:ascii="Verdana" w:hAnsi="Verdana"/>
          <w:sz w:val="20"/>
          <w:szCs w:val="20"/>
        </w:rPr>
      </w:pPr>
      <w:r>
        <w:rPr>
          <w:rFonts w:ascii="Verdana" w:hAnsi="Verdana"/>
          <w:sz w:val="20"/>
          <w:szCs w:val="20"/>
        </w:rPr>
        <w:t xml:space="preserve">The </w:t>
      </w:r>
      <w:r w:rsidRPr="00E0221E">
        <w:rPr>
          <w:rFonts w:ascii="Verdana" w:hAnsi="Verdana"/>
          <w:sz w:val="20"/>
          <w:szCs w:val="20"/>
        </w:rPr>
        <w:t>Productivity Commission</w:t>
      </w:r>
      <w:r w:rsidR="000D3EB6">
        <w:rPr>
          <w:rFonts w:ascii="Verdana" w:hAnsi="Verdana"/>
          <w:sz w:val="20"/>
          <w:szCs w:val="20"/>
        </w:rPr>
        <w:t xml:space="preserve"> (PC) emphasised this point</w:t>
      </w:r>
      <w:r w:rsidRPr="00E0221E">
        <w:rPr>
          <w:rFonts w:ascii="Verdana" w:hAnsi="Verdana"/>
          <w:sz w:val="20"/>
          <w:szCs w:val="20"/>
        </w:rPr>
        <w:t xml:space="preserve"> </w:t>
      </w:r>
      <w:r>
        <w:rPr>
          <w:rFonts w:ascii="Verdana" w:hAnsi="Verdana"/>
          <w:sz w:val="20"/>
          <w:szCs w:val="20"/>
        </w:rPr>
        <w:t>in</w:t>
      </w:r>
      <w:r w:rsidRPr="00E0221E">
        <w:rPr>
          <w:rFonts w:ascii="Verdana" w:hAnsi="Verdana"/>
          <w:sz w:val="20"/>
          <w:szCs w:val="20"/>
        </w:rPr>
        <w:t xml:space="preserve"> its report into Australia’s </w:t>
      </w:r>
      <w:r>
        <w:rPr>
          <w:rFonts w:ascii="Verdana" w:hAnsi="Verdana"/>
          <w:sz w:val="20"/>
          <w:szCs w:val="20"/>
        </w:rPr>
        <w:t>w</w:t>
      </w:r>
      <w:r w:rsidRPr="00E0221E">
        <w:rPr>
          <w:rFonts w:ascii="Verdana" w:hAnsi="Verdana"/>
          <w:sz w:val="20"/>
          <w:szCs w:val="20"/>
        </w:rPr>
        <w:t xml:space="preserve">orkplace </w:t>
      </w:r>
      <w:r>
        <w:rPr>
          <w:rFonts w:ascii="Verdana" w:hAnsi="Verdana"/>
          <w:sz w:val="20"/>
          <w:szCs w:val="20"/>
        </w:rPr>
        <w:t>r</w:t>
      </w:r>
      <w:r w:rsidRPr="00E0221E">
        <w:rPr>
          <w:rFonts w:ascii="Verdana" w:hAnsi="Verdana"/>
          <w:sz w:val="20"/>
          <w:szCs w:val="20"/>
        </w:rPr>
        <w:t>elations framework</w:t>
      </w:r>
      <w:r w:rsidR="000D3EB6">
        <w:rPr>
          <w:rFonts w:ascii="Verdana" w:hAnsi="Verdana"/>
          <w:sz w:val="20"/>
          <w:szCs w:val="20"/>
        </w:rPr>
        <w:t>.  The PC</w:t>
      </w:r>
      <w:r>
        <w:rPr>
          <w:rFonts w:ascii="Verdana" w:hAnsi="Verdana"/>
          <w:sz w:val="20"/>
          <w:szCs w:val="20"/>
        </w:rPr>
        <w:t xml:space="preserve"> suggested that the Panel’s </w:t>
      </w:r>
      <w:r w:rsidRPr="00E0221E">
        <w:rPr>
          <w:rFonts w:ascii="Verdana" w:hAnsi="Verdana"/>
          <w:sz w:val="20"/>
          <w:szCs w:val="20"/>
        </w:rPr>
        <w:t>proposition that “</w:t>
      </w:r>
      <w:r>
        <w:rPr>
          <w:rFonts w:ascii="Verdana" w:hAnsi="Verdana"/>
          <w:sz w:val="20"/>
          <w:szCs w:val="20"/>
        </w:rPr>
        <w:t>…</w:t>
      </w:r>
      <w:r w:rsidRPr="006467ED">
        <w:rPr>
          <w:rFonts w:ascii="Verdana" w:hAnsi="Verdana"/>
          <w:i/>
          <w:sz w:val="20"/>
          <w:szCs w:val="20"/>
        </w:rPr>
        <w:t>modest and regular increases in minimum wages have a small or even zero impact on employment</w:t>
      </w:r>
      <w:r w:rsidRPr="00E0221E">
        <w:rPr>
          <w:rFonts w:ascii="Verdana" w:hAnsi="Verdana"/>
          <w:sz w:val="20"/>
          <w:szCs w:val="20"/>
        </w:rPr>
        <w:t>”</w:t>
      </w:r>
      <w:r w:rsidRPr="00E0221E">
        <w:rPr>
          <w:rFonts w:ascii="Verdana" w:hAnsi="Verdana"/>
          <w:sz w:val="20"/>
          <w:szCs w:val="20"/>
          <w:vertAlign w:val="superscript"/>
        </w:rPr>
        <w:footnoteReference w:id="39"/>
      </w:r>
      <w:r w:rsidRPr="00E0221E">
        <w:rPr>
          <w:rFonts w:ascii="Verdana" w:hAnsi="Verdana"/>
          <w:sz w:val="20"/>
          <w:szCs w:val="20"/>
        </w:rPr>
        <w:t xml:space="preserve"> was an unsurprising conclusion</w:t>
      </w:r>
      <w:r w:rsidRPr="00E0221E">
        <w:rPr>
          <w:rFonts w:ascii="Verdana" w:hAnsi="Verdana"/>
          <w:sz w:val="20"/>
          <w:szCs w:val="20"/>
          <w:vertAlign w:val="superscript"/>
        </w:rPr>
        <w:footnoteReference w:id="40"/>
      </w:r>
      <w:r w:rsidR="000D3EB6">
        <w:rPr>
          <w:rFonts w:ascii="Verdana" w:hAnsi="Verdana"/>
          <w:sz w:val="20"/>
          <w:szCs w:val="20"/>
        </w:rPr>
        <w:t xml:space="preserve"> but </w:t>
      </w:r>
      <w:r w:rsidRPr="00E0221E">
        <w:rPr>
          <w:rFonts w:ascii="Verdana" w:hAnsi="Verdana"/>
          <w:sz w:val="20"/>
          <w:szCs w:val="20"/>
        </w:rPr>
        <w:t>also concluded that “</w:t>
      </w:r>
      <w:r>
        <w:rPr>
          <w:rFonts w:ascii="Verdana" w:hAnsi="Verdana"/>
          <w:sz w:val="20"/>
          <w:szCs w:val="20"/>
        </w:rPr>
        <w:t>…</w:t>
      </w:r>
      <w:r w:rsidRPr="006467ED">
        <w:rPr>
          <w:rFonts w:ascii="Verdana" w:hAnsi="Verdana"/>
          <w:i/>
          <w:sz w:val="20"/>
          <w:szCs w:val="20"/>
        </w:rPr>
        <w:t>large increases in the minimum wage bite would make lower-skilled, less experienced employees less attractive to employers and reduce employment on both an hours and headcount basis, particularly over the longer term</w:t>
      </w:r>
      <w:r w:rsidRPr="00E0221E">
        <w:rPr>
          <w:rFonts w:ascii="Verdana" w:hAnsi="Verdana"/>
          <w:sz w:val="20"/>
          <w:szCs w:val="20"/>
        </w:rPr>
        <w:t>.”</w:t>
      </w:r>
      <w:r w:rsidRPr="00E0221E">
        <w:rPr>
          <w:rFonts w:ascii="Verdana" w:hAnsi="Verdana"/>
          <w:sz w:val="20"/>
          <w:szCs w:val="20"/>
          <w:vertAlign w:val="superscript"/>
        </w:rPr>
        <w:footnoteReference w:id="41"/>
      </w:r>
      <w:r w:rsidRPr="00E0221E">
        <w:rPr>
          <w:rFonts w:ascii="Verdana" w:hAnsi="Verdana"/>
          <w:sz w:val="20"/>
          <w:szCs w:val="20"/>
        </w:rPr>
        <w:t xml:space="preserve"> </w:t>
      </w:r>
    </w:p>
    <w:p w:rsidR="00B77499" w:rsidRDefault="002E75B0" w:rsidP="00442E0E">
      <w:pPr>
        <w:rPr>
          <w:rFonts w:ascii="Verdana" w:hAnsi="Verdana"/>
          <w:sz w:val="20"/>
          <w:szCs w:val="20"/>
        </w:rPr>
      </w:pPr>
      <w:r>
        <w:rPr>
          <w:rFonts w:ascii="Verdana" w:hAnsi="Verdana"/>
          <w:sz w:val="20"/>
          <w:szCs w:val="20"/>
        </w:rPr>
        <w:t xml:space="preserve">ABI emphasises that this is not just a case of an individual business at a specific point in time deciding to substitute an award-reliant employee for an alternative means of producing output, but also occurs as part of a broader process of </w:t>
      </w:r>
      <w:r w:rsidR="006858EE">
        <w:rPr>
          <w:rFonts w:ascii="Verdana" w:hAnsi="Verdana"/>
          <w:sz w:val="20"/>
          <w:szCs w:val="20"/>
        </w:rPr>
        <w:t xml:space="preserve">structural change from lower to higher value added activities.  </w:t>
      </w:r>
      <w:r w:rsidR="00F960CC">
        <w:rPr>
          <w:rFonts w:ascii="Verdana" w:hAnsi="Verdana"/>
          <w:sz w:val="20"/>
          <w:szCs w:val="20"/>
        </w:rPr>
        <w:t>This</w:t>
      </w:r>
      <w:r w:rsidR="00442E0E">
        <w:rPr>
          <w:rFonts w:ascii="Verdana" w:hAnsi="Verdana"/>
          <w:sz w:val="20"/>
          <w:szCs w:val="20"/>
        </w:rPr>
        <w:t xml:space="preserve"> impact may be more profound in the tradable sector</w:t>
      </w:r>
      <w:r w:rsidR="00F960CC">
        <w:rPr>
          <w:rFonts w:ascii="Verdana" w:hAnsi="Verdana"/>
          <w:sz w:val="20"/>
          <w:szCs w:val="20"/>
        </w:rPr>
        <w:t xml:space="preserve"> where international competition exist</w:t>
      </w:r>
      <w:r w:rsidR="00043178">
        <w:rPr>
          <w:rFonts w:ascii="Verdana" w:hAnsi="Verdana"/>
          <w:sz w:val="20"/>
          <w:szCs w:val="20"/>
        </w:rPr>
        <w:t>s</w:t>
      </w:r>
      <w:r w:rsidR="00442E0E">
        <w:rPr>
          <w:rFonts w:ascii="Verdana" w:hAnsi="Verdana"/>
          <w:sz w:val="20"/>
          <w:szCs w:val="20"/>
        </w:rPr>
        <w:t xml:space="preserve">.  Wages growth has been subdued internationally and as a small open economy </w:t>
      </w:r>
      <w:r w:rsidR="00B77499">
        <w:rPr>
          <w:rFonts w:ascii="Verdana" w:hAnsi="Verdana"/>
          <w:sz w:val="20"/>
          <w:szCs w:val="20"/>
        </w:rPr>
        <w:t>it is not unsurprising that this has also been Australia’s experience.</w:t>
      </w:r>
      <w:r w:rsidR="00442E0E">
        <w:rPr>
          <w:rFonts w:ascii="Verdana" w:hAnsi="Verdana"/>
          <w:sz w:val="20"/>
          <w:szCs w:val="20"/>
        </w:rPr>
        <w:t xml:space="preserve">  </w:t>
      </w:r>
    </w:p>
    <w:p w:rsidR="00FE6D79" w:rsidRDefault="00442E0E">
      <w:pPr>
        <w:rPr>
          <w:rFonts w:ascii="Verdana" w:eastAsiaTheme="majorEastAsia" w:hAnsi="Verdana" w:cstheme="majorBidi"/>
          <w:bCs/>
          <w:color w:val="808080" w:themeColor="background1" w:themeShade="80"/>
          <w:sz w:val="28"/>
          <w:szCs w:val="28"/>
          <w:highlight w:val="yellow"/>
          <w:lang w:val="en-US" w:eastAsia="zh-TW"/>
        </w:rPr>
      </w:pPr>
      <w:r>
        <w:rPr>
          <w:rFonts w:ascii="Verdana" w:hAnsi="Verdana"/>
          <w:sz w:val="20"/>
          <w:szCs w:val="20"/>
        </w:rPr>
        <w:t>ABI notes that Australia sits around the OECD average in terms of growth in</w:t>
      </w:r>
      <w:r w:rsidR="00B77499">
        <w:rPr>
          <w:rFonts w:ascii="Verdana" w:hAnsi="Verdana"/>
          <w:sz w:val="20"/>
          <w:szCs w:val="20"/>
        </w:rPr>
        <w:t xml:space="preserve"> unit labour costs since 2010 and that minimum wage increases of the magnitude awarded last year will be detrimental to our competitiveness.  </w:t>
      </w:r>
      <w:r w:rsidR="007A6977">
        <w:rPr>
          <w:rFonts w:ascii="Verdana" w:hAnsi="Verdana"/>
          <w:sz w:val="20"/>
          <w:szCs w:val="20"/>
        </w:rPr>
        <w:t>The Panel therefore has an important role to play in managing future expectations about minimum wage changes.</w:t>
      </w:r>
      <w:r w:rsidR="00FE6D79">
        <w:rPr>
          <w:highlight w:val="yellow"/>
        </w:rPr>
        <w:br w:type="page"/>
      </w:r>
    </w:p>
    <w:p w:rsidR="002262B8" w:rsidRPr="009D5922" w:rsidRDefault="002262B8" w:rsidP="002262B8">
      <w:pPr>
        <w:pStyle w:val="Heading2"/>
      </w:pPr>
      <w:r w:rsidRPr="009D5922">
        <w:lastRenderedPageBreak/>
        <w:t>Making the NMWO and determinations about modern award minimum wages</w:t>
      </w:r>
    </w:p>
    <w:p w:rsidR="00C74DCD" w:rsidRDefault="002262B8" w:rsidP="002D2940">
      <w:pPr>
        <w:rPr>
          <w:rFonts w:ascii="Verdana" w:hAnsi="Verdana"/>
          <w:sz w:val="20"/>
          <w:szCs w:val="20"/>
        </w:rPr>
      </w:pPr>
      <w:r w:rsidRPr="009D5922">
        <w:rPr>
          <w:rFonts w:ascii="Verdana" w:hAnsi="Verdana"/>
          <w:sz w:val="20"/>
        </w:rPr>
        <w:t xml:space="preserve">ABI has recommended any increase to the </w:t>
      </w:r>
      <w:r w:rsidR="00C74DCD">
        <w:rPr>
          <w:rFonts w:ascii="Verdana" w:hAnsi="Verdana"/>
          <w:sz w:val="20"/>
          <w:szCs w:val="20"/>
        </w:rPr>
        <w:t xml:space="preserve">current </w:t>
      </w:r>
      <w:r w:rsidRPr="008E534C">
        <w:rPr>
          <w:rFonts w:ascii="Verdana" w:hAnsi="Verdana"/>
          <w:sz w:val="20"/>
          <w:szCs w:val="20"/>
        </w:rPr>
        <w:t xml:space="preserve">NMW </w:t>
      </w:r>
      <w:r w:rsidR="00C74DCD">
        <w:rPr>
          <w:rFonts w:ascii="Verdana" w:hAnsi="Verdana"/>
          <w:sz w:val="20"/>
          <w:szCs w:val="20"/>
        </w:rPr>
        <w:t>and</w:t>
      </w:r>
      <w:r w:rsidR="00A701F9">
        <w:rPr>
          <w:rFonts w:ascii="Verdana" w:hAnsi="Verdana"/>
          <w:sz w:val="20"/>
          <w:szCs w:val="20"/>
        </w:rPr>
        <w:t xml:space="preserve"> </w:t>
      </w:r>
      <w:r w:rsidR="00FE7270">
        <w:rPr>
          <w:rFonts w:ascii="Verdana" w:hAnsi="Verdana"/>
          <w:sz w:val="20"/>
          <w:szCs w:val="20"/>
        </w:rPr>
        <w:t>any</w:t>
      </w:r>
      <w:r w:rsidR="00C74DCD">
        <w:rPr>
          <w:rFonts w:ascii="Verdana" w:hAnsi="Verdana"/>
          <w:sz w:val="20"/>
          <w:szCs w:val="20"/>
        </w:rPr>
        <w:t xml:space="preserve"> variation determination affecting modern awards</w:t>
      </w:r>
      <w:r w:rsidRPr="009D5922">
        <w:rPr>
          <w:rFonts w:ascii="Verdana" w:hAnsi="Verdana"/>
          <w:sz w:val="20"/>
        </w:rPr>
        <w:t xml:space="preserve"> is cautious </w:t>
      </w:r>
      <w:r w:rsidR="00392E13" w:rsidRPr="009D5922">
        <w:rPr>
          <w:rFonts w:ascii="Verdana" w:hAnsi="Verdana"/>
          <w:sz w:val="20"/>
        </w:rPr>
        <w:t xml:space="preserve">having regard to the current </w:t>
      </w:r>
      <w:r w:rsidR="00C74DCD" w:rsidRPr="00ED085A">
        <w:rPr>
          <w:rFonts w:ascii="Verdana" w:hAnsi="Verdana"/>
          <w:sz w:val="20"/>
          <w:szCs w:val="20"/>
        </w:rPr>
        <w:t xml:space="preserve">low inflation, low wages growth </w:t>
      </w:r>
      <w:r w:rsidR="00392E13" w:rsidRPr="009D5922">
        <w:rPr>
          <w:rFonts w:ascii="Verdana" w:hAnsi="Verdana"/>
          <w:sz w:val="20"/>
        </w:rPr>
        <w:t xml:space="preserve">environment and also </w:t>
      </w:r>
      <w:r w:rsidR="00C74DCD">
        <w:rPr>
          <w:rFonts w:ascii="Verdana" w:hAnsi="Verdana"/>
          <w:sz w:val="20"/>
          <w:szCs w:val="20"/>
        </w:rPr>
        <w:t xml:space="preserve">having regard </w:t>
      </w:r>
      <w:r w:rsidR="00392E13" w:rsidRPr="009D5922">
        <w:rPr>
          <w:rFonts w:ascii="Verdana" w:hAnsi="Verdana"/>
          <w:sz w:val="20"/>
        </w:rPr>
        <w:t xml:space="preserve">to the </w:t>
      </w:r>
      <w:r w:rsidR="00C74DCD">
        <w:rPr>
          <w:rFonts w:ascii="Verdana" w:hAnsi="Verdana"/>
          <w:sz w:val="20"/>
          <w:szCs w:val="20"/>
        </w:rPr>
        <w:t>skew</w:t>
      </w:r>
      <w:r w:rsidR="00392E13" w:rsidRPr="009D5922">
        <w:rPr>
          <w:rFonts w:ascii="Verdana" w:hAnsi="Verdana"/>
          <w:sz w:val="20"/>
        </w:rPr>
        <w:t xml:space="preserve"> of </w:t>
      </w:r>
      <w:r w:rsidR="00C74DCD">
        <w:rPr>
          <w:rFonts w:ascii="Verdana" w:hAnsi="Verdana"/>
          <w:sz w:val="20"/>
          <w:szCs w:val="20"/>
        </w:rPr>
        <w:t xml:space="preserve"> positive economic variables away from </w:t>
      </w:r>
      <w:r w:rsidR="009E5652">
        <w:rPr>
          <w:rFonts w:ascii="Verdana" w:hAnsi="Verdana"/>
          <w:sz w:val="20"/>
          <w:szCs w:val="20"/>
        </w:rPr>
        <w:t>where award-reliant employment is most concentrated</w:t>
      </w:r>
      <w:r w:rsidR="00C74DCD">
        <w:rPr>
          <w:rFonts w:ascii="Verdana" w:hAnsi="Verdana"/>
          <w:sz w:val="20"/>
          <w:szCs w:val="20"/>
        </w:rPr>
        <w:t>.</w:t>
      </w:r>
      <w:r w:rsidR="001424D0" w:rsidRPr="008E534C">
        <w:rPr>
          <w:rFonts w:ascii="Verdana" w:hAnsi="Verdana"/>
          <w:sz w:val="20"/>
          <w:szCs w:val="20"/>
        </w:rPr>
        <w:t xml:space="preserve">  </w:t>
      </w:r>
    </w:p>
    <w:p w:rsidR="00FA4897" w:rsidRPr="009D5922" w:rsidRDefault="001424D0" w:rsidP="002D2940">
      <w:pPr>
        <w:rPr>
          <w:rFonts w:ascii="Verdana" w:hAnsi="Verdana"/>
          <w:sz w:val="20"/>
        </w:rPr>
      </w:pPr>
      <w:r w:rsidRPr="009D5922">
        <w:rPr>
          <w:rFonts w:ascii="Verdana" w:hAnsi="Verdana"/>
          <w:sz w:val="20"/>
        </w:rPr>
        <w:t>A</w:t>
      </w:r>
      <w:r w:rsidR="002262B8" w:rsidRPr="009D5922">
        <w:rPr>
          <w:rFonts w:ascii="Verdana" w:hAnsi="Verdana"/>
          <w:sz w:val="20"/>
        </w:rPr>
        <w:t xml:space="preserve">n increase of the magnitude of last year’s </w:t>
      </w:r>
      <w:r w:rsidR="00C74DCD">
        <w:rPr>
          <w:rFonts w:ascii="Verdana" w:hAnsi="Verdana"/>
          <w:sz w:val="20"/>
          <w:szCs w:val="20"/>
        </w:rPr>
        <w:t>3.3</w:t>
      </w:r>
      <w:r w:rsidR="002262B8" w:rsidRPr="009D5922">
        <w:rPr>
          <w:rFonts w:ascii="Verdana" w:hAnsi="Verdana"/>
          <w:sz w:val="20"/>
        </w:rPr>
        <w:t xml:space="preserve"> per cent increase</w:t>
      </w:r>
      <w:r w:rsidR="00C74DCD">
        <w:rPr>
          <w:rFonts w:ascii="Verdana" w:hAnsi="Verdana"/>
          <w:sz w:val="20"/>
          <w:szCs w:val="20"/>
        </w:rPr>
        <w:t xml:space="preserve">, or </w:t>
      </w:r>
      <w:r w:rsidR="009E5652">
        <w:rPr>
          <w:rFonts w:ascii="Verdana" w:hAnsi="Verdana"/>
          <w:sz w:val="20"/>
          <w:szCs w:val="20"/>
        </w:rPr>
        <w:t>an increase approaching that quantum</w:t>
      </w:r>
      <w:r w:rsidR="00C74DCD">
        <w:rPr>
          <w:rFonts w:ascii="Verdana" w:hAnsi="Verdana"/>
          <w:sz w:val="20"/>
          <w:szCs w:val="20"/>
        </w:rPr>
        <w:t>,</w:t>
      </w:r>
      <w:r w:rsidR="002262B8" w:rsidRPr="009D5922">
        <w:rPr>
          <w:rFonts w:ascii="Verdana" w:hAnsi="Verdana"/>
          <w:sz w:val="20"/>
        </w:rPr>
        <w:t xml:space="preserve"> would not represent a</w:t>
      </w:r>
      <w:r w:rsidR="00FA4897" w:rsidRPr="009D5922">
        <w:rPr>
          <w:rFonts w:ascii="Verdana" w:hAnsi="Verdana"/>
          <w:sz w:val="20"/>
        </w:rPr>
        <w:t>n appropriate balance of the matters to be taken into consideration</w:t>
      </w:r>
      <w:r w:rsidR="00C74DCD">
        <w:rPr>
          <w:rFonts w:ascii="Verdana" w:hAnsi="Verdana"/>
          <w:sz w:val="20"/>
          <w:szCs w:val="20"/>
        </w:rPr>
        <w:t xml:space="preserve">.  </w:t>
      </w:r>
      <w:r w:rsidR="009E5652">
        <w:rPr>
          <w:rFonts w:ascii="Verdana" w:hAnsi="Verdana"/>
          <w:sz w:val="20"/>
          <w:szCs w:val="20"/>
        </w:rPr>
        <w:t>D</w:t>
      </w:r>
      <w:r w:rsidR="00392E13" w:rsidRPr="008E534C">
        <w:rPr>
          <w:rFonts w:ascii="Verdana" w:hAnsi="Verdana"/>
          <w:sz w:val="20"/>
          <w:szCs w:val="20"/>
        </w:rPr>
        <w:t>espite</w:t>
      </w:r>
      <w:r w:rsidR="00392E13" w:rsidRPr="009D5922">
        <w:rPr>
          <w:rFonts w:ascii="Verdana" w:hAnsi="Verdana"/>
          <w:sz w:val="20"/>
        </w:rPr>
        <w:t xml:space="preserve"> its misgivings about the practice of recommending identified increases, </w:t>
      </w:r>
      <w:r w:rsidR="00210968" w:rsidRPr="009D5922">
        <w:rPr>
          <w:rFonts w:ascii="Verdana" w:hAnsi="Verdana"/>
          <w:sz w:val="20"/>
        </w:rPr>
        <w:t>ABI</w:t>
      </w:r>
      <w:r w:rsidR="005F593E" w:rsidRPr="009D5922">
        <w:rPr>
          <w:rFonts w:ascii="Verdana" w:hAnsi="Verdana"/>
          <w:sz w:val="20"/>
        </w:rPr>
        <w:t xml:space="preserve"> </w:t>
      </w:r>
      <w:r w:rsidR="00FA4897" w:rsidRPr="009D5922">
        <w:rPr>
          <w:rFonts w:ascii="Verdana" w:hAnsi="Verdana"/>
          <w:sz w:val="20"/>
        </w:rPr>
        <w:t xml:space="preserve">has </w:t>
      </w:r>
      <w:r w:rsidR="00100246" w:rsidRPr="009D5922">
        <w:rPr>
          <w:rFonts w:ascii="Verdana" w:hAnsi="Verdana"/>
          <w:sz w:val="20"/>
        </w:rPr>
        <w:t xml:space="preserve">recommended </w:t>
      </w:r>
      <w:r w:rsidR="00FA4897" w:rsidRPr="009D5922">
        <w:rPr>
          <w:rFonts w:ascii="Verdana" w:hAnsi="Verdana"/>
          <w:sz w:val="20"/>
        </w:rPr>
        <w:t xml:space="preserve">that any increase to the </w:t>
      </w:r>
      <w:r w:rsidR="00392E13" w:rsidRPr="009D5922">
        <w:rPr>
          <w:rFonts w:ascii="Verdana" w:hAnsi="Verdana"/>
          <w:sz w:val="20"/>
        </w:rPr>
        <w:t xml:space="preserve">current </w:t>
      </w:r>
      <w:r w:rsidR="00FA4897" w:rsidRPr="009D5922">
        <w:rPr>
          <w:rFonts w:ascii="Verdana" w:hAnsi="Verdana"/>
          <w:sz w:val="20"/>
        </w:rPr>
        <w:t xml:space="preserve">NMW </w:t>
      </w:r>
      <w:r w:rsidR="00414BF1" w:rsidRPr="009D5922">
        <w:rPr>
          <w:rFonts w:ascii="Verdana" w:hAnsi="Verdana"/>
          <w:sz w:val="20"/>
        </w:rPr>
        <w:t>be</w:t>
      </w:r>
      <w:r w:rsidR="00FA4897" w:rsidRPr="009D5922">
        <w:rPr>
          <w:rFonts w:ascii="Verdana" w:hAnsi="Verdana"/>
          <w:sz w:val="20"/>
        </w:rPr>
        <w:t xml:space="preserve"> not more than </w:t>
      </w:r>
      <w:r w:rsidR="007B1E30" w:rsidRPr="009D5922">
        <w:rPr>
          <w:rFonts w:ascii="Verdana" w:hAnsi="Verdana"/>
          <w:sz w:val="20"/>
        </w:rPr>
        <w:t>1.</w:t>
      </w:r>
      <w:r w:rsidR="00C74DCD">
        <w:rPr>
          <w:rFonts w:ascii="Verdana" w:hAnsi="Verdana"/>
          <w:sz w:val="20"/>
          <w:szCs w:val="20"/>
        </w:rPr>
        <w:t>9</w:t>
      </w:r>
      <w:r w:rsidR="00FA4897" w:rsidRPr="009D5922">
        <w:rPr>
          <w:rFonts w:ascii="Verdana" w:hAnsi="Verdana"/>
          <w:sz w:val="20"/>
        </w:rPr>
        <w:t xml:space="preserve"> per cent.</w:t>
      </w:r>
    </w:p>
    <w:p w:rsidR="000D71BB" w:rsidRPr="009D5922" w:rsidRDefault="000D71BB" w:rsidP="00D07420">
      <w:pPr>
        <w:pStyle w:val="Heading3"/>
        <w:spacing w:line="276" w:lineRule="auto"/>
      </w:pPr>
      <w:r w:rsidRPr="009D5922">
        <w:t>Implementation</w:t>
      </w:r>
    </w:p>
    <w:p w:rsidR="002262B8" w:rsidRPr="009D5922" w:rsidRDefault="002262B8" w:rsidP="00100246">
      <w:pPr>
        <w:rPr>
          <w:rFonts w:ascii="Verdana" w:hAnsi="Verdana"/>
          <w:sz w:val="20"/>
        </w:rPr>
      </w:pPr>
      <w:r w:rsidRPr="009D5922">
        <w:rPr>
          <w:rFonts w:ascii="Verdana" w:hAnsi="Verdana"/>
          <w:sz w:val="20"/>
        </w:rPr>
        <w:t xml:space="preserve">ABI also </w:t>
      </w:r>
      <w:r w:rsidR="000D71BB" w:rsidRPr="009D5922">
        <w:rPr>
          <w:rFonts w:ascii="Verdana" w:hAnsi="Verdana"/>
          <w:sz w:val="20"/>
        </w:rPr>
        <w:t xml:space="preserve">proposes </w:t>
      </w:r>
      <w:r w:rsidR="00FA4897" w:rsidRPr="009D5922">
        <w:rPr>
          <w:rFonts w:ascii="Verdana" w:hAnsi="Verdana"/>
          <w:sz w:val="20"/>
        </w:rPr>
        <w:t xml:space="preserve">that </w:t>
      </w:r>
      <w:r w:rsidRPr="009D5922">
        <w:rPr>
          <w:rFonts w:ascii="Verdana" w:hAnsi="Verdana"/>
          <w:sz w:val="20"/>
        </w:rPr>
        <w:t xml:space="preserve">the Panel apply the percentage of the </w:t>
      </w:r>
      <w:r w:rsidR="00210968" w:rsidRPr="009D5922">
        <w:rPr>
          <w:rFonts w:ascii="Verdana" w:hAnsi="Verdana"/>
          <w:sz w:val="20"/>
        </w:rPr>
        <w:t xml:space="preserve">proposed NMW </w:t>
      </w:r>
      <w:r w:rsidRPr="009D5922">
        <w:rPr>
          <w:rFonts w:ascii="Verdana" w:hAnsi="Verdana"/>
          <w:sz w:val="20"/>
        </w:rPr>
        <w:t>increase to modern award minimum wages.  Varying modern award minimum wages by the percentage rate of increase to the NMW is consistent with the Panel’s past practice</w:t>
      </w:r>
      <w:r w:rsidRPr="009D5922">
        <w:rPr>
          <w:rStyle w:val="FootnoteReference"/>
          <w:rFonts w:ascii="Verdana" w:hAnsi="Verdana"/>
          <w:color w:val="000000"/>
          <w:sz w:val="20"/>
        </w:rPr>
        <w:footnoteReference w:id="42"/>
      </w:r>
      <w:r w:rsidRPr="009D5922">
        <w:rPr>
          <w:rFonts w:ascii="Verdana" w:hAnsi="Verdana"/>
          <w:sz w:val="20"/>
        </w:rPr>
        <w:t xml:space="preserve">, and </w:t>
      </w:r>
      <w:r w:rsidR="00414BF1" w:rsidRPr="009D5922">
        <w:rPr>
          <w:rFonts w:ascii="Verdana" w:hAnsi="Verdana"/>
          <w:sz w:val="20"/>
        </w:rPr>
        <w:t xml:space="preserve">it </w:t>
      </w:r>
      <w:r w:rsidRPr="009D5922">
        <w:rPr>
          <w:rFonts w:ascii="Verdana" w:hAnsi="Verdana"/>
          <w:sz w:val="20"/>
        </w:rPr>
        <w:t xml:space="preserve">is consistent with </w:t>
      </w:r>
      <w:r w:rsidR="00414BF1" w:rsidRPr="009D5922">
        <w:rPr>
          <w:rFonts w:ascii="Verdana" w:hAnsi="Verdana"/>
          <w:sz w:val="20"/>
        </w:rPr>
        <w:t>the Panel’s</w:t>
      </w:r>
      <w:r w:rsidRPr="009D5922">
        <w:rPr>
          <w:rFonts w:ascii="Verdana" w:hAnsi="Verdana"/>
          <w:sz w:val="20"/>
        </w:rPr>
        <w:t xml:space="preserve"> statutory obligations.   </w:t>
      </w:r>
    </w:p>
    <w:p w:rsidR="002262B8" w:rsidRPr="009D5922" w:rsidRDefault="002262B8" w:rsidP="00100246">
      <w:pPr>
        <w:pStyle w:val="Heading3"/>
        <w:spacing w:line="276" w:lineRule="auto"/>
        <w:rPr>
          <w:color w:val="auto"/>
        </w:rPr>
      </w:pPr>
      <w:r w:rsidRPr="009D5922">
        <w:rPr>
          <w:color w:val="auto"/>
        </w:rPr>
        <w:t>The National Minimum Wage Order</w:t>
      </w:r>
    </w:p>
    <w:p w:rsidR="002262B8" w:rsidRPr="009D5922" w:rsidRDefault="001424D0" w:rsidP="00100246">
      <w:pPr>
        <w:pStyle w:val="COMMLevel2Legal"/>
        <w:numPr>
          <w:ilvl w:val="0"/>
          <w:numId w:val="0"/>
        </w:numPr>
        <w:spacing w:line="276" w:lineRule="auto"/>
        <w:rPr>
          <w:rFonts w:ascii="Verdana" w:hAnsi="Verdana"/>
          <w:color w:val="auto"/>
        </w:rPr>
      </w:pPr>
      <w:r w:rsidRPr="009D5922">
        <w:rPr>
          <w:rFonts w:ascii="Verdana" w:hAnsi="Verdana"/>
          <w:color w:val="auto"/>
        </w:rPr>
        <w:t>Following</w:t>
      </w:r>
      <w:r w:rsidR="00160EF1" w:rsidRPr="009D5922">
        <w:rPr>
          <w:rFonts w:ascii="Verdana" w:hAnsi="Verdana"/>
          <w:color w:val="auto"/>
        </w:rPr>
        <w:t xml:space="preserve"> its review the Panel must make a new NMWO</w:t>
      </w:r>
      <w:r w:rsidR="004D330D">
        <w:rPr>
          <w:rStyle w:val="FootnoteReference"/>
          <w:rFonts w:ascii="Verdana" w:hAnsi="Verdana"/>
          <w:color w:val="auto"/>
        </w:rPr>
        <w:footnoteReference w:id="43"/>
      </w:r>
      <w:r w:rsidR="004D330D">
        <w:rPr>
          <w:rFonts w:ascii="Verdana" w:hAnsi="Verdana"/>
          <w:color w:val="auto"/>
        </w:rPr>
        <w:t xml:space="preserve">.  </w:t>
      </w:r>
      <w:r w:rsidR="006849EC">
        <w:rPr>
          <w:rFonts w:ascii="Verdana" w:hAnsi="Verdana"/>
          <w:color w:val="auto"/>
        </w:rPr>
        <w:t>Assuming that the</w:t>
      </w:r>
      <w:r w:rsidR="006849EC" w:rsidRPr="006849EC">
        <w:rPr>
          <w:rFonts w:ascii="Verdana" w:hAnsi="Verdana"/>
          <w:i/>
          <w:color w:val="auto"/>
        </w:rPr>
        <w:t xml:space="preserve"> </w:t>
      </w:r>
      <w:r w:rsidR="006849EC">
        <w:rPr>
          <w:rFonts w:ascii="Verdana" w:hAnsi="Verdana"/>
          <w:i/>
          <w:color w:val="auto"/>
        </w:rPr>
        <w:t>National Minimum Wage Order 2018</w:t>
      </w:r>
      <w:r w:rsidR="006849EC">
        <w:rPr>
          <w:rFonts w:ascii="Verdana" w:hAnsi="Verdana"/>
          <w:color w:val="auto"/>
        </w:rPr>
        <w:t xml:space="preserve"> f</w:t>
      </w:r>
      <w:r w:rsidR="004D330D">
        <w:rPr>
          <w:rFonts w:ascii="Verdana" w:hAnsi="Verdana"/>
          <w:color w:val="auto"/>
        </w:rPr>
        <w:t>ollow</w:t>
      </w:r>
      <w:r w:rsidR="006849EC">
        <w:rPr>
          <w:rFonts w:ascii="Verdana" w:hAnsi="Verdana"/>
          <w:color w:val="auto"/>
        </w:rPr>
        <w:t>s</w:t>
      </w:r>
      <w:r w:rsidR="004D330D">
        <w:rPr>
          <w:rFonts w:ascii="Verdana" w:hAnsi="Verdana"/>
          <w:color w:val="auto"/>
        </w:rPr>
        <w:t xml:space="preserve"> the format of the </w:t>
      </w:r>
      <w:r w:rsidR="004D330D">
        <w:rPr>
          <w:rFonts w:ascii="Verdana" w:hAnsi="Verdana"/>
          <w:i/>
          <w:color w:val="auto"/>
        </w:rPr>
        <w:t>National Minimum Wage Order 2017</w:t>
      </w:r>
      <w:r w:rsidR="004D330D">
        <w:rPr>
          <w:rFonts w:ascii="Verdana" w:hAnsi="Verdana"/>
          <w:color w:val="auto"/>
        </w:rPr>
        <w:t xml:space="preserve"> </w:t>
      </w:r>
      <w:r w:rsidR="002262B8" w:rsidRPr="008E534C">
        <w:rPr>
          <w:rFonts w:ascii="Verdana" w:hAnsi="Verdana"/>
          <w:color w:val="auto"/>
        </w:rPr>
        <w:t xml:space="preserve">ABI </w:t>
      </w:r>
      <w:r w:rsidR="006849EC">
        <w:rPr>
          <w:rFonts w:ascii="Verdana" w:hAnsi="Verdana"/>
          <w:color w:val="auto"/>
        </w:rPr>
        <w:t>proposes that the</w:t>
      </w:r>
      <w:r w:rsidR="006849EC" w:rsidRPr="006849EC">
        <w:rPr>
          <w:rFonts w:ascii="Verdana" w:hAnsi="Verdana"/>
          <w:i/>
          <w:color w:val="auto"/>
        </w:rPr>
        <w:t xml:space="preserve"> </w:t>
      </w:r>
      <w:r w:rsidR="006849EC">
        <w:rPr>
          <w:rFonts w:ascii="Verdana" w:hAnsi="Verdana"/>
          <w:i/>
          <w:color w:val="auto"/>
        </w:rPr>
        <w:t>National Minimum Wage Order 2018</w:t>
      </w:r>
      <w:r w:rsidR="006849EC">
        <w:rPr>
          <w:rFonts w:ascii="Verdana" w:hAnsi="Verdana"/>
          <w:color w:val="auto"/>
        </w:rPr>
        <w:t xml:space="preserve"> reads</w:t>
      </w:r>
      <w:r w:rsidRPr="008E534C">
        <w:rPr>
          <w:rFonts w:ascii="Verdana" w:hAnsi="Verdana"/>
          <w:color w:val="auto"/>
        </w:rPr>
        <w:t xml:space="preserve"> as follows </w:t>
      </w:r>
    </w:p>
    <w:p w:rsidR="00000372" w:rsidRPr="009D5922" w:rsidRDefault="00000372" w:rsidP="00100246">
      <w:pPr>
        <w:pStyle w:val="COMMLevel3Legal"/>
        <w:numPr>
          <w:ilvl w:val="0"/>
          <w:numId w:val="20"/>
        </w:numPr>
        <w:spacing w:line="276" w:lineRule="auto"/>
        <w:rPr>
          <w:rFonts w:ascii="Verdana" w:hAnsi="Verdana"/>
          <w:color w:val="auto"/>
        </w:rPr>
      </w:pPr>
      <w:r w:rsidRPr="009D5922">
        <w:rPr>
          <w:rFonts w:ascii="Verdana" w:hAnsi="Verdana"/>
          <w:color w:val="auto"/>
        </w:rPr>
        <w:t xml:space="preserve">The NMW </w:t>
      </w:r>
      <w:r w:rsidR="006849EC">
        <w:rPr>
          <w:rFonts w:ascii="Verdana" w:hAnsi="Verdana"/>
          <w:color w:val="auto"/>
        </w:rPr>
        <w:t xml:space="preserve">weekly and hourly rates </w:t>
      </w:r>
      <w:r w:rsidRPr="009D5922">
        <w:rPr>
          <w:rFonts w:ascii="Verdana" w:hAnsi="Verdana"/>
          <w:color w:val="auto"/>
        </w:rPr>
        <w:t>(Clause 4</w:t>
      </w:r>
      <w:r w:rsidR="006849EC">
        <w:rPr>
          <w:rFonts w:ascii="Verdana" w:hAnsi="Verdana"/>
          <w:color w:val="auto"/>
        </w:rPr>
        <w:t>.1</w:t>
      </w:r>
      <w:r w:rsidRPr="009D5922">
        <w:rPr>
          <w:rFonts w:ascii="Verdana" w:hAnsi="Verdana"/>
          <w:color w:val="auto"/>
        </w:rPr>
        <w:t>) be set to reflect the Panel’s decision;</w:t>
      </w:r>
    </w:p>
    <w:p w:rsidR="002262B8" w:rsidRPr="009D5922" w:rsidRDefault="002262B8" w:rsidP="00100246">
      <w:pPr>
        <w:pStyle w:val="COMMLevel3Legal"/>
        <w:numPr>
          <w:ilvl w:val="0"/>
          <w:numId w:val="20"/>
        </w:numPr>
        <w:spacing w:line="276" w:lineRule="auto"/>
        <w:rPr>
          <w:rFonts w:ascii="Verdana" w:hAnsi="Verdana"/>
          <w:color w:val="auto"/>
        </w:rPr>
      </w:pPr>
      <w:r w:rsidRPr="009D5922">
        <w:rPr>
          <w:rFonts w:ascii="Verdana" w:hAnsi="Verdana"/>
          <w:color w:val="auto"/>
        </w:rPr>
        <w:t xml:space="preserve">The casual loading </w:t>
      </w:r>
      <w:r w:rsidR="00100246" w:rsidRPr="009D5922">
        <w:rPr>
          <w:rFonts w:ascii="Verdana" w:hAnsi="Verdana"/>
          <w:color w:val="auto"/>
        </w:rPr>
        <w:t>(Clause 5</w:t>
      </w:r>
      <w:r w:rsidR="006849EC">
        <w:rPr>
          <w:rFonts w:ascii="Verdana" w:hAnsi="Verdana"/>
          <w:color w:val="auto"/>
        </w:rPr>
        <w:t>.1</w:t>
      </w:r>
      <w:r w:rsidR="00100246" w:rsidRPr="009D5922">
        <w:rPr>
          <w:rFonts w:ascii="Verdana" w:hAnsi="Verdana"/>
          <w:color w:val="auto"/>
        </w:rPr>
        <w:t xml:space="preserve">) </w:t>
      </w:r>
      <w:r w:rsidRPr="009D5922">
        <w:rPr>
          <w:rFonts w:ascii="Verdana" w:hAnsi="Verdana"/>
          <w:color w:val="auto"/>
        </w:rPr>
        <w:t>be set at 25 per cent;</w:t>
      </w:r>
    </w:p>
    <w:p w:rsidR="002262B8" w:rsidRPr="009D5922" w:rsidRDefault="006849EC" w:rsidP="00100246">
      <w:pPr>
        <w:pStyle w:val="COMMLevel3Legal"/>
        <w:numPr>
          <w:ilvl w:val="0"/>
          <w:numId w:val="20"/>
        </w:numPr>
        <w:spacing w:line="276" w:lineRule="auto"/>
        <w:rPr>
          <w:rFonts w:ascii="Verdana" w:hAnsi="Verdana"/>
          <w:color w:val="auto"/>
        </w:rPr>
      </w:pPr>
      <w:r w:rsidRPr="00106F08">
        <w:rPr>
          <w:rFonts w:ascii="Verdana" w:hAnsi="Verdana"/>
          <w:i/>
          <w:color w:val="auto"/>
        </w:rPr>
        <w:t xml:space="preserve">Special National Minimum Wage </w:t>
      </w:r>
      <w:r w:rsidRPr="008E534C">
        <w:rPr>
          <w:rFonts w:ascii="Verdana" w:hAnsi="Verdana"/>
          <w:color w:val="auto"/>
        </w:rPr>
        <w:t>1</w:t>
      </w:r>
      <w:r>
        <w:rPr>
          <w:rFonts w:ascii="Verdana" w:hAnsi="Verdana"/>
          <w:color w:val="auto"/>
        </w:rPr>
        <w:t xml:space="preserve"> (applying to</w:t>
      </w:r>
      <w:r w:rsidR="002262B8" w:rsidRPr="009D5922">
        <w:rPr>
          <w:rFonts w:ascii="Verdana" w:hAnsi="Verdana"/>
          <w:color w:val="auto"/>
        </w:rPr>
        <w:t xml:space="preserve"> employees with a disability whose productivity is not</w:t>
      </w:r>
      <w:r w:rsidR="00C2542E" w:rsidRPr="009D5922">
        <w:rPr>
          <w:rFonts w:ascii="Verdana" w:hAnsi="Verdana"/>
          <w:color w:val="auto"/>
        </w:rPr>
        <w:t xml:space="preserve"> </w:t>
      </w:r>
      <w:r w:rsidR="00C2542E">
        <w:rPr>
          <w:rFonts w:ascii="Verdana" w:hAnsi="Verdana"/>
          <w:color w:val="auto"/>
        </w:rPr>
        <w:t xml:space="preserve">- </w:t>
      </w:r>
      <w:r w:rsidR="002262B8" w:rsidRPr="009D5922">
        <w:rPr>
          <w:rFonts w:ascii="Verdana" w:hAnsi="Verdana"/>
          <w:color w:val="auto"/>
        </w:rPr>
        <w:t xml:space="preserve">affected </w:t>
      </w:r>
      <w:r w:rsidR="00100246" w:rsidRPr="009D5922">
        <w:rPr>
          <w:rFonts w:ascii="Verdana" w:hAnsi="Verdana"/>
          <w:color w:val="auto"/>
        </w:rPr>
        <w:t>Clause 6</w:t>
      </w:r>
      <w:r>
        <w:rPr>
          <w:rFonts w:ascii="Verdana" w:hAnsi="Verdana"/>
          <w:color w:val="auto"/>
        </w:rPr>
        <w:t>.2(a)</w:t>
      </w:r>
      <w:r w:rsidR="002262B8" w:rsidRPr="008E534C">
        <w:rPr>
          <w:rFonts w:ascii="Verdana" w:hAnsi="Verdana"/>
          <w:color w:val="auto"/>
        </w:rPr>
        <w:t>)</w:t>
      </w:r>
      <w:r w:rsidR="002262B8" w:rsidRPr="009D5922">
        <w:rPr>
          <w:rFonts w:ascii="Verdana" w:hAnsi="Verdana"/>
          <w:color w:val="auto"/>
        </w:rPr>
        <w:t xml:space="preserve"> be set </w:t>
      </w:r>
      <w:r w:rsidR="002262B8" w:rsidRPr="008E534C">
        <w:rPr>
          <w:rFonts w:ascii="Verdana" w:hAnsi="Verdana"/>
          <w:color w:val="auto"/>
        </w:rPr>
        <w:t>a</w:t>
      </w:r>
      <w:r>
        <w:rPr>
          <w:rFonts w:ascii="Verdana" w:hAnsi="Verdana"/>
          <w:color w:val="auto"/>
        </w:rPr>
        <w:t>t</w:t>
      </w:r>
      <w:r w:rsidR="002262B8" w:rsidRPr="009D5922">
        <w:rPr>
          <w:rFonts w:ascii="Verdana" w:hAnsi="Verdana"/>
          <w:color w:val="auto"/>
        </w:rPr>
        <w:t xml:space="preserve"> the </w:t>
      </w:r>
      <w:r>
        <w:rPr>
          <w:rFonts w:ascii="Verdana" w:hAnsi="Verdana"/>
          <w:color w:val="auto"/>
        </w:rPr>
        <w:t>same</w:t>
      </w:r>
      <w:r w:rsidR="002262B8" w:rsidRPr="009D5922">
        <w:rPr>
          <w:rFonts w:ascii="Verdana" w:hAnsi="Verdana"/>
          <w:color w:val="auto"/>
        </w:rPr>
        <w:t xml:space="preserve"> rate </w:t>
      </w:r>
      <w:r>
        <w:rPr>
          <w:rFonts w:ascii="Verdana" w:hAnsi="Verdana"/>
          <w:color w:val="auto"/>
        </w:rPr>
        <w:t>as provided in clause 4.1</w:t>
      </w:r>
      <w:r w:rsidR="002262B8" w:rsidRPr="009D5922">
        <w:rPr>
          <w:rFonts w:ascii="Verdana" w:hAnsi="Verdana"/>
          <w:color w:val="auto"/>
        </w:rPr>
        <w:t>;</w:t>
      </w:r>
    </w:p>
    <w:p w:rsidR="002262B8" w:rsidRPr="009D5922" w:rsidRDefault="006849EC" w:rsidP="00100246">
      <w:pPr>
        <w:pStyle w:val="COMMLevel3Legal"/>
        <w:numPr>
          <w:ilvl w:val="0"/>
          <w:numId w:val="20"/>
        </w:numPr>
        <w:spacing w:line="276" w:lineRule="auto"/>
        <w:rPr>
          <w:rFonts w:ascii="Verdana" w:hAnsi="Verdana"/>
          <w:color w:val="auto"/>
        </w:rPr>
      </w:pPr>
      <w:r w:rsidRPr="00106F08">
        <w:rPr>
          <w:rFonts w:ascii="Verdana" w:hAnsi="Verdana"/>
          <w:i/>
          <w:color w:val="auto"/>
        </w:rPr>
        <w:t>Special National Minimum Wage 2</w:t>
      </w:r>
      <w:r>
        <w:rPr>
          <w:rFonts w:ascii="Verdana" w:hAnsi="Verdana"/>
          <w:i/>
          <w:color w:val="auto"/>
        </w:rPr>
        <w:t xml:space="preserve"> </w:t>
      </w:r>
      <w:r>
        <w:rPr>
          <w:rFonts w:ascii="Verdana" w:hAnsi="Verdana"/>
          <w:color w:val="auto"/>
        </w:rPr>
        <w:t>(applying to</w:t>
      </w:r>
      <w:r w:rsidR="002262B8" w:rsidRPr="009D5922">
        <w:rPr>
          <w:rFonts w:ascii="Verdana" w:hAnsi="Verdana"/>
          <w:color w:val="auto"/>
        </w:rPr>
        <w:t xml:space="preserve"> employees with a disability whose productivity is affected </w:t>
      </w:r>
      <w:r w:rsidR="00FE7270">
        <w:rPr>
          <w:rFonts w:ascii="Verdana" w:hAnsi="Verdana"/>
          <w:color w:val="auto"/>
        </w:rPr>
        <w:t xml:space="preserve">- </w:t>
      </w:r>
      <w:r w:rsidR="00100246" w:rsidRPr="009D5922">
        <w:rPr>
          <w:rFonts w:ascii="Verdana" w:hAnsi="Verdana"/>
          <w:color w:val="auto"/>
        </w:rPr>
        <w:t>Clause 7</w:t>
      </w:r>
      <w:r w:rsidR="002262B8" w:rsidRPr="009D5922">
        <w:rPr>
          <w:rFonts w:ascii="Verdana" w:hAnsi="Verdana"/>
          <w:color w:val="auto"/>
        </w:rPr>
        <w:t xml:space="preserve">) be set in as in </w:t>
      </w:r>
      <w:r w:rsidR="003E7CEB">
        <w:rPr>
          <w:rFonts w:ascii="Verdana" w:hAnsi="Verdana"/>
          <w:color w:val="auto"/>
        </w:rPr>
        <w:t>NMW</w:t>
      </w:r>
      <w:r w:rsidR="002262B8" w:rsidRPr="008E534C">
        <w:rPr>
          <w:rFonts w:ascii="Verdana" w:hAnsi="Verdana"/>
          <w:color w:val="auto"/>
        </w:rPr>
        <w:t>O</w:t>
      </w:r>
      <w:r w:rsidR="00150DB9">
        <w:rPr>
          <w:rFonts w:ascii="Verdana" w:hAnsi="Verdana"/>
          <w:color w:val="auto"/>
        </w:rPr>
        <w:t xml:space="preserve"> 2017</w:t>
      </w:r>
      <w:r w:rsidR="003E7CEB">
        <w:rPr>
          <w:rFonts w:ascii="Verdana" w:hAnsi="Verdana"/>
          <w:color w:val="auto"/>
        </w:rPr>
        <w:t>.  The</w:t>
      </w:r>
      <w:r w:rsidR="002262B8" w:rsidRPr="009D5922">
        <w:rPr>
          <w:rFonts w:ascii="Verdana" w:hAnsi="Verdana"/>
          <w:color w:val="auto"/>
        </w:rPr>
        <w:t xml:space="preserve"> rate</w:t>
      </w:r>
      <w:r w:rsidR="00FE7270">
        <w:rPr>
          <w:rFonts w:ascii="Verdana" w:hAnsi="Verdana"/>
          <w:color w:val="auto"/>
        </w:rPr>
        <w:t>s</w:t>
      </w:r>
      <w:r w:rsidR="002262B8" w:rsidRPr="009D5922">
        <w:rPr>
          <w:rFonts w:ascii="Verdana" w:hAnsi="Verdana"/>
          <w:color w:val="auto"/>
        </w:rPr>
        <w:t xml:space="preserve"> prescribed in </w:t>
      </w:r>
      <w:r w:rsidR="003E7CEB" w:rsidRPr="00106F08">
        <w:rPr>
          <w:rFonts w:ascii="Verdana" w:hAnsi="Verdana"/>
          <w:color w:val="auto"/>
        </w:rPr>
        <w:t>Appendix A</w:t>
      </w:r>
      <w:r w:rsidR="003E7CEB">
        <w:rPr>
          <w:rFonts w:ascii="Verdana" w:hAnsi="Verdana"/>
          <w:color w:val="auto"/>
        </w:rPr>
        <w:t>,</w:t>
      </w:r>
      <w:r w:rsidR="003E7CEB" w:rsidRPr="003E7CEB">
        <w:rPr>
          <w:rFonts w:ascii="Verdana" w:hAnsi="Verdana"/>
          <w:color w:val="auto"/>
        </w:rPr>
        <w:t xml:space="preserve"> </w:t>
      </w:r>
      <w:r w:rsidR="002262B8" w:rsidRPr="009D5922">
        <w:rPr>
          <w:rFonts w:ascii="Verdana" w:hAnsi="Verdana"/>
          <w:color w:val="auto"/>
        </w:rPr>
        <w:t>cll A.3.2 and  A.8.3</w:t>
      </w:r>
      <w:r w:rsidR="003E7CEB">
        <w:rPr>
          <w:rFonts w:ascii="Verdana" w:hAnsi="Verdana"/>
          <w:color w:val="auto"/>
        </w:rPr>
        <w:t>,</w:t>
      </w:r>
      <w:r w:rsidR="002262B8" w:rsidRPr="009D5922">
        <w:rPr>
          <w:rFonts w:ascii="Verdana" w:hAnsi="Verdana"/>
          <w:color w:val="auto"/>
        </w:rPr>
        <w:t xml:space="preserve"> be adjusted</w:t>
      </w:r>
      <w:r w:rsidR="00FE7270">
        <w:rPr>
          <w:rFonts w:ascii="Verdana" w:hAnsi="Verdana"/>
          <w:color w:val="auto"/>
        </w:rPr>
        <w:t xml:space="preserve"> and set</w:t>
      </w:r>
      <w:r w:rsidR="002262B8" w:rsidRPr="009D5922">
        <w:rPr>
          <w:rFonts w:ascii="Verdana" w:hAnsi="Verdana"/>
          <w:color w:val="auto"/>
        </w:rPr>
        <w:t xml:space="preserve"> in the same way as the minimum amount payable </w:t>
      </w:r>
      <w:r w:rsidR="00100246" w:rsidRPr="009D5922">
        <w:rPr>
          <w:rFonts w:ascii="Verdana" w:hAnsi="Verdana"/>
          <w:color w:val="auto"/>
        </w:rPr>
        <w:t>under</w:t>
      </w:r>
      <w:r w:rsidR="002262B8" w:rsidRPr="009D5922">
        <w:rPr>
          <w:rFonts w:ascii="Verdana" w:hAnsi="Verdana"/>
          <w:color w:val="auto"/>
        </w:rPr>
        <w:t xml:space="preserve"> the Supported Wages System when that new rate becomes available</w:t>
      </w:r>
      <w:r w:rsidR="003E7CEB">
        <w:rPr>
          <w:rFonts w:ascii="Verdana" w:hAnsi="Verdana"/>
          <w:color w:val="auto"/>
        </w:rPr>
        <w:t xml:space="preserve"> to the Panel</w:t>
      </w:r>
      <w:r w:rsidR="002262B8" w:rsidRPr="009D5922">
        <w:rPr>
          <w:rFonts w:ascii="Verdana" w:hAnsi="Verdana"/>
          <w:color w:val="auto"/>
        </w:rPr>
        <w:t>;</w:t>
      </w:r>
    </w:p>
    <w:p w:rsidR="002262B8" w:rsidRPr="009D5922" w:rsidRDefault="002262B8" w:rsidP="00100246">
      <w:pPr>
        <w:pStyle w:val="COMMLevel3Legal"/>
        <w:numPr>
          <w:ilvl w:val="0"/>
          <w:numId w:val="20"/>
        </w:numPr>
        <w:spacing w:line="276" w:lineRule="auto"/>
        <w:rPr>
          <w:rFonts w:ascii="Verdana" w:hAnsi="Verdana"/>
          <w:color w:val="auto"/>
        </w:rPr>
      </w:pPr>
      <w:r w:rsidRPr="009D5922">
        <w:rPr>
          <w:rFonts w:ascii="Verdana" w:hAnsi="Verdana"/>
          <w:i/>
          <w:color w:val="auto"/>
        </w:rPr>
        <w:t>Special National Minimum Wage 3</w:t>
      </w:r>
      <w:r w:rsidR="00100246" w:rsidRPr="009D5922">
        <w:rPr>
          <w:rFonts w:ascii="Verdana" w:hAnsi="Verdana"/>
          <w:i/>
          <w:color w:val="auto"/>
        </w:rPr>
        <w:t xml:space="preserve"> </w:t>
      </w:r>
      <w:r w:rsidR="003E7CEB">
        <w:rPr>
          <w:rFonts w:ascii="Verdana" w:hAnsi="Verdana"/>
          <w:color w:val="auto"/>
        </w:rPr>
        <w:t xml:space="preserve">(providing </w:t>
      </w:r>
      <w:r w:rsidRPr="008E534C">
        <w:rPr>
          <w:rFonts w:ascii="Verdana" w:hAnsi="Verdana"/>
          <w:color w:val="auto"/>
        </w:rPr>
        <w:t>rates</w:t>
      </w:r>
      <w:r w:rsidR="003E7CEB">
        <w:rPr>
          <w:rFonts w:ascii="Verdana" w:hAnsi="Verdana"/>
          <w:color w:val="auto"/>
        </w:rPr>
        <w:t xml:space="preserve"> of</w:t>
      </w:r>
      <w:r w:rsidRPr="008E534C">
        <w:rPr>
          <w:rFonts w:ascii="Verdana" w:hAnsi="Verdana"/>
          <w:color w:val="auto"/>
        </w:rPr>
        <w:t xml:space="preserve"> pay</w:t>
      </w:r>
      <w:r w:rsidR="003E7CEB">
        <w:rPr>
          <w:rFonts w:ascii="Verdana" w:hAnsi="Verdana"/>
          <w:color w:val="auto"/>
        </w:rPr>
        <w:t xml:space="preserve"> for junior employees</w:t>
      </w:r>
      <w:r w:rsidRPr="008E534C">
        <w:rPr>
          <w:rFonts w:ascii="Verdana" w:hAnsi="Verdana"/>
          <w:color w:val="auto"/>
        </w:rPr>
        <w:t xml:space="preserve"> </w:t>
      </w:r>
      <w:r w:rsidR="00FE7270">
        <w:rPr>
          <w:rFonts w:ascii="Verdana" w:hAnsi="Verdana"/>
          <w:color w:val="auto"/>
        </w:rPr>
        <w:t>-</w:t>
      </w:r>
      <w:r w:rsidR="00100246" w:rsidRPr="009D5922">
        <w:rPr>
          <w:rFonts w:ascii="Verdana" w:hAnsi="Verdana"/>
          <w:i/>
          <w:color w:val="auto"/>
        </w:rPr>
        <w:t xml:space="preserve"> </w:t>
      </w:r>
      <w:r w:rsidR="00100246" w:rsidRPr="009D5922">
        <w:rPr>
          <w:rFonts w:ascii="Verdana" w:hAnsi="Verdana"/>
          <w:color w:val="auto"/>
        </w:rPr>
        <w:t>Clause 8</w:t>
      </w:r>
      <w:r w:rsidR="003E7CEB">
        <w:rPr>
          <w:rFonts w:ascii="Verdana" w:hAnsi="Verdana"/>
          <w:color w:val="auto"/>
        </w:rPr>
        <w:t>.2</w:t>
      </w:r>
      <w:r w:rsidRPr="009D5922">
        <w:rPr>
          <w:rFonts w:ascii="Verdana" w:hAnsi="Verdana"/>
          <w:color w:val="auto"/>
        </w:rPr>
        <w:t xml:space="preserve">) be set as in </w:t>
      </w:r>
      <w:r w:rsidR="003E7CEB">
        <w:rPr>
          <w:rFonts w:ascii="Verdana" w:hAnsi="Verdana"/>
          <w:color w:val="auto"/>
        </w:rPr>
        <w:t>NMWO 2017</w:t>
      </w:r>
      <w:r w:rsidRPr="009D5922">
        <w:rPr>
          <w:rFonts w:ascii="Verdana" w:hAnsi="Verdana"/>
          <w:color w:val="auto"/>
        </w:rPr>
        <w:t xml:space="preserve">; </w:t>
      </w:r>
    </w:p>
    <w:p w:rsidR="002262B8" w:rsidRPr="009D5922" w:rsidRDefault="002262B8" w:rsidP="00100246">
      <w:pPr>
        <w:pStyle w:val="COMMLevel3Legal"/>
        <w:numPr>
          <w:ilvl w:val="0"/>
          <w:numId w:val="20"/>
        </w:numPr>
        <w:spacing w:line="276" w:lineRule="auto"/>
        <w:rPr>
          <w:rFonts w:ascii="Verdana" w:hAnsi="Verdana"/>
          <w:color w:val="auto"/>
        </w:rPr>
      </w:pPr>
      <w:r w:rsidRPr="009D5922">
        <w:rPr>
          <w:rFonts w:ascii="Verdana" w:hAnsi="Verdana"/>
          <w:i/>
          <w:color w:val="auto"/>
        </w:rPr>
        <w:t>Special National Minimum Wage 4</w:t>
      </w:r>
      <w:r w:rsidR="00D66D1D" w:rsidRPr="009D5922">
        <w:rPr>
          <w:rFonts w:ascii="Verdana" w:hAnsi="Verdana"/>
          <w:i/>
          <w:color w:val="auto"/>
        </w:rPr>
        <w:t xml:space="preserve"> </w:t>
      </w:r>
      <w:r w:rsidR="003E7CEB">
        <w:rPr>
          <w:rFonts w:ascii="Verdana" w:hAnsi="Verdana"/>
          <w:color w:val="auto"/>
        </w:rPr>
        <w:t xml:space="preserve">(applying to </w:t>
      </w:r>
      <w:r w:rsidRPr="008E534C">
        <w:rPr>
          <w:rFonts w:ascii="Verdana" w:hAnsi="Verdana"/>
          <w:color w:val="auto"/>
        </w:rPr>
        <w:t xml:space="preserve">apprentices </w:t>
      </w:r>
      <w:r w:rsidR="00FE7270">
        <w:rPr>
          <w:rFonts w:ascii="Verdana" w:hAnsi="Verdana"/>
          <w:color w:val="auto"/>
        </w:rPr>
        <w:t>-</w:t>
      </w:r>
      <w:r w:rsidR="00D66D1D" w:rsidRPr="009D5922">
        <w:rPr>
          <w:rFonts w:ascii="Verdana" w:hAnsi="Verdana"/>
          <w:i/>
          <w:color w:val="auto"/>
        </w:rPr>
        <w:t xml:space="preserve"> </w:t>
      </w:r>
      <w:r w:rsidR="00D66D1D" w:rsidRPr="009D5922">
        <w:rPr>
          <w:rFonts w:ascii="Verdana" w:hAnsi="Verdana"/>
          <w:color w:val="auto"/>
        </w:rPr>
        <w:t>Clause 9</w:t>
      </w:r>
      <w:r w:rsidRPr="009D5922">
        <w:rPr>
          <w:rFonts w:ascii="Verdana" w:hAnsi="Verdana"/>
          <w:color w:val="auto"/>
        </w:rPr>
        <w:t xml:space="preserve">) be set in as in </w:t>
      </w:r>
      <w:r w:rsidR="002D1D7E">
        <w:rPr>
          <w:rFonts w:ascii="Verdana" w:hAnsi="Verdana"/>
          <w:color w:val="auto"/>
        </w:rPr>
        <w:t>NMWO 2017</w:t>
      </w:r>
      <w:r w:rsidR="00000372" w:rsidRPr="009D5922">
        <w:rPr>
          <w:rFonts w:ascii="Verdana" w:hAnsi="Verdana"/>
          <w:color w:val="auto"/>
        </w:rPr>
        <w:t xml:space="preserve"> </w:t>
      </w:r>
      <w:r w:rsidR="00FE7270">
        <w:rPr>
          <w:rFonts w:ascii="Verdana" w:hAnsi="Verdana"/>
          <w:color w:val="auto"/>
        </w:rPr>
        <w:t>with</w:t>
      </w:r>
      <w:r w:rsidR="00000372" w:rsidRPr="009D5922">
        <w:rPr>
          <w:rFonts w:ascii="Verdana" w:hAnsi="Verdana"/>
          <w:color w:val="auto"/>
        </w:rPr>
        <w:t xml:space="preserve"> the rates prescribed in cl 9.3 </w:t>
      </w:r>
      <w:r w:rsidR="00FE7270">
        <w:rPr>
          <w:rFonts w:ascii="Verdana" w:hAnsi="Verdana"/>
          <w:color w:val="auto"/>
        </w:rPr>
        <w:t>set</w:t>
      </w:r>
      <w:r w:rsidR="00000372" w:rsidRPr="009D5922">
        <w:rPr>
          <w:rFonts w:ascii="Verdana" w:hAnsi="Verdana"/>
          <w:color w:val="auto"/>
        </w:rPr>
        <w:t xml:space="preserve"> to reflect the determined increase</w:t>
      </w:r>
      <w:r w:rsidR="00D732AA">
        <w:rPr>
          <w:rFonts w:ascii="Verdana" w:hAnsi="Verdana"/>
          <w:color w:val="auto"/>
        </w:rPr>
        <w:t xml:space="preserve"> </w:t>
      </w:r>
      <w:r w:rsidR="00A732C4">
        <w:rPr>
          <w:rFonts w:ascii="Verdana" w:hAnsi="Verdana"/>
          <w:color w:val="auto"/>
        </w:rPr>
        <w:t>to the proportionate classification rate</w:t>
      </w:r>
      <w:r w:rsidRPr="009D5922">
        <w:rPr>
          <w:rFonts w:ascii="Verdana" w:hAnsi="Verdana"/>
          <w:color w:val="auto"/>
        </w:rPr>
        <w:t xml:space="preserve">; </w:t>
      </w:r>
    </w:p>
    <w:p w:rsidR="002262B8" w:rsidRPr="009D5922" w:rsidRDefault="002D1D7E" w:rsidP="00100246">
      <w:pPr>
        <w:pStyle w:val="COMMLevel3Legal"/>
        <w:numPr>
          <w:ilvl w:val="0"/>
          <w:numId w:val="20"/>
        </w:numPr>
        <w:spacing w:line="276" w:lineRule="auto"/>
        <w:rPr>
          <w:rFonts w:ascii="Verdana" w:hAnsi="Verdana"/>
          <w:color w:val="auto"/>
        </w:rPr>
      </w:pPr>
      <w:r w:rsidRPr="00106F08">
        <w:rPr>
          <w:rFonts w:ascii="Verdana" w:hAnsi="Verdana"/>
          <w:i/>
          <w:color w:val="auto"/>
        </w:rPr>
        <w:lastRenderedPageBreak/>
        <w:t xml:space="preserve">Special National Minimum Wage 5 </w:t>
      </w:r>
      <w:r>
        <w:rPr>
          <w:rFonts w:ascii="Verdana" w:hAnsi="Verdana"/>
          <w:color w:val="auto"/>
        </w:rPr>
        <w:t>(applying to</w:t>
      </w:r>
      <w:r w:rsidR="002262B8" w:rsidRPr="009D5922">
        <w:rPr>
          <w:rFonts w:ascii="Verdana" w:hAnsi="Verdana"/>
          <w:color w:val="auto"/>
        </w:rPr>
        <w:t xml:space="preserve"> employees under a training arrangement which is not an apprenticeship </w:t>
      </w:r>
      <w:r w:rsidR="00FE7270">
        <w:rPr>
          <w:rFonts w:ascii="Verdana" w:hAnsi="Verdana"/>
          <w:color w:val="auto"/>
        </w:rPr>
        <w:t xml:space="preserve">- </w:t>
      </w:r>
      <w:r w:rsidR="004D150C" w:rsidRPr="009D5922">
        <w:rPr>
          <w:rFonts w:ascii="Verdana" w:hAnsi="Verdana"/>
          <w:color w:val="auto"/>
        </w:rPr>
        <w:t>Clause 10</w:t>
      </w:r>
      <w:r w:rsidR="002262B8" w:rsidRPr="009D5922">
        <w:rPr>
          <w:rFonts w:ascii="Verdana" w:hAnsi="Verdana"/>
          <w:color w:val="auto"/>
        </w:rPr>
        <w:t xml:space="preserve">) be set as in </w:t>
      </w:r>
      <w:r>
        <w:rPr>
          <w:rFonts w:ascii="Verdana" w:hAnsi="Verdana"/>
          <w:color w:val="auto"/>
        </w:rPr>
        <w:t>NMWO 2017</w:t>
      </w:r>
      <w:r w:rsidR="002262B8" w:rsidRPr="009D5922">
        <w:rPr>
          <w:rFonts w:ascii="Verdana" w:hAnsi="Verdana"/>
          <w:color w:val="auto"/>
        </w:rPr>
        <w:t>.</w:t>
      </w:r>
    </w:p>
    <w:p w:rsidR="002262B8" w:rsidRPr="009D5922" w:rsidRDefault="002262B8" w:rsidP="00100246">
      <w:pPr>
        <w:pStyle w:val="Heading3"/>
        <w:spacing w:line="276" w:lineRule="auto"/>
        <w:rPr>
          <w:color w:val="auto"/>
        </w:rPr>
      </w:pPr>
      <w:r w:rsidRPr="009D5922">
        <w:rPr>
          <w:color w:val="auto"/>
        </w:rPr>
        <w:t>Determinations about modern award minimum wages</w:t>
      </w:r>
    </w:p>
    <w:p w:rsidR="002262B8" w:rsidRPr="009D5922" w:rsidRDefault="002262B8" w:rsidP="00100246">
      <w:pPr>
        <w:pStyle w:val="COMMLevel2Legal"/>
        <w:numPr>
          <w:ilvl w:val="0"/>
          <w:numId w:val="0"/>
        </w:numPr>
        <w:spacing w:line="276" w:lineRule="auto"/>
        <w:rPr>
          <w:rFonts w:ascii="Verdana" w:hAnsi="Verdana"/>
          <w:color w:val="auto"/>
        </w:rPr>
      </w:pPr>
      <w:r w:rsidRPr="009D5922">
        <w:rPr>
          <w:rFonts w:ascii="Verdana" w:hAnsi="Verdana"/>
          <w:color w:val="auto"/>
        </w:rPr>
        <w:t>For the purposes of modern awards ABI makes the following proposals:</w:t>
      </w:r>
    </w:p>
    <w:p w:rsidR="002262B8" w:rsidRPr="009D5922" w:rsidRDefault="00C662AE" w:rsidP="00100246">
      <w:pPr>
        <w:pStyle w:val="COMMLevel3Legal"/>
        <w:numPr>
          <w:ilvl w:val="0"/>
          <w:numId w:val="21"/>
        </w:numPr>
        <w:spacing w:line="276" w:lineRule="auto"/>
        <w:rPr>
          <w:rFonts w:ascii="Verdana" w:hAnsi="Verdana"/>
          <w:color w:val="auto"/>
        </w:rPr>
      </w:pPr>
      <w:r w:rsidRPr="009D5922">
        <w:rPr>
          <w:rFonts w:ascii="Verdana" w:hAnsi="Verdana"/>
          <w:color w:val="auto"/>
        </w:rPr>
        <w:t xml:space="preserve">Modern award minimum </w:t>
      </w:r>
      <w:r w:rsidR="002262B8" w:rsidRPr="009D5922">
        <w:rPr>
          <w:rFonts w:ascii="Verdana" w:hAnsi="Verdana"/>
          <w:color w:val="auto"/>
        </w:rPr>
        <w:t xml:space="preserve">rates be increased by the same percentage as the </w:t>
      </w:r>
      <w:r w:rsidRPr="009D5922">
        <w:rPr>
          <w:rFonts w:ascii="Verdana" w:hAnsi="Verdana"/>
          <w:color w:val="auto"/>
        </w:rPr>
        <w:t xml:space="preserve">determined  </w:t>
      </w:r>
      <w:r w:rsidR="002262B8" w:rsidRPr="009D5922">
        <w:rPr>
          <w:rFonts w:ascii="Verdana" w:hAnsi="Verdana"/>
          <w:color w:val="auto"/>
        </w:rPr>
        <w:t>increase</w:t>
      </w:r>
      <w:r w:rsidR="00414BF1" w:rsidRPr="009D5922">
        <w:rPr>
          <w:rFonts w:ascii="Verdana" w:hAnsi="Verdana"/>
          <w:color w:val="auto"/>
        </w:rPr>
        <w:t xml:space="preserve"> to the NMW</w:t>
      </w:r>
      <w:r w:rsidR="00A732C4">
        <w:rPr>
          <w:rFonts w:ascii="Verdana" w:hAnsi="Verdana"/>
          <w:color w:val="auto"/>
        </w:rPr>
        <w:t xml:space="preserve"> for the NMWO 2018</w:t>
      </w:r>
      <w:r w:rsidR="002262B8" w:rsidRPr="009D5922">
        <w:rPr>
          <w:rFonts w:ascii="Verdana" w:hAnsi="Verdana"/>
          <w:color w:val="auto"/>
        </w:rPr>
        <w:t xml:space="preserve">;  </w:t>
      </w:r>
    </w:p>
    <w:p w:rsidR="002262B8" w:rsidRPr="009D5922" w:rsidRDefault="002262B8" w:rsidP="00100246">
      <w:pPr>
        <w:pStyle w:val="COMMLevel3Legal"/>
        <w:numPr>
          <w:ilvl w:val="0"/>
          <w:numId w:val="21"/>
        </w:numPr>
        <w:spacing w:line="276" w:lineRule="auto"/>
        <w:rPr>
          <w:rFonts w:ascii="Verdana" w:hAnsi="Verdana"/>
          <w:color w:val="auto"/>
        </w:rPr>
      </w:pPr>
      <w:r w:rsidRPr="009D5922">
        <w:rPr>
          <w:rFonts w:ascii="Verdana" w:hAnsi="Verdana"/>
          <w:color w:val="auto"/>
        </w:rPr>
        <w:t>Each cell of the National Training Wage schedules</w:t>
      </w:r>
      <w:r w:rsidRPr="008E534C">
        <w:rPr>
          <w:rFonts w:ascii="Verdana" w:hAnsi="Verdana"/>
          <w:color w:val="auto"/>
        </w:rPr>
        <w:t xml:space="preserve"> </w:t>
      </w:r>
      <w:r w:rsidR="00A732C4">
        <w:rPr>
          <w:rFonts w:ascii="Verdana" w:hAnsi="Verdana"/>
          <w:color w:val="auto"/>
        </w:rPr>
        <w:t>in the relevant awards</w:t>
      </w:r>
      <w:r w:rsidRPr="009D5922">
        <w:rPr>
          <w:rFonts w:ascii="Verdana" w:hAnsi="Verdana"/>
          <w:color w:val="auto"/>
        </w:rPr>
        <w:t xml:space="preserve"> </w:t>
      </w:r>
      <w:r w:rsidR="00C662AE" w:rsidRPr="009D5922">
        <w:rPr>
          <w:rFonts w:ascii="Verdana" w:hAnsi="Verdana"/>
          <w:color w:val="auto"/>
        </w:rPr>
        <w:t>(</w:t>
      </w:r>
      <w:r w:rsidR="00E73880">
        <w:rPr>
          <w:rFonts w:ascii="Verdana" w:hAnsi="Verdana"/>
          <w:color w:val="auto"/>
        </w:rPr>
        <w:t xml:space="preserve">including </w:t>
      </w:r>
      <w:r w:rsidR="00C662AE" w:rsidRPr="009D5922">
        <w:rPr>
          <w:rFonts w:ascii="Verdana" w:hAnsi="Verdana"/>
          <w:color w:val="auto"/>
        </w:rPr>
        <w:t xml:space="preserve">clause E5 </w:t>
      </w:r>
      <w:r w:rsidR="00A410FC" w:rsidRPr="009D5922">
        <w:rPr>
          <w:rFonts w:ascii="Verdana" w:hAnsi="Verdana"/>
          <w:color w:val="auto"/>
        </w:rPr>
        <w:t xml:space="preserve">Schedule E </w:t>
      </w:r>
      <w:r w:rsidR="00C662AE" w:rsidRPr="009D5922">
        <w:rPr>
          <w:rFonts w:ascii="Verdana" w:hAnsi="Verdana"/>
          <w:color w:val="auto"/>
        </w:rPr>
        <w:t xml:space="preserve">in the </w:t>
      </w:r>
      <w:r w:rsidR="00A410FC" w:rsidRPr="009D5922">
        <w:rPr>
          <w:rFonts w:ascii="Verdana" w:hAnsi="Verdana"/>
          <w:i/>
          <w:color w:val="auto"/>
        </w:rPr>
        <w:t>Miscellaneous Award 2010</w:t>
      </w:r>
      <w:r w:rsidR="00C662AE" w:rsidRPr="009D5922">
        <w:rPr>
          <w:rFonts w:ascii="Verdana" w:hAnsi="Verdana"/>
          <w:color w:val="auto"/>
        </w:rPr>
        <w:t xml:space="preserve">) </w:t>
      </w:r>
      <w:r w:rsidRPr="009D5922">
        <w:rPr>
          <w:rFonts w:ascii="Verdana" w:hAnsi="Verdana"/>
          <w:color w:val="auto"/>
        </w:rPr>
        <w:t xml:space="preserve">be increased by the same percentage rate as the </w:t>
      </w:r>
      <w:r w:rsidR="00C662AE" w:rsidRPr="009D5922">
        <w:rPr>
          <w:rFonts w:ascii="Verdana" w:hAnsi="Verdana"/>
          <w:color w:val="auto"/>
        </w:rPr>
        <w:t xml:space="preserve">determined </w:t>
      </w:r>
      <w:r w:rsidRPr="009D5922">
        <w:rPr>
          <w:rFonts w:ascii="Verdana" w:hAnsi="Verdana"/>
          <w:color w:val="auto"/>
        </w:rPr>
        <w:t>increase</w:t>
      </w:r>
      <w:r w:rsidR="00A732C4">
        <w:rPr>
          <w:rFonts w:ascii="Verdana" w:hAnsi="Verdana"/>
          <w:color w:val="auto"/>
        </w:rPr>
        <w:t xml:space="preserve"> to the NMWO 2018</w:t>
      </w:r>
      <w:r w:rsidRPr="009D5922">
        <w:rPr>
          <w:rFonts w:ascii="Verdana" w:hAnsi="Verdana"/>
          <w:color w:val="auto"/>
        </w:rPr>
        <w:t>;</w:t>
      </w:r>
    </w:p>
    <w:p w:rsidR="002262B8" w:rsidRPr="009D5922" w:rsidRDefault="002262B8" w:rsidP="00100246">
      <w:pPr>
        <w:pStyle w:val="COMMLevel3Legal"/>
        <w:numPr>
          <w:ilvl w:val="0"/>
          <w:numId w:val="21"/>
        </w:numPr>
        <w:spacing w:line="276" w:lineRule="auto"/>
        <w:rPr>
          <w:rFonts w:ascii="Verdana" w:hAnsi="Verdana"/>
          <w:color w:val="auto"/>
        </w:rPr>
      </w:pPr>
      <w:r w:rsidRPr="009D5922">
        <w:rPr>
          <w:rFonts w:ascii="Verdana" w:hAnsi="Verdana"/>
          <w:color w:val="auto"/>
        </w:rPr>
        <w:t xml:space="preserve">The minimum amount payable under Supported Wages System schedules (at cll X.4.2 and X.10.3) be increased to the new amount set as the income test threshold for the Disability Support Pension </w:t>
      </w:r>
      <w:r w:rsidR="00A732C4" w:rsidRPr="00106F08">
        <w:rPr>
          <w:rFonts w:ascii="Verdana" w:hAnsi="Verdana"/>
          <w:color w:val="auto"/>
        </w:rPr>
        <w:t>becomes available</w:t>
      </w:r>
      <w:r w:rsidR="00A732C4">
        <w:rPr>
          <w:rFonts w:ascii="Verdana" w:hAnsi="Verdana"/>
          <w:color w:val="auto"/>
        </w:rPr>
        <w:t xml:space="preserve"> to the Panel</w:t>
      </w:r>
      <w:r w:rsidRPr="008E534C">
        <w:rPr>
          <w:rFonts w:ascii="Verdana" w:hAnsi="Verdana"/>
          <w:color w:val="auto"/>
        </w:rPr>
        <w:t>.</w:t>
      </w:r>
    </w:p>
    <w:p w:rsidR="00210968" w:rsidRPr="009D5922" w:rsidRDefault="00210968" w:rsidP="003A41B3">
      <w:pPr>
        <w:pStyle w:val="COMMLevel2Legal"/>
        <w:numPr>
          <w:ilvl w:val="0"/>
          <w:numId w:val="0"/>
        </w:numPr>
        <w:spacing w:line="276" w:lineRule="auto"/>
        <w:rPr>
          <w:rFonts w:ascii="Verdana" w:hAnsi="Verdana"/>
          <w:b/>
          <w:color w:val="auto"/>
        </w:rPr>
      </w:pPr>
      <w:r w:rsidRPr="009D5922">
        <w:rPr>
          <w:rFonts w:ascii="Verdana" w:hAnsi="Verdana"/>
          <w:b/>
          <w:color w:val="auto"/>
        </w:rPr>
        <w:t>Casual loadings</w:t>
      </w:r>
    </w:p>
    <w:p w:rsidR="00210968" w:rsidRPr="009D5922" w:rsidRDefault="00210968" w:rsidP="003A41B3">
      <w:pPr>
        <w:pStyle w:val="COMMLevel2Legal"/>
        <w:numPr>
          <w:ilvl w:val="0"/>
          <w:numId w:val="0"/>
        </w:numPr>
        <w:spacing w:line="276" w:lineRule="auto"/>
        <w:rPr>
          <w:rFonts w:ascii="Verdana" w:hAnsi="Verdana"/>
          <w:color w:val="auto"/>
        </w:rPr>
      </w:pPr>
      <w:r w:rsidRPr="009D5922">
        <w:rPr>
          <w:rFonts w:ascii="Verdana" w:hAnsi="Verdana"/>
          <w:color w:val="auto"/>
        </w:rPr>
        <w:t xml:space="preserve">The casual loading in </w:t>
      </w:r>
      <w:r w:rsidR="00463011" w:rsidRPr="009D5922">
        <w:rPr>
          <w:rFonts w:ascii="Verdana" w:hAnsi="Verdana"/>
          <w:color w:val="auto"/>
        </w:rPr>
        <w:t xml:space="preserve">the </w:t>
      </w:r>
      <w:r w:rsidR="00463011" w:rsidRPr="009D5922">
        <w:rPr>
          <w:rFonts w:ascii="Verdana" w:hAnsi="Verdana"/>
          <w:i/>
          <w:color w:val="auto"/>
        </w:rPr>
        <w:t>Business Equipment Award 2010</w:t>
      </w:r>
      <w:r w:rsidR="00463011" w:rsidRPr="009D5922">
        <w:rPr>
          <w:rFonts w:ascii="Verdana" w:hAnsi="Verdana"/>
          <w:color w:val="auto"/>
        </w:rPr>
        <w:t xml:space="preserve"> be increased to </w:t>
      </w:r>
      <w:r w:rsidR="009E5652" w:rsidRPr="008E534C">
        <w:rPr>
          <w:rFonts w:ascii="Verdana" w:hAnsi="Verdana"/>
          <w:color w:val="auto"/>
        </w:rPr>
        <w:t>2</w:t>
      </w:r>
      <w:r w:rsidR="009E5652">
        <w:rPr>
          <w:rFonts w:ascii="Verdana" w:hAnsi="Verdana"/>
          <w:color w:val="auto"/>
        </w:rPr>
        <w:t>3</w:t>
      </w:r>
      <w:r w:rsidR="00463011" w:rsidRPr="009D5922">
        <w:rPr>
          <w:rFonts w:ascii="Verdana" w:hAnsi="Verdana"/>
          <w:color w:val="auto"/>
        </w:rPr>
        <w:t>%,</w:t>
      </w:r>
      <w:r w:rsidR="00227D11" w:rsidRPr="009D5922">
        <w:rPr>
          <w:rFonts w:ascii="Verdana" w:hAnsi="Verdana"/>
          <w:color w:val="auto"/>
        </w:rPr>
        <w:t xml:space="preserve"> </w:t>
      </w:r>
      <w:r w:rsidR="00463011" w:rsidRPr="009D5922">
        <w:rPr>
          <w:rFonts w:ascii="Verdana" w:hAnsi="Verdana"/>
          <w:color w:val="auto"/>
        </w:rPr>
        <w:t xml:space="preserve">but the casual loading in all other </w:t>
      </w:r>
      <w:r w:rsidRPr="009D5922">
        <w:rPr>
          <w:rFonts w:ascii="Verdana" w:hAnsi="Verdana"/>
          <w:color w:val="auto"/>
        </w:rPr>
        <w:t xml:space="preserve">modern awards not be increased </w:t>
      </w:r>
      <w:r w:rsidR="00463011" w:rsidRPr="009D5922">
        <w:rPr>
          <w:rFonts w:ascii="Verdana" w:hAnsi="Verdana"/>
          <w:color w:val="auto"/>
        </w:rPr>
        <w:t xml:space="preserve">and remain at </w:t>
      </w:r>
      <w:r w:rsidRPr="009D5922">
        <w:rPr>
          <w:rFonts w:ascii="Verdana" w:hAnsi="Verdana"/>
          <w:color w:val="auto"/>
        </w:rPr>
        <w:t>25%.</w:t>
      </w:r>
    </w:p>
    <w:p w:rsidR="00A75174" w:rsidRPr="009D5922" w:rsidRDefault="00A75174" w:rsidP="003A41B3">
      <w:pPr>
        <w:pStyle w:val="COMMLevel2Legal"/>
        <w:numPr>
          <w:ilvl w:val="0"/>
          <w:numId w:val="0"/>
        </w:numPr>
        <w:spacing w:line="276" w:lineRule="auto"/>
        <w:rPr>
          <w:rFonts w:ascii="Verdana" w:hAnsi="Verdana"/>
          <w:b/>
          <w:color w:val="auto"/>
        </w:rPr>
      </w:pPr>
      <w:r w:rsidRPr="009D5922">
        <w:rPr>
          <w:rFonts w:ascii="Verdana" w:hAnsi="Verdana"/>
          <w:b/>
          <w:color w:val="auto"/>
        </w:rPr>
        <w:t xml:space="preserve">The Equal Remuneration Order </w:t>
      </w:r>
    </w:p>
    <w:p w:rsidR="00AA05BF" w:rsidRDefault="00ED1D46" w:rsidP="003A41B3">
      <w:pPr>
        <w:rPr>
          <w:rFonts w:ascii="Verdana" w:hAnsi="Verdana"/>
          <w:sz w:val="20"/>
          <w:szCs w:val="20"/>
        </w:rPr>
      </w:pPr>
      <w:r w:rsidRPr="009D5922">
        <w:rPr>
          <w:rFonts w:ascii="Verdana" w:hAnsi="Verdana"/>
          <w:sz w:val="20"/>
        </w:rPr>
        <w:t xml:space="preserve">In its </w:t>
      </w:r>
      <w:r w:rsidR="00AA05BF">
        <w:rPr>
          <w:rFonts w:ascii="Verdana" w:hAnsi="Verdana"/>
          <w:sz w:val="20"/>
          <w:szCs w:val="20"/>
        </w:rPr>
        <w:t xml:space="preserve">2017 decision </w:t>
      </w:r>
      <w:r w:rsidRPr="009D5922">
        <w:rPr>
          <w:rFonts w:ascii="Verdana" w:hAnsi="Verdana"/>
          <w:sz w:val="20"/>
        </w:rPr>
        <w:t xml:space="preserve">the </w:t>
      </w:r>
      <w:r w:rsidR="00AA05BF">
        <w:rPr>
          <w:rFonts w:ascii="Verdana" w:hAnsi="Verdana"/>
          <w:sz w:val="20"/>
          <w:szCs w:val="20"/>
        </w:rPr>
        <w:t xml:space="preserve">Panel said </w:t>
      </w:r>
    </w:p>
    <w:p w:rsidR="00431194" w:rsidRPr="009D5922" w:rsidRDefault="00AA05BF" w:rsidP="009D5922">
      <w:pPr>
        <w:pStyle w:val="NormalWeb"/>
        <w:ind w:left="720"/>
        <w:rPr>
          <w:rFonts w:ascii="Verdana" w:hAnsi="Verdana"/>
          <w:i/>
          <w:color w:val="000000"/>
          <w:sz w:val="20"/>
        </w:rPr>
      </w:pPr>
      <w:r w:rsidRPr="008E534C">
        <w:rPr>
          <w:rFonts w:ascii="Verdana" w:hAnsi="Verdana"/>
          <w:bCs/>
          <w:i/>
          <w:color w:val="000000"/>
          <w:sz w:val="20"/>
          <w:szCs w:val="20"/>
        </w:rPr>
        <w:t>[698]</w:t>
      </w:r>
      <w:r w:rsidRPr="008E534C">
        <w:rPr>
          <w:rFonts w:ascii="Verdana" w:hAnsi="Verdana"/>
          <w:b/>
          <w:bCs/>
          <w:i/>
          <w:color w:val="000000"/>
          <w:sz w:val="20"/>
          <w:szCs w:val="20"/>
        </w:rPr>
        <w:t> </w:t>
      </w:r>
      <w:r w:rsidRPr="008E534C">
        <w:rPr>
          <w:rFonts w:ascii="Verdana" w:hAnsi="Verdana"/>
          <w:i/>
          <w:color w:val="000000"/>
          <w:sz w:val="20"/>
          <w:szCs w:val="20"/>
        </w:rPr>
        <w:t>We have decided that</w:t>
      </w:r>
      <w:r w:rsidR="00ED1D46" w:rsidRPr="009D5922">
        <w:rPr>
          <w:rFonts w:ascii="Verdana" w:hAnsi="Verdana"/>
          <w:i/>
          <w:color w:val="000000"/>
          <w:sz w:val="20"/>
        </w:rPr>
        <w:t xml:space="preserve"> the </w:t>
      </w:r>
      <w:r w:rsidRPr="008E534C">
        <w:rPr>
          <w:rFonts w:ascii="Verdana" w:hAnsi="Verdana"/>
          <w:i/>
          <w:color w:val="000000"/>
          <w:sz w:val="20"/>
          <w:szCs w:val="20"/>
        </w:rPr>
        <w:t xml:space="preserve">increase we have awarded in modern award minimum wages should apply to those </w:t>
      </w:r>
      <w:r w:rsidR="00ED1D46" w:rsidRPr="009D5922">
        <w:rPr>
          <w:rFonts w:ascii="Verdana" w:hAnsi="Verdana"/>
          <w:i/>
          <w:color w:val="000000"/>
          <w:sz w:val="20"/>
        </w:rPr>
        <w:t xml:space="preserve">transitional instruments which </w:t>
      </w:r>
      <w:r w:rsidRPr="008E534C">
        <w:rPr>
          <w:rFonts w:ascii="Verdana" w:hAnsi="Verdana"/>
          <w:i/>
          <w:color w:val="000000"/>
          <w:sz w:val="20"/>
          <w:szCs w:val="20"/>
        </w:rPr>
        <w:t>remain in operation. That is</w:t>
      </w:r>
      <w:r w:rsidR="00ED1D46" w:rsidRPr="009D5922">
        <w:rPr>
          <w:rFonts w:ascii="Verdana" w:hAnsi="Verdana"/>
          <w:i/>
          <w:color w:val="000000"/>
          <w:sz w:val="20"/>
        </w:rPr>
        <w:t xml:space="preserve"> the </w:t>
      </w:r>
      <w:r w:rsidRPr="008E534C">
        <w:rPr>
          <w:rFonts w:ascii="Verdana" w:hAnsi="Verdana"/>
          <w:i/>
          <w:color w:val="000000"/>
          <w:sz w:val="20"/>
          <w:szCs w:val="20"/>
        </w:rPr>
        <w:t>approach that has been taken in previous Reviews, </w:t>
      </w:r>
      <w:r w:rsidR="000052AE" w:rsidRPr="009D5922">
        <w:rPr>
          <w:rFonts w:ascii="Verdana" w:hAnsi="Verdana"/>
          <w:i/>
          <w:color w:val="000000"/>
          <w:sz w:val="20"/>
        </w:rPr>
        <w:t xml:space="preserve">and </w:t>
      </w:r>
      <w:r w:rsidRPr="008E534C">
        <w:rPr>
          <w:rFonts w:ascii="Verdana" w:hAnsi="Verdana"/>
          <w:i/>
          <w:color w:val="000000"/>
          <w:sz w:val="20"/>
          <w:szCs w:val="20"/>
        </w:rPr>
        <w:t>no interested party submitted that any different course should be taken.</w:t>
      </w:r>
    </w:p>
    <w:p w:rsidR="00AA05BF" w:rsidRPr="008E534C" w:rsidRDefault="00AA05BF" w:rsidP="008E534C">
      <w:pPr>
        <w:pStyle w:val="NormalWeb"/>
        <w:ind w:left="720"/>
        <w:rPr>
          <w:rFonts w:ascii="Verdana" w:hAnsi="Verdana"/>
          <w:i/>
          <w:color w:val="000000"/>
          <w:sz w:val="20"/>
          <w:szCs w:val="20"/>
        </w:rPr>
      </w:pPr>
      <w:r w:rsidRPr="008E534C">
        <w:rPr>
          <w:rFonts w:ascii="Verdana" w:hAnsi="Verdana"/>
          <w:bCs/>
          <w:i/>
          <w:color w:val="000000"/>
          <w:sz w:val="20"/>
          <w:szCs w:val="20"/>
        </w:rPr>
        <w:t>[699]</w:t>
      </w:r>
      <w:r w:rsidRPr="008E534C">
        <w:rPr>
          <w:rFonts w:ascii="Verdana" w:hAnsi="Verdana"/>
          <w:b/>
          <w:bCs/>
          <w:i/>
          <w:color w:val="000000"/>
          <w:sz w:val="20"/>
          <w:szCs w:val="20"/>
        </w:rPr>
        <w:t> </w:t>
      </w:r>
      <w:r w:rsidRPr="008E534C">
        <w:rPr>
          <w:rFonts w:ascii="Verdana" w:hAnsi="Verdana"/>
          <w:i/>
          <w:color w:val="000000"/>
          <w:sz w:val="20"/>
          <w:szCs w:val="20"/>
        </w:rPr>
        <w:t>A different approach applies in relation to copied State awards currently in operation. Given the absence of any submissions on this matter, we have decided that increases to these instruments should be consistent with the approach set down in previous Review decisions, and the following increases will apply to copied State awards:</w:t>
      </w:r>
    </w:p>
    <w:p w:rsidR="00AA05BF" w:rsidRPr="008E534C" w:rsidRDefault="00AA05BF" w:rsidP="008E534C">
      <w:pPr>
        <w:pStyle w:val="NormalWeb"/>
        <w:ind w:left="2160"/>
        <w:rPr>
          <w:rFonts w:ascii="Verdana" w:hAnsi="Verdana"/>
          <w:color w:val="000000"/>
          <w:sz w:val="20"/>
          <w:szCs w:val="20"/>
        </w:rPr>
      </w:pPr>
      <w:r w:rsidRPr="008E534C">
        <w:rPr>
          <w:rFonts w:ascii="Verdana" w:hAnsi="Verdana"/>
          <w:i/>
          <w:color w:val="000000"/>
          <w:sz w:val="20"/>
          <w:szCs w:val="20"/>
        </w:rPr>
        <w:t>● an increase of 3.3 per cent applies to wage rates in copied State awards that were not the subject of a state minimum wage decision that commenced after 1 July 2016 and before 1 July 2017;</w:t>
      </w:r>
      <w:r w:rsidRPr="008E534C">
        <w:rPr>
          <w:rFonts w:ascii="Verdana" w:hAnsi="Verdana"/>
          <w:i/>
          <w:color w:val="000000"/>
          <w:sz w:val="20"/>
          <w:szCs w:val="20"/>
        </w:rPr>
        <w:br/>
        <w:t>● an increase of 1.65 per cent applies to wage rates in copied State awards that were the subject of a state minimum wage decision that commenced after 1 July 2016 and before 1 January 2017; and</w:t>
      </w:r>
      <w:r w:rsidRPr="008E534C">
        <w:rPr>
          <w:rFonts w:ascii="Verdana" w:hAnsi="Verdana"/>
          <w:i/>
          <w:color w:val="000000"/>
          <w:sz w:val="20"/>
          <w:szCs w:val="20"/>
        </w:rPr>
        <w:br/>
        <w:t>● no increase applies to wage rates in copied State awards that were the subject of a state minimum wage decision that commenced on or after 1 January 2017 and before 1 July 2017</w:t>
      </w:r>
      <w:r w:rsidRPr="008E534C">
        <w:rPr>
          <w:rFonts w:ascii="Verdana" w:hAnsi="Verdana"/>
          <w:color w:val="000000"/>
          <w:sz w:val="20"/>
          <w:szCs w:val="20"/>
        </w:rPr>
        <w:t>.</w:t>
      </w:r>
      <w:r>
        <w:rPr>
          <w:rStyle w:val="FootnoteReference"/>
          <w:rFonts w:ascii="Verdana" w:hAnsi="Verdana"/>
          <w:color w:val="000000"/>
          <w:sz w:val="20"/>
          <w:szCs w:val="20"/>
        </w:rPr>
        <w:footnoteReference w:id="44"/>
      </w:r>
    </w:p>
    <w:p w:rsidR="00AE23DB" w:rsidRPr="009D5922" w:rsidRDefault="00AE23DB" w:rsidP="003A41B3">
      <w:pPr>
        <w:rPr>
          <w:rFonts w:ascii="Verdana" w:hAnsi="Verdana"/>
          <w:sz w:val="20"/>
        </w:rPr>
      </w:pPr>
      <w:r w:rsidRPr="009D5922">
        <w:rPr>
          <w:rFonts w:ascii="Verdana" w:hAnsi="Verdana"/>
          <w:sz w:val="20"/>
        </w:rPr>
        <w:lastRenderedPageBreak/>
        <w:t xml:space="preserve">ABI proposes that the rates in the relevant transitional instruments be increased consistently with </w:t>
      </w:r>
      <w:r w:rsidR="002B57DE" w:rsidRPr="009D5922">
        <w:rPr>
          <w:rFonts w:ascii="Verdana" w:hAnsi="Verdana"/>
          <w:sz w:val="20"/>
        </w:rPr>
        <w:t>any</w:t>
      </w:r>
      <w:r w:rsidRPr="009D5922">
        <w:rPr>
          <w:rFonts w:ascii="Verdana" w:hAnsi="Verdana"/>
          <w:sz w:val="20"/>
        </w:rPr>
        <w:t xml:space="preserve"> </w:t>
      </w:r>
      <w:r w:rsidR="002B57DE" w:rsidRPr="009D5922">
        <w:rPr>
          <w:rFonts w:ascii="Verdana" w:hAnsi="Verdana"/>
          <w:sz w:val="20"/>
        </w:rPr>
        <w:t xml:space="preserve">increase determined for modern award minimum wages </w:t>
      </w:r>
      <w:r w:rsidR="00EA718A" w:rsidRPr="009D5922">
        <w:rPr>
          <w:rFonts w:ascii="Verdana" w:hAnsi="Verdana"/>
          <w:sz w:val="20"/>
        </w:rPr>
        <w:t>[item 12A(5) Schedule 3; items 10(1) and 20(1) Schedule 9]</w:t>
      </w:r>
      <w:r w:rsidRPr="009D5922">
        <w:rPr>
          <w:rFonts w:ascii="Verdana" w:hAnsi="Verdana"/>
          <w:sz w:val="20"/>
        </w:rPr>
        <w:t>.</w:t>
      </w:r>
    </w:p>
    <w:p w:rsidR="00AA05BF" w:rsidRDefault="00AA05BF" w:rsidP="003A41B3">
      <w:pPr>
        <w:rPr>
          <w:rFonts w:ascii="Verdana" w:hAnsi="Verdana"/>
          <w:sz w:val="20"/>
          <w:szCs w:val="20"/>
        </w:rPr>
      </w:pPr>
      <w:r>
        <w:rPr>
          <w:rFonts w:ascii="Verdana" w:hAnsi="Verdana"/>
          <w:sz w:val="20"/>
          <w:szCs w:val="20"/>
        </w:rPr>
        <w:t xml:space="preserve">Paragraph [699] </w:t>
      </w:r>
      <w:r w:rsidR="00E9693D">
        <w:rPr>
          <w:rFonts w:ascii="Verdana" w:hAnsi="Verdana"/>
          <w:sz w:val="20"/>
          <w:szCs w:val="20"/>
        </w:rPr>
        <w:t>of the 20</w:t>
      </w:r>
      <w:r w:rsidR="00C16490">
        <w:rPr>
          <w:rFonts w:ascii="Verdana" w:hAnsi="Verdana"/>
          <w:sz w:val="20"/>
          <w:szCs w:val="20"/>
        </w:rPr>
        <w:t>16-</w:t>
      </w:r>
      <w:r w:rsidR="00E9693D">
        <w:rPr>
          <w:rFonts w:ascii="Verdana" w:hAnsi="Verdana"/>
          <w:sz w:val="20"/>
          <w:szCs w:val="20"/>
        </w:rPr>
        <w:t xml:space="preserve">17 decision </w:t>
      </w:r>
      <w:r>
        <w:rPr>
          <w:rFonts w:ascii="Verdana" w:hAnsi="Verdana"/>
          <w:sz w:val="20"/>
          <w:szCs w:val="20"/>
        </w:rPr>
        <w:t>deals with copied state awards</w:t>
      </w:r>
      <w:r w:rsidR="00E9693D">
        <w:rPr>
          <w:rFonts w:ascii="Verdana" w:hAnsi="Verdana"/>
          <w:sz w:val="20"/>
          <w:szCs w:val="20"/>
        </w:rPr>
        <w:t>.</w:t>
      </w:r>
      <w:r>
        <w:rPr>
          <w:rFonts w:ascii="Verdana" w:hAnsi="Verdana"/>
          <w:sz w:val="20"/>
          <w:szCs w:val="20"/>
        </w:rPr>
        <w:t xml:space="preserve">  </w:t>
      </w:r>
      <w:r w:rsidR="00E9693D">
        <w:rPr>
          <w:rFonts w:ascii="Verdana" w:hAnsi="Verdana"/>
          <w:sz w:val="20"/>
          <w:szCs w:val="20"/>
        </w:rPr>
        <w:t>T</w:t>
      </w:r>
      <w:r>
        <w:rPr>
          <w:rFonts w:ascii="Verdana" w:hAnsi="Verdana"/>
          <w:sz w:val="20"/>
          <w:szCs w:val="20"/>
        </w:rPr>
        <w:t xml:space="preserve">his part of the Panel’s decision was subject to further proceedings following which the Panel corrected an error and also advised a preliminary view about a different approach to copied state awards </w:t>
      </w:r>
      <w:r w:rsidR="00E9693D">
        <w:rPr>
          <w:rFonts w:ascii="Verdana" w:hAnsi="Verdana"/>
          <w:sz w:val="20"/>
          <w:szCs w:val="20"/>
        </w:rPr>
        <w:t xml:space="preserve">from the one determined in para 699 </w:t>
      </w:r>
      <w:r>
        <w:rPr>
          <w:rFonts w:ascii="Verdana" w:hAnsi="Verdana"/>
          <w:sz w:val="20"/>
          <w:szCs w:val="20"/>
        </w:rPr>
        <w:t>for parties to consider.</w:t>
      </w:r>
      <w:r>
        <w:rPr>
          <w:rStyle w:val="FootnoteReference"/>
          <w:rFonts w:ascii="Verdana" w:hAnsi="Verdana"/>
          <w:sz w:val="20"/>
          <w:szCs w:val="20"/>
        </w:rPr>
        <w:footnoteReference w:id="45"/>
      </w:r>
    </w:p>
    <w:p w:rsidR="004926C1" w:rsidRPr="008E534C" w:rsidRDefault="004926C1" w:rsidP="003A41B3">
      <w:pPr>
        <w:rPr>
          <w:rFonts w:ascii="Verdana" w:hAnsi="Verdana"/>
          <w:sz w:val="20"/>
          <w:szCs w:val="20"/>
        </w:rPr>
      </w:pPr>
      <w:r>
        <w:rPr>
          <w:rFonts w:ascii="Verdana" w:hAnsi="Verdana"/>
          <w:sz w:val="20"/>
          <w:szCs w:val="20"/>
        </w:rPr>
        <w:t>ABI makes no submissions about the variation of copied state awards arising from this review.</w:t>
      </w:r>
    </w:p>
    <w:p w:rsidR="002262B8" w:rsidRPr="009D5922" w:rsidRDefault="002262B8" w:rsidP="003A41B3">
      <w:pPr>
        <w:pStyle w:val="Heading3"/>
        <w:spacing w:line="276" w:lineRule="auto"/>
        <w:rPr>
          <w:color w:val="auto"/>
        </w:rPr>
      </w:pPr>
      <w:r w:rsidRPr="009D5922">
        <w:rPr>
          <w:color w:val="auto"/>
        </w:rPr>
        <w:t xml:space="preserve">Allowances in modern awards </w:t>
      </w:r>
    </w:p>
    <w:p w:rsidR="002262B8" w:rsidRPr="00D07420" w:rsidRDefault="00463011" w:rsidP="003A41B3">
      <w:pPr>
        <w:pStyle w:val="COMMLevel2Legal"/>
        <w:numPr>
          <w:ilvl w:val="0"/>
          <w:numId w:val="0"/>
        </w:numPr>
        <w:spacing w:line="276" w:lineRule="auto"/>
        <w:rPr>
          <w:rFonts w:ascii="Verdana" w:hAnsi="Verdana"/>
          <w:color w:val="auto"/>
        </w:rPr>
      </w:pPr>
      <w:r w:rsidRPr="009D5922">
        <w:rPr>
          <w:rFonts w:ascii="Verdana" w:hAnsi="Verdana"/>
          <w:color w:val="auto"/>
        </w:rPr>
        <w:t>As ABI has previously noted t</w:t>
      </w:r>
      <w:r w:rsidR="002262B8" w:rsidRPr="009D5922">
        <w:rPr>
          <w:rFonts w:ascii="Verdana" w:hAnsi="Verdana"/>
          <w:color w:val="auto"/>
        </w:rPr>
        <w:t xml:space="preserve">he </w:t>
      </w:r>
      <w:r w:rsidRPr="009D5922">
        <w:rPr>
          <w:rFonts w:ascii="Verdana" w:hAnsi="Verdana"/>
          <w:color w:val="auto"/>
        </w:rPr>
        <w:t xml:space="preserve">Commission </w:t>
      </w:r>
      <w:r w:rsidR="002262B8" w:rsidRPr="009D5922">
        <w:rPr>
          <w:rFonts w:ascii="Verdana" w:hAnsi="Verdana"/>
          <w:color w:val="auto"/>
        </w:rPr>
        <w:t xml:space="preserve">has adopted the practice of issuing drafts of the changes to allowances </w:t>
      </w:r>
      <w:r w:rsidR="009E5652">
        <w:rPr>
          <w:rFonts w:ascii="Verdana" w:hAnsi="Verdana"/>
          <w:color w:val="auto"/>
        </w:rPr>
        <w:t xml:space="preserve">including reimbursement allowances </w:t>
      </w:r>
      <w:r w:rsidR="002262B8" w:rsidRPr="009D5922">
        <w:rPr>
          <w:rFonts w:ascii="Verdana" w:hAnsi="Verdana"/>
          <w:color w:val="auto"/>
        </w:rPr>
        <w:t xml:space="preserve">and draft orders, and providing for comment.   ABI </w:t>
      </w:r>
      <w:r w:rsidR="00DA5602" w:rsidRPr="009D5922">
        <w:rPr>
          <w:rFonts w:ascii="Verdana" w:hAnsi="Verdana"/>
          <w:color w:val="auto"/>
        </w:rPr>
        <w:t>remains a strong supporter of this practice and th</w:t>
      </w:r>
      <w:r w:rsidR="00267DA0" w:rsidRPr="009D5922">
        <w:rPr>
          <w:rFonts w:ascii="Verdana" w:hAnsi="Verdana"/>
          <w:color w:val="auto"/>
        </w:rPr>
        <w:t>a</w:t>
      </w:r>
      <w:r w:rsidR="00DA5602" w:rsidRPr="009D5922">
        <w:rPr>
          <w:rFonts w:ascii="Verdana" w:hAnsi="Verdana"/>
          <w:color w:val="auto"/>
        </w:rPr>
        <w:t>nks the Commission for so doing.</w:t>
      </w:r>
      <w:r w:rsidR="002262B8" w:rsidRPr="00D07420">
        <w:rPr>
          <w:rFonts w:ascii="Verdana" w:hAnsi="Verdana"/>
          <w:color w:val="auto"/>
        </w:rPr>
        <w:t xml:space="preserve"> </w:t>
      </w:r>
    </w:p>
    <w:p w:rsidR="002262B8" w:rsidRPr="00100246" w:rsidRDefault="002262B8" w:rsidP="00100246">
      <w:pPr>
        <w:rPr>
          <w:rFonts w:ascii="Verdana" w:hAnsi="Verdana"/>
          <w:sz w:val="20"/>
          <w:szCs w:val="20"/>
        </w:rPr>
      </w:pPr>
    </w:p>
    <w:p w:rsidR="0029419F" w:rsidRDefault="0029419F">
      <w:pPr>
        <w:rPr>
          <w:rFonts w:ascii="Verdana" w:hAnsi="Verdana"/>
          <w:sz w:val="20"/>
          <w:szCs w:val="20"/>
        </w:rPr>
      </w:pPr>
      <w:r>
        <w:rPr>
          <w:rFonts w:ascii="Verdana" w:hAnsi="Verdana"/>
          <w:sz w:val="20"/>
          <w:szCs w:val="20"/>
        </w:rPr>
        <w:br w:type="page"/>
      </w:r>
    </w:p>
    <w:p w:rsidR="0029419F" w:rsidRDefault="0029419F" w:rsidP="002D2940">
      <w:pPr>
        <w:spacing w:after="0"/>
        <w:rPr>
          <w:rStyle w:val="Heading1Char"/>
        </w:rPr>
      </w:pPr>
      <w:r>
        <w:rPr>
          <w:rStyle w:val="Heading1Char"/>
        </w:rPr>
        <w:lastRenderedPageBreak/>
        <w:t>Attachment A</w:t>
      </w:r>
    </w:p>
    <w:p w:rsidR="00A20FE9" w:rsidRPr="00B255BC" w:rsidRDefault="0029419F" w:rsidP="002D2940">
      <w:pPr>
        <w:pStyle w:val="Heading3"/>
        <w:spacing w:line="276" w:lineRule="auto"/>
        <w:rPr>
          <w:color w:val="auto"/>
          <w:szCs w:val="20"/>
        </w:rPr>
      </w:pPr>
      <w:r w:rsidRPr="00B255BC">
        <w:rPr>
          <w:color w:val="auto"/>
          <w:szCs w:val="20"/>
        </w:rPr>
        <w:t>Demographics of survey respondents</w:t>
      </w:r>
      <w:r w:rsidR="00A20FE9" w:rsidRPr="00B255BC">
        <w:rPr>
          <w:rStyle w:val="Heading1Char"/>
          <w:color w:val="auto"/>
        </w:rPr>
        <w:fldChar w:fldCharType="begin"/>
      </w:r>
      <w:r w:rsidR="00A20FE9" w:rsidRPr="00B255BC">
        <w:rPr>
          <w:rStyle w:val="Heading1Char"/>
          <w:color w:val="auto"/>
        </w:rPr>
        <w:instrText xml:space="preserve"> LINK Excel.Sheet.12 "C:\\Users\\mark.frost\\AppData\\Local\\Microsoft\\Windows\\Temporary Internet Files\\Content.Outlook\\TCCTRGRX\\MIN WAGE.xlsx" "MIN WAGES 2!R34C20:R49C22" \a \f 5 \h  \* MERGEFORMAT </w:instrText>
      </w:r>
      <w:r w:rsidR="00A20FE9" w:rsidRPr="00B255BC">
        <w:rPr>
          <w:rStyle w:val="Heading1Char"/>
          <w:color w:val="auto"/>
        </w:rPr>
        <w:fldChar w:fldCharType="separate"/>
      </w:r>
    </w:p>
    <w:p w:rsidR="00A20FE9" w:rsidRPr="00B255BC" w:rsidRDefault="00A20FE9">
      <w:pPr>
        <w:spacing w:after="0" w:line="240" w:lineRule="auto"/>
        <w:rPr>
          <w:rStyle w:val="Heading1Char"/>
          <w:b/>
          <w:bCs w:val="0"/>
          <w:color w:val="auto"/>
        </w:rPr>
      </w:pPr>
      <w:r w:rsidRPr="00B255BC">
        <w:rPr>
          <w:rStyle w:val="Heading1Char"/>
          <w:color w:val="auto"/>
        </w:rPr>
        <w:fldChar w:fldCharType="end"/>
      </w:r>
    </w:p>
    <w:tbl>
      <w:tblPr>
        <w:tblStyle w:val="TableGrid7"/>
        <w:tblW w:w="5866" w:type="dxa"/>
        <w:jc w:val="center"/>
        <w:tblLook w:val="04A0" w:firstRow="1" w:lastRow="0" w:firstColumn="1" w:lastColumn="0" w:noHBand="0" w:noVBand="1"/>
      </w:tblPr>
      <w:tblGrid>
        <w:gridCol w:w="3936"/>
        <w:gridCol w:w="960"/>
        <w:gridCol w:w="970"/>
      </w:tblGrid>
      <w:tr w:rsidR="00C746AE" w:rsidRPr="00147345" w:rsidTr="00672174">
        <w:trPr>
          <w:trHeight w:val="285"/>
          <w:jc w:val="center"/>
        </w:trPr>
        <w:tc>
          <w:tcPr>
            <w:tcW w:w="3936" w:type="dxa"/>
            <w:noWrap/>
            <w:hideMark/>
          </w:tcPr>
          <w:p w:rsidR="00C746AE" w:rsidRPr="00B255BC" w:rsidRDefault="00C746AE">
            <w:pPr>
              <w:keepNext/>
              <w:keepLines/>
              <w:spacing w:before="200" w:after="120" w:line="276" w:lineRule="auto"/>
              <w:jc w:val="center"/>
              <w:outlineLvl w:val="2"/>
              <w:rPr>
                <w:rFonts w:ascii="Verdana" w:eastAsiaTheme="majorEastAsia" w:hAnsi="Verdana" w:cstheme="majorBidi"/>
                <w:b/>
                <w:bCs/>
                <w:sz w:val="20"/>
                <w:szCs w:val="20"/>
                <w:lang w:eastAsia="zh-TW"/>
              </w:rPr>
            </w:pPr>
            <w:r w:rsidRPr="00B255BC">
              <w:rPr>
                <w:rFonts w:ascii="Verdana" w:eastAsiaTheme="majorEastAsia" w:hAnsi="Verdana" w:cstheme="majorBidi"/>
                <w:b/>
                <w:bCs/>
                <w:sz w:val="20"/>
                <w:szCs w:val="20"/>
                <w:lang w:eastAsia="zh-TW"/>
              </w:rPr>
              <w:t>REGION</w:t>
            </w:r>
          </w:p>
        </w:tc>
        <w:tc>
          <w:tcPr>
            <w:tcW w:w="960" w:type="dxa"/>
            <w:noWrap/>
            <w:hideMark/>
          </w:tcPr>
          <w:p w:rsidR="00C746AE" w:rsidRPr="00B255BC" w:rsidRDefault="00C746AE">
            <w:pPr>
              <w:keepNext/>
              <w:keepLines/>
              <w:spacing w:before="200" w:after="120" w:line="276" w:lineRule="auto"/>
              <w:jc w:val="center"/>
              <w:outlineLvl w:val="2"/>
              <w:rPr>
                <w:rFonts w:ascii="Verdana" w:eastAsiaTheme="majorEastAsia" w:hAnsi="Verdana" w:cstheme="majorBidi"/>
                <w:b/>
                <w:bCs/>
                <w:sz w:val="20"/>
                <w:szCs w:val="20"/>
                <w:lang w:eastAsia="zh-TW"/>
              </w:rPr>
            </w:pPr>
            <w:r w:rsidRPr="00B255BC">
              <w:rPr>
                <w:rFonts w:ascii="Verdana" w:eastAsiaTheme="majorEastAsia" w:hAnsi="Verdana" w:cstheme="majorBidi"/>
                <w:b/>
                <w:bCs/>
                <w:sz w:val="20"/>
                <w:szCs w:val="20"/>
                <w:lang w:eastAsia="zh-TW"/>
              </w:rPr>
              <w:t>n</w:t>
            </w:r>
          </w:p>
        </w:tc>
        <w:tc>
          <w:tcPr>
            <w:tcW w:w="970" w:type="dxa"/>
            <w:noWrap/>
            <w:hideMark/>
          </w:tcPr>
          <w:p w:rsidR="00C746AE" w:rsidRPr="00B255BC" w:rsidRDefault="00C746AE">
            <w:pPr>
              <w:keepNext/>
              <w:keepLines/>
              <w:spacing w:before="200" w:after="120" w:line="276" w:lineRule="auto"/>
              <w:jc w:val="center"/>
              <w:outlineLvl w:val="2"/>
              <w:rPr>
                <w:rFonts w:ascii="Verdana" w:eastAsiaTheme="majorEastAsia" w:hAnsi="Verdana" w:cstheme="majorBidi"/>
                <w:b/>
                <w:bCs/>
                <w:sz w:val="20"/>
                <w:szCs w:val="20"/>
                <w:lang w:eastAsia="zh-TW"/>
              </w:rPr>
            </w:pPr>
            <w:r w:rsidRPr="00B255BC">
              <w:rPr>
                <w:rFonts w:ascii="Verdana" w:eastAsiaTheme="majorEastAsia" w:hAnsi="Verdana" w:cstheme="majorBidi"/>
                <w:b/>
                <w:bCs/>
                <w:sz w:val="20"/>
                <w:szCs w:val="20"/>
                <w:lang w:eastAsia="zh-TW"/>
              </w:rPr>
              <w:t>%</w:t>
            </w:r>
          </w:p>
        </w:tc>
      </w:tr>
      <w:tr w:rsidR="00B255BC" w:rsidRPr="00147345" w:rsidTr="00672174">
        <w:trPr>
          <w:trHeight w:val="301"/>
          <w:jc w:val="center"/>
        </w:trPr>
        <w:tc>
          <w:tcPr>
            <w:tcW w:w="3936" w:type="dxa"/>
            <w:noWrap/>
            <w:hideMark/>
          </w:tcPr>
          <w:p w:rsidR="00B255BC" w:rsidRPr="00B255BC" w:rsidRDefault="00B255BC" w:rsidP="00B255BC">
            <w:pPr>
              <w:rPr>
                <w:rFonts w:ascii="Verdana" w:hAnsi="Verdana"/>
                <w:sz w:val="20"/>
                <w:szCs w:val="20"/>
              </w:rPr>
            </w:pPr>
            <w:r w:rsidRPr="00B255BC">
              <w:rPr>
                <w:rFonts w:ascii="Verdana" w:hAnsi="Verdana"/>
                <w:sz w:val="20"/>
                <w:szCs w:val="20"/>
              </w:rPr>
              <w:t>Capital Far South</w:t>
            </w:r>
          </w:p>
        </w:tc>
        <w:tc>
          <w:tcPr>
            <w:tcW w:w="960" w:type="dxa"/>
            <w:noWrap/>
            <w:hideMark/>
          </w:tcPr>
          <w:p w:rsidR="00B255BC" w:rsidRPr="00B255BC" w:rsidRDefault="00B255BC" w:rsidP="00B255BC">
            <w:pPr>
              <w:jc w:val="center"/>
              <w:rPr>
                <w:rFonts w:ascii="Verdana" w:hAnsi="Verdana"/>
                <w:sz w:val="20"/>
                <w:szCs w:val="20"/>
              </w:rPr>
            </w:pPr>
            <w:r w:rsidRPr="00B255BC">
              <w:rPr>
                <w:rFonts w:ascii="Verdana" w:hAnsi="Verdana"/>
                <w:sz w:val="20"/>
                <w:szCs w:val="20"/>
              </w:rPr>
              <w:t>7</w:t>
            </w:r>
          </w:p>
        </w:tc>
        <w:tc>
          <w:tcPr>
            <w:tcW w:w="970" w:type="dxa"/>
            <w:noWrap/>
            <w:hideMark/>
          </w:tcPr>
          <w:p w:rsidR="00B255BC" w:rsidRPr="00B255BC" w:rsidRDefault="00B255BC" w:rsidP="00B255BC">
            <w:pPr>
              <w:jc w:val="center"/>
              <w:rPr>
                <w:rFonts w:ascii="Verdana" w:hAnsi="Verdana"/>
                <w:sz w:val="20"/>
                <w:szCs w:val="20"/>
              </w:rPr>
            </w:pPr>
            <w:r w:rsidRPr="00B255BC">
              <w:rPr>
                <w:rFonts w:ascii="Verdana" w:hAnsi="Verdana"/>
                <w:sz w:val="20"/>
                <w:szCs w:val="20"/>
              </w:rPr>
              <w:t>3.9%</w:t>
            </w:r>
          </w:p>
        </w:tc>
      </w:tr>
      <w:tr w:rsidR="00B255BC" w:rsidRPr="00147345" w:rsidTr="00672174">
        <w:trPr>
          <w:trHeight w:val="285"/>
          <w:jc w:val="center"/>
        </w:trPr>
        <w:tc>
          <w:tcPr>
            <w:tcW w:w="3936" w:type="dxa"/>
            <w:noWrap/>
            <w:hideMark/>
          </w:tcPr>
          <w:p w:rsidR="00B255BC" w:rsidRPr="00B255BC" w:rsidRDefault="00B255BC" w:rsidP="00B255BC">
            <w:pPr>
              <w:rPr>
                <w:rFonts w:ascii="Verdana" w:hAnsi="Verdana"/>
                <w:sz w:val="20"/>
                <w:szCs w:val="20"/>
              </w:rPr>
            </w:pPr>
            <w:r w:rsidRPr="00B255BC">
              <w:rPr>
                <w:rFonts w:ascii="Verdana" w:hAnsi="Verdana"/>
                <w:sz w:val="20"/>
                <w:szCs w:val="20"/>
              </w:rPr>
              <w:t>Central Coast</w:t>
            </w:r>
          </w:p>
        </w:tc>
        <w:tc>
          <w:tcPr>
            <w:tcW w:w="960" w:type="dxa"/>
            <w:noWrap/>
            <w:hideMark/>
          </w:tcPr>
          <w:p w:rsidR="00B255BC" w:rsidRPr="00B255BC" w:rsidRDefault="00B255BC" w:rsidP="00B255BC">
            <w:pPr>
              <w:jc w:val="center"/>
              <w:rPr>
                <w:rFonts w:ascii="Verdana" w:hAnsi="Verdana"/>
                <w:sz w:val="20"/>
                <w:szCs w:val="20"/>
              </w:rPr>
            </w:pPr>
            <w:r w:rsidRPr="00B255BC">
              <w:rPr>
                <w:rFonts w:ascii="Verdana" w:hAnsi="Verdana"/>
                <w:sz w:val="20"/>
                <w:szCs w:val="20"/>
              </w:rPr>
              <w:t>9</w:t>
            </w:r>
          </w:p>
        </w:tc>
        <w:tc>
          <w:tcPr>
            <w:tcW w:w="970" w:type="dxa"/>
            <w:noWrap/>
            <w:hideMark/>
          </w:tcPr>
          <w:p w:rsidR="00B255BC" w:rsidRPr="00B255BC" w:rsidRDefault="00B255BC" w:rsidP="00B255BC">
            <w:pPr>
              <w:jc w:val="center"/>
              <w:rPr>
                <w:rFonts w:ascii="Verdana" w:hAnsi="Verdana"/>
                <w:sz w:val="20"/>
                <w:szCs w:val="20"/>
              </w:rPr>
            </w:pPr>
            <w:r w:rsidRPr="00B255BC">
              <w:rPr>
                <w:rFonts w:ascii="Verdana" w:hAnsi="Verdana"/>
                <w:sz w:val="20"/>
                <w:szCs w:val="20"/>
              </w:rPr>
              <w:t>5.0%</w:t>
            </w:r>
          </w:p>
        </w:tc>
      </w:tr>
      <w:tr w:rsidR="00B255BC" w:rsidRPr="00147345" w:rsidTr="00672174">
        <w:trPr>
          <w:trHeight w:val="285"/>
          <w:jc w:val="center"/>
        </w:trPr>
        <w:tc>
          <w:tcPr>
            <w:tcW w:w="3936" w:type="dxa"/>
            <w:noWrap/>
            <w:hideMark/>
          </w:tcPr>
          <w:p w:rsidR="00B255BC" w:rsidRPr="00B255BC" w:rsidRDefault="00B255BC" w:rsidP="00B255BC">
            <w:pPr>
              <w:rPr>
                <w:rFonts w:ascii="Verdana" w:hAnsi="Verdana"/>
                <w:sz w:val="20"/>
                <w:szCs w:val="20"/>
              </w:rPr>
            </w:pPr>
            <w:r w:rsidRPr="00B255BC">
              <w:rPr>
                <w:rFonts w:ascii="Verdana" w:hAnsi="Verdana"/>
                <w:sz w:val="20"/>
                <w:szCs w:val="20"/>
              </w:rPr>
              <w:t>Central West Orana</w:t>
            </w:r>
          </w:p>
        </w:tc>
        <w:tc>
          <w:tcPr>
            <w:tcW w:w="960" w:type="dxa"/>
            <w:noWrap/>
            <w:hideMark/>
          </w:tcPr>
          <w:p w:rsidR="00B255BC" w:rsidRPr="00B255BC" w:rsidRDefault="00B255BC" w:rsidP="00B255BC">
            <w:pPr>
              <w:jc w:val="center"/>
              <w:rPr>
                <w:rFonts w:ascii="Verdana" w:hAnsi="Verdana"/>
                <w:sz w:val="20"/>
                <w:szCs w:val="20"/>
              </w:rPr>
            </w:pPr>
            <w:r w:rsidRPr="00B255BC">
              <w:rPr>
                <w:rFonts w:ascii="Verdana" w:hAnsi="Verdana"/>
                <w:sz w:val="20"/>
                <w:szCs w:val="20"/>
              </w:rPr>
              <w:t>17</w:t>
            </w:r>
          </w:p>
        </w:tc>
        <w:tc>
          <w:tcPr>
            <w:tcW w:w="970" w:type="dxa"/>
            <w:noWrap/>
            <w:hideMark/>
          </w:tcPr>
          <w:p w:rsidR="00B255BC" w:rsidRPr="00B255BC" w:rsidRDefault="00B255BC" w:rsidP="00B255BC">
            <w:pPr>
              <w:jc w:val="center"/>
              <w:rPr>
                <w:rFonts w:ascii="Verdana" w:hAnsi="Verdana"/>
                <w:sz w:val="20"/>
                <w:szCs w:val="20"/>
              </w:rPr>
            </w:pPr>
            <w:r w:rsidRPr="00B255BC">
              <w:rPr>
                <w:rFonts w:ascii="Verdana" w:hAnsi="Verdana"/>
                <w:sz w:val="20"/>
                <w:szCs w:val="20"/>
              </w:rPr>
              <w:t>9.5%</w:t>
            </w:r>
          </w:p>
        </w:tc>
      </w:tr>
      <w:tr w:rsidR="00B255BC" w:rsidRPr="00147345" w:rsidTr="00672174">
        <w:trPr>
          <w:trHeight w:val="285"/>
          <w:jc w:val="center"/>
        </w:trPr>
        <w:tc>
          <w:tcPr>
            <w:tcW w:w="3936" w:type="dxa"/>
            <w:noWrap/>
            <w:hideMark/>
          </w:tcPr>
          <w:p w:rsidR="00B255BC" w:rsidRPr="00B255BC" w:rsidRDefault="00B255BC" w:rsidP="00B255BC">
            <w:pPr>
              <w:rPr>
                <w:rFonts w:ascii="Verdana" w:hAnsi="Verdana"/>
                <w:sz w:val="20"/>
                <w:szCs w:val="20"/>
              </w:rPr>
            </w:pPr>
            <w:r w:rsidRPr="00B255BC">
              <w:rPr>
                <w:rFonts w:ascii="Verdana" w:hAnsi="Verdana"/>
                <w:sz w:val="20"/>
                <w:szCs w:val="20"/>
              </w:rPr>
              <w:t>Eastern Sydney</w:t>
            </w:r>
          </w:p>
        </w:tc>
        <w:tc>
          <w:tcPr>
            <w:tcW w:w="960" w:type="dxa"/>
            <w:noWrap/>
            <w:hideMark/>
          </w:tcPr>
          <w:p w:rsidR="00B255BC" w:rsidRPr="00B255BC" w:rsidRDefault="00B255BC" w:rsidP="00B255BC">
            <w:pPr>
              <w:jc w:val="center"/>
              <w:rPr>
                <w:rFonts w:ascii="Verdana" w:hAnsi="Verdana"/>
                <w:sz w:val="20"/>
                <w:szCs w:val="20"/>
              </w:rPr>
            </w:pPr>
            <w:r w:rsidRPr="00B255BC">
              <w:rPr>
                <w:rFonts w:ascii="Verdana" w:hAnsi="Verdana"/>
                <w:sz w:val="20"/>
                <w:szCs w:val="20"/>
              </w:rPr>
              <w:t>25</w:t>
            </w:r>
          </w:p>
        </w:tc>
        <w:tc>
          <w:tcPr>
            <w:tcW w:w="970" w:type="dxa"/>
            <w:noWrap/>
            <w:hideMark/>
          </w:tcPr>
          <w:p w:rsidR="00B255BC" w:rsidRPr="00B255BC" w:rsidRDefault="00B255BC" w:rsidP="00B255BC">
            <w:pPr>
              <w:jc w:val="center"/>
              <w:rPr>
                <w:rFonts w:ascii="Verdana" w:hAnsi="Verdana"/>
                <w:sz w:val="20"/>
                <w:szCs w:val="20"/>
              </w:rPr>
            </w:pPr>
            <w:r w:rsidRPr="00B255BC">
              <w:rPr>
                <w:rFonts w:ascii="Verdana" w:hAnsi="Verdana"/>
                <w:sz w:val="20"/>
                <w:szCs w:val="20"/>
              </w:rPr>
              <w:t>14.0%</w:t>
            </w:r>
          </w:p>
        </w:tc>
      </w:tr>
      <w:tr w:rsidR="00B255BC" w:rsidRPr="00147345" w:rsidTr="00672174">
        <w:trPr>
          <w:trHeight w:val="285"/>
          <w:jc w:val="center"/>
        </w:trPr>
        <w:tc>
          <w:tcPr>
            <w:tcW w:w="3936" w:type="dxa"/>
            <w:noWrap/>
            <w:hideMark/>
          </w:tcPr>
          <w:p w:rsidR="00B255BC" w:rsidRPr="00B255BC" w:rsidRDefault="00B255BC" w:rsidP="00B255BC">
            <w:pPr>
              <w:rPr>
                <w:rFonts w:ascii="Verdana" w:hAnsi="Verdana"/>
                <w:sz w:val="20"/>
                <w:szCs w:val="20"/>
              </w:rPr>
            </w:pPr>
            <w:r w:rsidRPr="00B255BC">
              <w:rPr>
                <w:rFonts w:ascii="Verdana" w:hAnsi="Verdana"/>
                <w:sz w:val="20"/>
                <w:szCs w:val="20"/>
              </w:rPr>
              <w:t>Hunter</w:t>
            </w:r>
          </w:p>
        </w:tc>
        <w:tc>
          <w:tcPr>
            <w:tcW w:w="960" w:type="dxa"/>
            <w:noWrap/>
            <w:hideMark/>
          </w:tcPr>
          <w:p w:rsidR="00B255BC" w:rsidRPr="00B255BC" w:rsidRDefault="00B255BC" w:rsidP="00B255BC">
            <w:pPr>
              <w:jc w:val="center"/>
              <w:rPr>
                <w:rFonts w:ascii="Verdana" w:hAnsi="Verdana"/>
                <w:sz w:val="20"/>
                <w:szCs w:val="20"/>
              </w:rPr>
            </w:pPr>
            <w:r w:rsidRPr="00B255BC">
              <w:rPr>
                <w:rFonts w:ascii="Verdana" w:hAnsi="Verdana"/>
                <w:sz w:val="20"/>
                <w:szCs w:val="20"/>
              </w:rPr>
              <w:t>23</w:t>
            </w:r>
          </w:p>
        </w:tc>
        <w:tc>
          <w:tcPr>
            <w:tcW w:w="970" w:type="dxa"/>
            <w:noWrap/>
            <w:hideMark/>
          </w:tcPr>
          <w:p w:rsidR="00B255BC" w:rsidRPr="00B255BC" w:rsidRDefault="00B255BC" w:rsidP="00B255BC">
            <w:pPr>
              <w:jc w:val="center"/>
              <w:rPr>
                <w:rFonts w:ascii="Verdana" w:hAnsi="Verdana"/>
                <w:sz w:val="20"/>
                <w:szCs w:val="20"/>
              </w:rPr>
            </w:pPr>
            <w:r w:rsidRPr="00B255BC">
              <w:rPr>
                <w:rFonts w:ascii="Verdana" w:hAnsi="Verdana"/>
                <w:sz w:val="20"/>
                <w:szCs w:val="20"/>
              </w:rPr>
              <w:t>12.8%</w:t>
            </w:r>
          </w:p>
        </w:tc>
      </w:tr>
      <w:tr w:rsidR="00B255BC" w:rsidRPr="00147345" w:rsidTr="00672174">
        <w:trPr>
          <w:trHeight w:val="285"/>
          <w:jc w:val="center"/>
        </w:trPr>
        <w:tc>
          <w:tcPr>
            <w:tcW w:w="3936" w:type="dxa"/>
            <w:noWrap/>
            <w:hideMark/>
          </w:tcPr>
          <w:p w:rsidR="00B255BC" w:rsidRPr="00B255BC" w:rsidRDefault="00B255BC" w:rsidP="00B255BC">
            <w:pPr>
              <w:rPr>
                <w:rFonts w:ascii="Verdana" w:hAnsi="Verdana"/>
                <w:sz w:val="20"/>
                <w:szCs w:val="20"/>
              </w:rPr>
            </w:pPr>
            <w:r w:rsidRPr="00B255BC">
              <w:rPr>
                <w:rFonts w:ascii="Verdana" w:hAnsi="Verdana"/>
                <w:sz w:val="20"/>
                <w:szCs w:val="20"/>
              </w:rPr>
              <w:t>Illawarra</w:t>
            </w:r>
          </w:p>
        </w:tc>
        <w:tc>
          <w:tcPr>
            <w:tcW w:w="960" w:type="dxa"/>
            <w:noWrap/>
            <w:hideMark/>
          </w:tcPr>
          <w:p w:rsidR="00B255BC" w:rsidRPr="00B255BC" w:rsidRDefault="00B255BC" w:rsidP="00B255BC">
            <w:pPr>
              <w:jc w:val="center"/>
              <w:rPr>
                <w:rFonts w:ascii="Verdana" w:hAnsi="Verdana"/>
                <w:sz w:val="20"/>
                <w:szCs w:val="20"/>
              </w:rPr>
            </w:pPr>
            <w:r w:rsidRPr="00B255BC">
              <w:rPr>
                <w:rFonts w:ascii="Verdana" w:hAnsi="Verdana"/>
                <w:sz w:val="20"/>
                <w:szCs w:val="20"/>
              </w:rPr>
              <w:t>17</w:t>
            </w:r>
          </w:p>
        </w:tc>
        <w:tc>
          <w:tcPr>
            <w:tcW w:w="970" w:type="dxa"/>
            <w:noWrap/>
            <w:hideMark/>
          </w:tcPr>
          <w:p w:rsidR="00B255BC" w:rsidRPr="00B255BC" w:rsidRDefault="00B255BC" w:rsidP="00B255BC">
            <w:pPr>
              <w:jc w:val="center"/>
              <w:rPr>
                <w:rFonts w:ascii="Verdana" w:hAnsi="Verdana"/>
                <w:sz w:val="20"/>
                <w:szCs w:val="20"/>
              </w:rPr>
            </w:pPr>
            <w:r w:rsidRPr="00B255BC">
              <w:rPr>
                <w:rFonts w:ascii="Verdana" w:hAnsi="Verdana"/>
                <w:sz w:val="20"/>
                <w:szCs w:val="20"/>
              </w:rPr>
              <w:t>9.5%</w:t>
            </w:r>
          </w:p>
        </w:tc>
      </w:tr>
      <w:tr w:rsidR="00B255BC" w:rsidRPr="00147345" w:rsidTr="00672174">
        <w:trPr>
          <w:trHeight w:val="285"/>
          <w:jc w:val="center"/>
        </w:trPr>
        <w:tc>
          <w:tcPr>
            <w:tcW w:w="3936" w:type="dxa"/>
            <w:noWrap/>
            <w:hideMark/>
          </w:tcPr>
          <w:p w:rsidR="00B255BC" w:rsidRPr="00B255BC" w:rsidRDefault="00B255BC" w:rsidP="00B255BC">
            <w:pPr>
              <w:rPr>
                <w:rFonts w:ascii="Verdana" w:hAnsi="Verdana"/>
                <w:sz w:val="20"/>
                <w:szCs w:val="20"/>
              </w:rPr>
            </w:pPr>
            <w:r w:rsidRPr="00B255BC">
              <w:rPr>
                <w:rFonts w:ascii="Verdana" w:hAnsi="Verdana"/>
                <w:sz w:val="20"/>
                <w:szCs w:val="20"/>
              </w:rPr>
              <w:t>Mid North Coast</w:t>
            </w:r>
          </w:p>
        </w:tc>
        <w:tc>
          <w:tcPr>
            <w:tcW w:w="960" w:type="dxa"/>
            <w:noWrap/>
            <w:hideMark/>
          </w:tcPr>
          <w:p w:rsidR="00B255BC" w:rsidRPr="00B255BC" w:rsidRDefault="00B255BC" w:rsidP="00B255BC">
            <w:pPr>
              <w:jc w:val="center"/>
              <w:rPr>
                <w:rFonts w:ascii="Verdana" w:hAnsi="Verdana"/>
                <w:sz w:val="20"/>
                <w:szCs w:val="20"/>
              </w:rPr>
            </w:pPr>
            <w:r w:rsidRPr="00B255BC">
              <w:rPr>
                <w:rFonts w:ascii="Verdana" w:hAnsi="Verdana"/>
                <w:sz w:val="20"/>
                <w:szCs w:val="20"/>
              </w:rPr>
              <w:t>18</w:t>
            </w:r>
          </w:p>
        </w:tc>
        <w:tc>
          <w:tcPr>
            <w:tcW w:w="970" w:type="dxa"/>
            <w:noWrap/>
            <w:hideMark/>
          </w:tcPr>
          <w:p w:rsidR="00B255BC" w:rsidRPr="00B255BC" w:rsidRDefault="00B255BC" w:rsidP="00B255BC">
            <w:pPr>
              <w:jc w:val="center"/>
              <w:rPr>
                <w:rFonts w:ascii="Verdana" w:hAnsi="Verdana"/>
                <w:sz w:val="20"/>
                <w:szCs w:val="20"/>
              </w:rPr>
            </w:pPr>
            <w:r w:rsidRPr="00B255BC">
              <w:rPr>
                <w:rFonts w:ascii="Verdana" w:hAnsi="Verdana"/>
                <w:sz w:val="20"/>
                <w:szCs w:val="20"/>
              </w:rPr>
              <w:t>10.1%</w:t>
            </w:r>
          </w:p>
        </w:tc>
      </w:tr>
      <w:tr w:rsidR="00B255BC" w:rsidRPr="00147345" w:rsidTr="00672174">
        <w:trPr>
          <w:trHeight w:val="285"/>
          <w:jc w:val="center"/>
        </w:trPr>
        <w:tc>
          <w:tcPr>
            <w:tcW w:w="3936" w:type="dxa"/>
            <w:noWrap/>
            <w:hideMark/>
          </w:tcPr>
          <w:p w:rsidR="00B255BC" w:rsidRPr="00B255BC" w:rsidRDefault="00B255BC" w:rsidP="00B255BC">
            <w:pPr>
              <w:rPr>
                <w:rFonts w:ascii="Verdana" w:hAnsi="Verdana"/>
                <w:sz w:val="20"/>
                <w:szCs w:val="20"/>
              </w:rPr>
            </w:pPr>
            <w:r w:rsidRPr="00B255BC">
              <w:rPr>
                <w:rFonts w:ascii="Verdana" w:hAnsi="Verdana"/>
                <w:sz w:val="20"/>
                <w:szCs w:val="20"/>
              </w:rPr>
              <w:t>Murray</w:t>
            </w:r>
          </w:p>
        </w:tc>
        <w:tc>
          <w:tcPr>
            <w:tcW w:w="960" w:type="dxa"/>
            <w:noWrap/>
            <w:hideMark/>
          </w:tcPr>
          <w:p w:rsidR="00B255BC" w:rsidRPr="00B255BC" w:rsidRDefault="00B255BC" w:rsidP="00B255BC">
            <w:pPr>
              <w:jc w:val="center"/>
              <w:rPr>
                <w:rFonts w:ascii="Verdana" w:hAnsi="Verdana"/>
                <w:sz w:val="20"/>
                <w:szCs w:val="20"/>
              </w:rPr>
            </w:pPr>
            <w:r w:rsidRPr="00B255BC">
              <w:rPr>
                <w:rFonts w:ascii="Verdana" w:hAnsi="Verdana"/>
                <w:sz w:val="20"/>
                <w:szCs w:val="20"/>
              </w:rPr>
              <w:t>7</w:t>
            </w:r>
          </w:p>
        </w:tc>
        <w:tc>
          <w:tcPr>
            <w:tcW w:w="970" w:type="dxa"/>
            <w:noWrap/>
            <w:hideMark/>
          </w:tcPr>
          <w:p w:rsidR="00B255BC" w:rsidRPr="00B255BC" w:rsidRDefault="00B255BC" w:rsidP="00B255BC">
            <w:pPr>
              <w:jc w:val="center"/>
              <w:rPr>
                <w:rFonts w:ascii="Verdana" w:hAnsi="Verdana"/>
                <w:sz w:val="20"/>
                <w:szCs w:val="20"/>
              </w:rPr>
            </w:pPr>
            <w:r w:rsidRPr="00B255BC">
              <w:rPr>
                <w:rFonts w:ascii="Verdana" w:hAnsi="Verdana"/>
                <w:sz w:val="20"/>
                <w:szCs w:val="20"/>
              </w:rPr>
              <w:t>3.9%</w:t>
            </w:r>
          </w:p>
        </w:tc>
      </w:tr>
      <w:tr w:rsidR="00B255BC" w:rsidRPr="00147345" w:rsidTr="00672174">
        <w:trPr>
          <w:trHeight w:val="285"/>
          <w:jc w:val="center"/>
        </w:trPr>
        <w:tc>
          <w:tcPr>
            <w:tcW w:w="3936" w:type="dxa"/>
            <w:noWrap/>
            <w:hideMark/>
          </w:tcPr>
          <w:p w:rsidR="00B255BC" w:rsidRPr="00B255BC" w:rsidRDefault="00B255BC" w:rsidP="00B255BC">
            <w:pPr>
              <w:rPr>
                <w:rFonts w:ascii="Verdana" w:hAnsi="Verdana"/>
                <w:sz w:val="20"/>
                <w:szCs w:val="20"/>
              </w:rPr>
            </w:pPr>
            <w:r w:rsidRPr="00B255BC">
              <w:rPr>
                <w:rFonts w:ascii="Verdana" w:hAnsi="Verdana"/>
                <w:sz w:val="20"/>
                <w:szCs w:val="20"/>
              </w:rPr>
              <w:t>New England North West</w:t>
            </w:r>
          </w:p>
        </w:tc>
        <w:tc>
          <w:tcPr>
            <w:tcW w:w="960" w:type="dxa"/>
            <w:noWrap/>
            <w:hideMark/>
          </w:tcPr>
          <w:p w:rsidR="00B255BC" w:rsidRPr="00B255BC" w:rsidRDefault="00B255BC" w:rsidP="00B255BC">
            <w:pPr>
              <w:jc w:val="center"/>
              <w:rPr>
                <w:rFonts w:ascii="Verdana" w:hAnsi="Verdana"/>
                <w:sz w:val="20"/>
                <w:szCs w:val="20"/>
              </w:rPr>
            </w:pPr>
            <w:r w:rsidRPr="00B255BC">
              <w:rPr>
                <w:rFonts w:ascii="Verdana" w:hAnsi="Verdana"/>
                <w:sz w:val="20"/>
                <w:szCs w:val="20"/>
              </w:rPr>
              <w:t>14</w:t>
            </w:r>
          </w:p>
        </w:tc>
        <w:tc>
          <w:tcPr>
            <w:tcW w:w="970" w:type="dxa"/>
            <w:noWrap/>
            <w:hideMark/>
          </w:tcPr>
          <w:p w:rsidR="00B255BC" w:rsidRPr="00B255BC" w:rsidRDefault="00B255BC" w:rsidP="00B255BC">
            <w:pPr>
              <w:jc w:val="center"/>
              <w:rPr>
                <w:rFonts w:ascii="Verdana" w:hAnsi="Verdana"/>
                <w:sz w:val="20"/>
                <w:szCs w:val="20"/>
              </w:rPr>
            </w:pPr>
            <w:r w:rsidRPr="00B255BC">
              <w:rPr>
                <w:rFonts w:ascii="Verdana" w:hAnsi="Verdana"/>
                <w:sz w:val="20"/>
                <w:szCs w:val="20"/>
              </w:rPr>
              <w:t>7.8%</w:t>
            </w:r>
          </w:p>
        </w:tc>
      </w:tr>
      <w:tr w:rsidR="00B255BC" w:rsidRPr="00147345" w:rsidTr="00672174">
        <w:trPr>
          <w:trHeight w:val="285"/>
          <w:jc w:val="center"/>
        </w:trPr>
        <w:tc>
          <w:tcPr>
            <w:tcW w:w="3936" w:type="dxa"/>
            <w:noWrap/>
            <w:hideMark/>
          </w:tcPr>
          <w:p w:rsidR="00B255BC" w:rsidRPr="00B255BC" w:rsidRDefault="00B255BC" w:rsidP="00B255BC">
            <w:pPr>
              <w:rPr>
                <w:rFonts w:ascii="Verdana" w:hAnsi="Verdana"/>
                <w:sz w:val="20"/>
                <w:szCs w:val="20"/>
              </w:rPr>
            </w:pPr>
            <w:r w:rsidRPr="00B255BC">
              <w:rPr>
                <w:rFonts w:ascii="Verdana" w:hAnsi="Verdana"/>
                <w:sz w:val="20"/>
                <w:szCs w:val="20"/>
              </w:rPr>
              <w:t>Northern Rivers</w:t>
            </w:r>
          </w:p>
        </w:tc>
        <w:tc>
          <w:tcPr>
            <w:tcW w:w="960" w:type="dxa"/>
            <w:noWrap/>
            <w:hideMark/>
          </w:tcPr>
          <w:p w:rsidR="00B255BC" w:rsidRPr="00B255BC" w:rsidRDefault="00B255BC" w:rsidP="00B255BC">
            <w:pPr>
              <w:jc w:val="center"/>
              <w:rPr>
                <w:rFonts w:ascii="Verdana" w:hAnsi="Verdana"/>
                <w:sz w:val="20"/>
                <w:szCs w:val="20"/>
              </w:rPr>
            </w:pPr>
            <w:r w:rsidRPr="00B255BC">
              <w:rPr>
                <w:rFonts w:ascii="Verdana" w:hAnsi="Verdana"/>
                <w:sz w:val="20"/>
                <w:szCs w:val="20"/>
              </w:rPr>
              <w:t>15</w:t>
            </w:r>
          </w:p>
        </w:tc>
        <w:tc>
          <w:tcPr>
            <w:tcW w:w="970" w:type="dxa"/>
            <w:noWrap/>
            <w:hideMark/>
          </w:tcPr>
          <w:p w:rsidR="00B255BC" w:rsidRPr="00B255BC" w:rsidRDefault="00B255BC" w:rsidP="00B255BC">
            <w:pPr>
              <w:jc w:val="center"/>
              <w:rPr>
                <w:rFonts w:ascii="Verdana" w:hAnsi="Verdana"/>
                <w:sz w:val="20"/>
                <w:szCs w:val="20"/>
              </w:rPr>
            </w:pPr>
            <w:r w:rsidRPr="00B255BC">
              <w:rPr>
                <w:rFonts w:ascii="Verdana" w:hAnsi="Verdana"/>
                <w:sz w:val="20"/>
                <w:szCs w:val="20"/>
              </w:rPr>
              <w:t>8.4%</w:t>
            </w:r>
          </w:p>
        </w:tc>
      </w:tr>
      <w:tr w:rsidR="00B255BC" w:rsidRPr="00147345" w:rsidTr="00672174">
        <w:trPr>
          <w:trHeight w:val="285"/>
          <w:jc w:val="center"/>
        </w:trPr>
        <w:tc>
          <w:tcPr>
            <w:tcW w:w="3936" w:type="dxa"/>
            <w:noWrap/>
            <w:hideMark/>
          </w:tcPr>
          <w:p w:rsidR="00B255BC" w:rsidRPr="00B255BC" w:rsidRDefault="00B255BC" w:rsidP="00B255BC">
            <w:pPr>
              <w:rPr>
                <w:rFonts w:ascii="Verdana" w:hAnsi="Verdana"/>
                <w:sz w:val="20"/>
                <w:szCs w:val="20"/>
              </w:rPr>
            </w:pPr>
            <w:r w:rsidRPr="00B255BC">
              <w:rPr>
                <w:rFonts w:ascii="Verdana" w:hAnsi="Verdana"/>
                <w:sz w:val="20"/>
                <w:szCs w:val="20"/>
              </w:rPr>
              <w:t>Riverina</w:t>
            </w:r>
          </w:p>
        </w:tc>
        <w:tc>
          <w:tcPr>
            <w:tcW w:w="960" w:type="dxa"/>
            <w:noWrap/>
            <w:hideMark/>
          </w:tcPr>
          <w:p w:rsidR="00B255BC" w:rsidRPr="00B255BC" w:rsidRDefault="00B255BC" w:rsidP="00B255BC">
            <w:pPr>
              <w:jc w:val="center"/>
              <w:rPr>
                <w:rFonts w:ascii="Verdana" w:hAnsi="Verdana"/>
                <w:sz w:val="20"/>
                <w:szCs w:val="20"/>
              </w:rPr>
            </w:pPr>
            <w:r w:rsidRPr="00B255BC">
              <w:rPr>
                <w:rFonts w:ascii="Verdana" w:hAnsi="Verdana"/>
                <w:sz w:val="20"/>
                <w:szCs w:val="20"/>
              </w:rPr>
              <w:t>12</w:t>
            </w:r>
          </w:p>
        </w:tc>
        <w:tc>
          <w:tcPr>
            <w:tcW w:w="970" w:type="dxa"/>
            <w:noWrap/>
            <w:hideMark/>
          </w:tcPr>
          <w:p w:rsidR="00B255BC" w:rsidRPr="00B255BC" w:rsidRDefault="00B255BC" w:rsidP="00B255BC">
            <w:pPr>
              <w:jc w:val="center"/>
              <w:rPr>
                <w:rFonts w:ascii="Verdana" w:hAnsi="Verdana"/>
                <w:sz w:val="20"/>
                <w:szCs w:val="20"/>
              </w:rPr>
            </w:pPr>
            <w:r w:rsidRPr="00B255BC">
              <w:rPr>
                <w:rFonts w:ascii="Verdana" w:hAnsi="Verdana"/>
                <w:sz w:val="20"/>
                <w:szCs w:val="20"/>
              </w:rPr>
              <w:t>6.7%</w:t>
            </w:r>
          </w:p>
        </w:tc>
      </w:tr>
      <w:tr w:rsidR="00B255BC" w:rsidRPr="00147345" w:rsidTr="00672174">
        <w:trPr>
          <w:trHeight w:val="285"/>
          <w:jc w:val="center"/>
        </w:trPr>
        <w:tc>
          <w:tcPr>
            <w:tcW w:w="3936" w:type="dxa"/>
            <w:noWrap/>
            <w:hideMark/>
          </w:tcPr>
          <w:p w:rsidR="00B255BC" w:rsidRPr="00B255BC" w:rsidRDefault="00B255BC" w:rsidP="00B255BC">
            <w:pPr>
              <w:rPr>
                <w:rFonts w:ascii="Verdana" w:hAnsi="Verdana"/>
                <w:sz w:val="20"/>
                <w:szCs w:val="20"/>
              </w:rPr>
            </w:pPr>
            <w:r w:rsidRPr="00B255BC">
              <w:rPr>
                <w:rFonts w:ascii="Verdana" w:hAnsi="Verdana"/>
                <w:sz w:val="20"/>
                <w:szCs w:val="20"/>
              </w:rPr>
              <w:t>Western Sydney</w:t>
            </w:r>
          </w:p>
        </w:tc>
        <w:tc>
          <w:tcPr>
            <w:tcW w:w="960" w:type="dxa"/>
            <w:noWrap/>
            <w:hideMark/>
          </w:tcPr>
          <w:p w:rsidR="00B255BC" w:rsidRPr="00B255BC" w:rsidRDefault="00B255BC" w:rsidP="00B255BC">
            <w:pPr>
              <w:jc w:val="center"/>
              <w:rPr>
                <w:rFonts w:ascii="Verdana" w:hAnsi="Verdana"/>
                <w:sz w:val="20"/>
                <w:szCs w:val="20"/>
              </w:rPr>
            </w:pPr>
            <w:r w:rsidRPr="00B255BC">
              <w:rPr>
                <w:rFonts w:ascii="Verdana" w:hAnsi="Verdana"/>
                <w:sz w:val="20"/>
                <w:szCs w:val="20"/>
              </w:rPr>
              <w:t>15</w:t>
            </w:r>
          </w:p>
        </w:tc>
        <w:tc>
          <w:tcPr>
            <w:tcW w:w="970" w:type="dxa"/>
            <w:noWrap/>
            <w:hideMark/>
          </w:tcPr>
          <w:p w:rsidR="00B255BC" w:rsidRPr="00B255BC" w:rsidRDefault="00B255BC" w:rsidP="00B255BC">
            <w:pPr>
              <w:jc w:val="center"/>
              <w:rPr>
                <w:rFonts w:ascii="Verdana" w:hAnsi="Verdana"/>
                <w:sz w:val="20"/>
                <w:szCs w:val="20"/>
              </w:rPr>
            </w:pPr>
            <w:r w:rsidRPr="00B255BC">
              <w:rPr>
                <w:rFonts w:ascii="Verdana" w:hAnsi="Verdana"/>
                <w:sz w:val="20"/>
                <w:szCs w:val="20"/>
              </w:rPr>
              <w:t>8.4%</w:t>
            </w:r>
          </w:p>
        </w:tc>
      </w:tr>
    </w:tbl>
    <w:p w:rsidR="00C746AE" w:rsidRPr="00147345" w:rsidRDefault="00C746AE">
      <w:pPr>
        <w:spacing w:after="0" w:line="240" w:lineRule="auto"/>
        <w:rPr>
          <w:rStyle w:val="Heading1Char"/>
          <w:color w:val="auto"/>
          <w:highlight w:val="cyan"/>
        </w:rPr>
      </w:pPr>
    </w:p>
    <w:tbl>
      <w:tblPr>
        <w:tblStyle w:val="TableGrid"/>
        <w:tblW w:w="0" w:type="auto"/>
        <w:jc w:val="center"/>
        <w:tblLook w:val="04A0" w:firstRow="1" w:lastRow="0" w:firstColumn="1" w:lastColumn="0" w:noHBand="0" w:noVBand="1"/>
      </w:tblPr>
      <w:tblGrid>
        <w:gridCol w:w="3916"/>
        <w:gridCol w:w="993"/>
        <w:gridCol w:w="1079"/>
      </w:tblGrid>
      <w:tr w:rsidR="00C746AE" w:rsidRPr="00147345" w:rsidTr="00B255BC">
        <w:trPr>
          <w:trHeight w:val="285"/>
          <w:jc w:val="center"/>
        </w:trPr>
        <w:tc>
          <w:tcPr>
            <w:tcW w:w="3916" w:type="dxa"/>
            <w:noWrap/>
            <w:hideMark/>
          </w:tcPr>
          <w:p w:rsidR="00C746AE" w:rsidRPr="00B255BC" w:rsidRDefault="00C746AE" w:rsidP="00672174">
            <w:pPr>
              <w:pStyle w:val="Heading3"/>
              <w:spacing w:line="276" w:lineRule="auto"/>
              <w:jc w:val="center"/>
              <w:outlineLvl w:val="2"/>
              <w:rPr>
                <w:color w:val="auto"/>
                <w:szCs w:val="20"/>
              </w:rPr>
            </w:pPr>
            <w:r w:rsidRPr="00B255BC">
              <w:rPr>
                <w:color w:val="auto"/>
                <w:szCs w:val="20"/>
              </w:rPr>
              <w:t>ANNUAL TURNOVER</w:t>
            </w:r>
          </w:p>
        </w:tc>
        <w:tc>
          <w:tcPr>
            <w:tcW w:w="993" w:type="dxa"/>
            <w:noWrap/>
            <w:hideMark/>
          </w:tcPr>
          <w:p w:rsidR="00C746AE" w:rsidRPr="00B255BC" w:rsidRDefault="00C746AE" w:rsidP="00672174">
            <w:pPr>
              <w:pStyle w:val="Heading3"/>
              <w:spacing w:line="276" w:lineRule="auto"/>
              <w:jc w:val="center"/>
              <w:outlineLvl w:val="2"/>
              <w:rPr>
                <w:color w:val="auto"/>
                <w:szCs w:val="20"/>
              </w:rPr>
            </w:pPr>
            <w:r w:rsidRPr="00B255BC">
              <w:rPr>
                <w:color w:val="auto"/>
                <w:szCs w:val="20"/>
              </w:rPr>
              <w:t>n</w:t>
            </w:r>
          </w:p>
        </w:tc>
        <w:tc>
          <w:tcPr>
            <w:tcW w:w="1079" w:type="dxa"/>
            <w:noWrap/>
            <w:hideMark/>
          </w:tcPr>
          <w:p w:rsidR="00C746AE" w:rsidRPr="00B255BC" w:rsidRDefault="00C746AE" w:rsidP="00672174">
            <w:pPr>
              <w:pStyle w:val="Heading3"/>
              <w:spacing w:line="276" w:lineRule="auto"/>
              <w:jc w:val="center"/>
              <w:outlineLvl w:val="2"/>
              <w:rPr>
                <w:color w:val="auto"/>
                <w:szCs w:val="20"/>
              </w:rPr>
            </w:pPr>
            <w:r w:rsidRPr="00B255BC">
              <w:rPr>
                <w:color w:val="auto"/>
                <w:szCs w:val="20"/>
              </w:rPr>
              <w:t>%</w:t>
            </w:r>
          </w:p>
        </w:tc>
      </w:tr>
      <w:tr w:rsidR="00B255BC" w:rsidRPr="00147345" w:rsidTr="00B255BC">
        <w:trPr>
          <w:trHeight w:val="285"/>
          <w:jc w:val="center"/>
        </w:trPr>
        <w:tc>
          <w:tcPr>
            <w:tcW w:w="3916" w:type="dxa"/>
            <w:noWrap/>
            <w:hideMark/>
          </w:tcPr>
          <w:p w:rsidR="00B255BC" w:rsidRPr="00B255BC" w:rsidRDefault="00B255BC" w:rsidP="00B255BC">
            <w:pPr>
              <w:rPr>
                <w:rFonts w:ascii="Verdana" w:hAnsi="Verdana"/>
                <w:sz w:val="20"/>
                <w:szCs w:val="20"/>
              </w:rPr>
            </w:pPr>
            <w:r w:rsidRPr="00B255BC">
              <w:rPr>
                <w:rFonts w:ascii="Verdana" w:hAnsi="Verdana"/>
                <w:sz w:val="20"/>
                <w:szCs w:val="20"/>
              </w:rPr>
              <w:t xml:space="preserve">Unknown </w:t>
            </w:r>
          </w:p>
        </w:tc>
        <w:tc>
          <w:tcPr>
            <w:tcW w:w="993" w:type="dxa"/>
            <w:noWrap/>
            <w:hideMark/>
          </w:tcPr>
          <w:p w:rsidR="00B255BC" w:rsidRPr="00B255BC" w:rsidRDefault="00B255BC" w:rsidP="00B255BC">
            <w:pPr>
              <w:jc w:val="center"/>
              <w:rPr>
                <w:rFonts w:ascii="Verdana" w:hAnsi="Verdana"/>
                <w:sz w:val="20"/>
                <w:szCs w:val="20"/>
              </w:rPr>
            </w:pPr>
            <w:r w:rsidRPr="00B255BC">
              <w:rPr>
                <w:rFonts w:ascii="Verdana" w:hAnsi="Verdana"/>
                <w:sz w:val="20"/>
                <w:szCs w:val="20"/>
              </w:rPr>
              <w:t>1</w:t>
            </w:r>
          </w:p>
        </w:tc>
        <w:tc>
          <w:tcPr>
            <w:tcW w:w="1079" w:type="dxa"/>
            <w:noWrap/>
            <w:hideMark/>
          </w:tcPr>
          <w:p w:rsidR="00B255BC" w:rsidRPr="00B255BC" w:rsidRDefault="00B255BC" w:rsidP="00B255BC">
            <w:pPr>
              <w:jc w:val="center"/>
              <w:rPr>
                <w:rFonts w:ascii="Verdana" w:hAnsi="Verdana"/>
                <w:sz w:val="20"/>
                <w:szCs w:val="20"/>
              </w:rPr>
            </w:pPr>
            <w:r w:rsidRPr="00B255BC">
              <w:rPr>
                <w:rFonts w:ascii="Verdana" w:hAnsi="Verdana"/>
                <w:sz w:val="20"/>
                <w:szCs w:val="20"/>
              </w:rPr>
              <w:t>0.6%</w:t>
            </w:r>
          </w:p>
        </w:tc>
      </w:tr>
      <w:tr w:rsidR="00B255BC" w:rsidRPr="00147345" w:rsidTr="00B255BC">
        <w:trPr>
          <w:trHeight w:val="285"/>
          <w:jc w:val="center"/>
        </w:trPr>
        <w:tc>
          <w:tcPr>
            <w:tcW w:w="3916" w:type="dxa"/>
            <w:noWrap/>
            <w:hideMark/>
          </w:tcPr>
          <w:p w:rsidR="00B255BC" w:rsidRPr="00B255BC" w:rsidRDefault="00B255BC" w:rsidP="00B255BC">
            <w:pPr>
              <w:rPr>
                <w:rFonts w:ascii="Verdana" w:hAnsi="Verdana"/>
                <w:sz w:val="20"/>
                <w:szCs w:val="20"/>
              </w:rPr>
            </w:pPr>
            <w:r w:rsidRPr="00B255BC">
              <w:rPr>
                <w:rFonts w:ascii="Verdana" w:hAnsi="Verdana"/>
                <w:sz w:val="20"/>
                <w:szCs w:val="20"/>
              </w:rPr>
              <w:t>$0 to $250,000</w:t>
            </w:r>
          </w:p>
        </w:tc>
        <w:tc>
          <w:tcPr>
            <w:tcW w:w="993" w:type="dxa"/>
            <w:noWrap/>
            <w:hideMark/>
          </w:tcPr>
          <w:p w:rsidR="00B255BC" w:rsidRPr="00B255BC" w:rsidRDefault="00B255BC" w:rsidP="00B255BC">
            <w:pPr>
              <w:jc w:val="center"/>
              <w:rPr>
                <w:rFonts w:ascii="Verdana" w:hAnsi="Verdana"/>
                <w:sz w:val="20"/>
                <w:szCs w:val="20"/>
              </w:rPr>
            </w:pPr>
            <w:r w:rsidRPr="00B255BC">
              <w:rPr>
                <w:rFonts w:ascii="Verdana" w:hAnsi="Verdana"/>
                <w:sz w:val="20"/>
                <w:szCs w:val="20"/>
              </w:rPr>
              <w:t>12</w:t>
            </w:r>
          </w:p>
        </w:tc>
        <w:tc>
          <w:tcPr>
            <w:tcW w:w="1079" w:type="dxa"/>
            <w:noWrap/>
            <w:hideMark/>
          </w:tcPr>
          <w:p w:rsidR="00B255BC" w:rsidRPr="00B255BC" w:rsidRDefault="00B255BC" w:rsidP="00B255BC">
            <w:pPr>
              <w:jc w:val="center"/>
              <w:rPr>
                <w:rFonts w:ascii="Verdana" w:hAnsi="Verdana"/>
                <w:sz w:val="20"/>
                <w:szCs w:val="20"/>
              </w:rPr>
            </w:pPr>
            <w:r w:rsidRPr="00B255BC">
              <w:rPr>
                <w:rFonts w:ascii="Verdana" w:hAnsi="Verdana"/>
                <w:sz w:val="20"/>
                <w:szCs w:val="20"/>
              </w:rPr>
              <w:t>6.7%</w:t>
            </w:r>
          </w:p>
        </w:tc>
      </w:tr>
      <w:tr w:rsidR="00B255BC" w:rsidRPr="00147345" w:rsidTr="00B255BC">
        <w:trPr>
          <w:trHeight w:val="285"/>
          <w:jc w:val="center"/>
        </w:trPr>
        <w:tc>
          <w:tcPr>
            <w:tcW w:w="3916" w:type="dxa"/>
            <w:noWrap/>
            <w:hideMark/>
          </w:tcPr>
          <w:p w:rsidR="00B255BC" w:rsidRPr="00B255BC" w:rsidRDefault="00B255BC" w:rsidP="00B255BC">
            <w:pPr>
              <w:rPr>
                <w:rFonts w:ascii="Verdana" w:hAnsi="Verdana"/>
                <w:sz w:val="20"/>
                <w:szCs w:val="20"/>
              </w:rPr>
            </w:pPr>
            <w:r w:rsidRPr="00B255BC">
              <w:rPr>
                <w:rFonts w:ascii="Verdana" w:hAnsi="Verdana"/>
                <w:sz w:val="20"/>
                <w:szCs w:val="20"/>
              </w:rPr>
              <w:t>$250,001 to $500,000</w:t>
            </w:r>
          </w:p>
        </w:tc>
        <w:tc>
          <w:tcPr>
            <w:tcW w:w="993" w:type="dxa"/>
            <w:noWrap/>
            <w:hideMark/>
          </w:tcPr>
          <w:p w:rsidR="00B255BC" w:rsidRPr="00B255BC" w:rsidRDefault="00B255BC" w:rsidP="00B255BC">
            <w:pPr>
              <w:jc w:val="center"/>
              <w:rPr>
                <w:rFonts w:ascii="Verdana" w:hAnsi="Verdana"/>
                <w:sz w:val="20"/>
                <w:szCs w:val="20"/>
              </w:rPr>
            </w:pPr>
            <w:r w:rsidRPr="00B255BC">
              <w:rPr>
                <w:rFonts w:ascii="Verdana" w:hAnsi="Verdana"/>
                <w:sz w:val="20"/>
                <w:szCs w:val="20"/>
              </w:rPr>
              <w:t>12</w:t>
            </w:r>
          </w:p>
        </w:tc>
        <w:tc>
          <w:tcPr>
            <w:tcW w:w="1079" w:type="dxa"/>
            <w:noWrap/>
            <w:hideMark/>
          </w:tcPr>
          <w:p w:rsidR="00B255BC" w:rsidRPr="00B255BC" w:rsidRDefault="00B255BC" w:rsidP="00B255BC">
            <w:pPr>
              <w:jc w:val="center"/>
              <w:rPr>
                <w:rFonts w:ascii="Verdana" w:hAnsi="Verdana"/>
                <w:sz w:val="20"/>
                <w:szCs w:val="20"/>
              </w:rPr>
            </w:pPr>
            <w:r w:rsidRPr="00B255BC">
              <w:rPr>
                <w:rFonts w:ascii="Verdana" w:hAnsi="Verdana"/>
                <w:sz w:val="20"/>
                <w:szCs w:val="20"/>
              </w:rPr>
              <w:t>6.7%</w:t>
            </w:r>
          </w:p>
        </w:tc>
      </w:tr>
      <w:tr w:rsidR="00B255BC" w:rsidRPr="00147345" w:rsidTr="00B255BC">
        <w:trPr>
          <w:trHeight w:val="285"/>
          <w:jc w:val="center"/>
        </w:trPr>
        <w:tc>
          <w:tcPr>
            <w:tcW w:w="3916" w:type="dxa"/>
            <w:noWrap/>
            <w:hideMark/>
          </w:tcPr>
          <w:p w:rsidR="00B255BC" w:rsidRPr="00B255BC" w:rsidRDefault="00B255BC" w:rsidP="00B255BC">
            <w:pPr>
              <w:rPr>
                <w:rFonts w:ascii="Verdana" w:hAnsi="Verdana"/>
                <w:sz w:val="20"/>
                <w:szCs w:val="20"/>
              </w:rPr>
            </w:pPr>
            <w:r w:rsidRPr="00B255BC">
              <w:rPr>
                <w:rFonts w:ascii="Verdana" w:hAnsi="Verdana"/>
                <w:sz w:val="20"/>
                <w:szCs w:val="20"/>
              </w:rPr>
              <w:t>$500,001 to $1 million</w:t>
            </w:r>
          </w:p>
        </w:tc>
        <w:tc>
          <w:tcPr>
            <w:tcW w:w="993" w:type="dxa"/>
            <w:noWrap/>
            <w:hideMark/>
          </w:tcPr>
          <w:p w:rsidR="00B255BC" w:rsidRPr="00B255BC" w:rsidRDefault="00B255BC" w:rsidP="00B255BC">
            <w:pPr>
              <w:jc w:val="center"/>
              <w:rPr>
                <w:rFonts w:ascii="Verdana" w:hAnsi="Verdana"/>
                <w:sz w:val="20"/>
                <w:szCs w:val="20"/>
              </w:rPr>
            </w:pPr>
            <w:r w:rsidRPr="00B255BC">
              <w:rPr>
                <w:rFonts w:ascii="Verdana" w:hAnsi="Verdana"/>
                <w:sz w:val="20"/>
                <w:szCs w:val="20"/>
              </w:rPr>
              <w:t>31</w:t>
            </w:r>
          </w:p>
        </w:tc>
        <w:tc>
          <w:tcPr>
            <w:tcW w:w="1079" w:type="dxa"/>
            <w:noWrap/>
            <w:hideMark/>
          </w:tcPr>
          <w:p w:rsidR="00B255BC" w:rsidRPr="00B255BC" w:rsidRDefault="00B255BC" w:rsidP="00B255BC">
            <w:pPr>
              <w:jc w:val="center"/>
              <w:rPr>
                <w:rFonts w:ascii="Verdana" w:hAnsi="Verdana"/>
                <w:sz w:val="20"/>
                <w:szCs w:val="20"/>
              </w:rPr>
            </w:pPr>
            <w:r w:rsidRPr="00B255BC">
              <w:rPr>
                <w:rFonts w:ascii="Verdana" w:hAnsi="Verdana"/>
                <w:sz w:val="20"/>
                <w:szCs w:val="20"/>
              </w:rPr>
              <w:t>17.3%</w:t>
            </w:r>
          </w:p>
        </w:tc>
      </w:tr>
      <w:tr w:rsidR="00B255BC" w:rsidRPr="00147345" w:rsidTr="00B255BC">
        <w:trPr>
          <w:trHeight w:val="285"/>
          <w:jc w:val="center"/>
        </w:trPr>
        <w:tc>
          <w:tcPr>
            <w:tcW w:w="3916" w:type="dxa"/>
            <w:noWrap/>
            <w:hideMark/>
          </w:tcPr>
          <w:p w:rsidR="00B255BC" w:rsidRPr="00B255BC" w:rsidRDefault="00B255BC" w:rsidP="00B255BC">
            <w:pPr>
              <w:rPr>
                <w:rFonts w:ascii="Verdana" w:hAnsi="Verdana"/>
                <w:sz w:val="20"/>
                <w:szCs w:val="20"/>
              </w:rPr>
            </w:pPr>
            <w:r w:rsidRPr="00B255BC">
              <w:rPr>
                <w:rFonts w:ascii="Verdana" w:hAnsi="Verdana"/>
                <w:sz w:val="20"/>
                <w:szCs w:val="20"/>
              </w:rPr>
              <w:t>$1.0 million to $2.0 million</w:t>
            </w:r>
          </w:p>
        </w:tc>
        <w:tc>
          <w:tcPr>
            <w:tcW w:w="993" w:type="dxa"/>
            <w:noWrap/>
            <w:hideMark/>
          </w:tcPr>
          <w:p w:rsidR="00B255BC" w:rsidRPr="00B255BC" w:rsidRDefault="00B255BC" w:rsidP="00B255BC">
            <w:pPr>
              <w:jc w:val="center"/>
              <w:rPr>
                <w:rFonts w:ascii="Verdana" w:hAnsi="Verdana"/>
                <w:sz w:val="20"/>
                <w:szCs w:val="20"/>
              </w:rPr>
            </w:pPr>
            <w:r w:rsidRPr="00B255BC">
              <w:rPr>
                <w:rFonts w:ascii="Verdana" w:hAnsi="Verdana"/>
                <w:sz w:val="20"/>
                <w:szCs w:val="20"/>
              </w:rPr>
              <w:t>28</w:t>
            </w:r>
          </w:p>
        </w:tc>
        <w:tc>
          <w:tcPr>
            <w:tcW w:w="1079" w:type="dxa"/>
            <w:noWrap/>
            <w:hideMark/>
          </w:tcPr>
          <w:p w:rsidR="00B255BC" w:rsidRPr="00B255BC" w:rsidRDefault="00B255BC" w:rsidP="00B255BC">
            <w:pPr>
              <w:jc w:val="center"/>
              <w:rPr>
                <w:rFonts w:ascii="Verdana" w:hAnsi="Verdana"/>
                <w:sz w:val="20"/>
                <w:szCs w:val="20"/>
              </w:rPr>
            </w:pPr>
            <w:r w:rsidRPr="00B255BC">
              <w:rPr>
                <w:rFonts w:ascii="Verdana" w:hAnsi="Verdana"/>
                <w:sz w:val="20"/>
                <w:szCs w:val="20"/>
              </w:rPr>
              <w:t>15.6%</w:t>
            </w:r>
          </w:p>
        </w:tc>
      </w:tr>
      <w:tr w:rsidR="00B255BC" w:rsidRPr="00147345" w:rsidTr="00B255BC">
        <w:trPr>
          <w:trHeight w:val="285"/>
          <w:jc w:val="center"/>
        </w:trPr>
        <w:tc>
          <w:tcPr>
            <w:tcW w:w="3916" w:type="dxa"/>
            <w:noWrap/>
            <w:hideMark/>
          </w:tcPr>
          <w:p w:rsidR="00B255BC" w:rsidRPr="00B255BC" w:rsidRDefault="00B255BC" w:rsidP="00B255BC">
            <w:pPr>
              <w:rPr>
                <w:rFonts w:ascii="Verdana" w:hAnsi="Verdana"/>
                <w:sz w:val="20"/>
                <w:szCs w:val="20"/>
              </w:rPr>
            </w:pPr>
            <w:r w:rsidRPr="00B255BC">
              <w:rPr>
                <w:rFonts w:ascii="Verdana" w:hAnsi="Verdana"/>
                <w:sz w:val="20"/>
                <w:szCs w:val="20"/>
              </w:rPr>
              <w:t>$2.0 million to $5.0 million</w:t>
            </w:r>
          </w:p>
        </w:tc>
        <w:tc>
          <w:tcPr>
            <w:tcW w:w="993" w:type="dxa"/>
            <w:noWrap/>
            <w:hideMark/>
          </w:tcPr>
          <w:p w:rsidR="00B255BC" w:rsidRPr="00B255BC" w:rsidRDefault="00B255BC" w:rsidP="00B255BC">
            <w:pPr>
              <w:jc w:val="center"/>
              <w:rPr>
                <w:rFonts w:ascii="Verdana" w:hAnsi="Verdana"/>
                <w:sz w:val="20"/>
                <w:szCs w:val="20"/>
              </w:rPr>
            </w:pPr>
            <w:r w:rsidRPr="00B255BC">
              <w:rPr>
                <w:rFonts w:ascii="Verdana" w:hAnsi="Verdana"/>
                <w:sz w:val="20"/>
                <w:szCs w:val="20"/>
              </w:rPr>
              <w:t>27</w:t>
            </w:r>
          </w:p>
        </w:tc>
        <w:tc>
          <w:tcPr>
            <w:tcW w:w="1079" w:type="dxa"/>
            <w:noWrap/>
            <w:hideMark/>
          </w:tcPr>
          <w:p w:rsidR="00B255BC" w:rsidRPr="00B255BC" w:rsidRDefault="00B255BC" w:rsidP="00B255BC">
            <w:pPr>
              <w:jc w:val="center"/>
              <w:rPr>
                <w:rFonts w:ascii="Verdana" w:hAnsi="Verdana"/>
                <w:sz w:val="20"/>
                <w:szCs w:val="20"/>
              </w:rPr>
            </w:pPr>
            <w:r w:rsidRPr="00B255BC">
              <w:rPr>
                <w:rFonts w:ascii="Verdana" w:hAnsi="Verdana"/>
                <w:sz w:val="20"/>
                <w:szCs w:val="20"/>
              </w:rPr>
              <w:t>15.1%</w:t>
            </w:r>
          </w:p>
        </w:tc>
      </w:tr>
      <w:tr w:rsidR="00B255BC" w:rsidRPr="00147345" w:rsidTr="00B255BC">
        <w:trPr>
          <w:trHeight w:val="285"/>
          <w:jc w:val="center"/>
        </w:trPr>
        <w:tc>
          <w:tcPr>
            <w:tcW w:w="3916" w:type="dxa"/>
            <w:noWrap/>
            <w:hideMark/>
          </w:tcPr>
          <w:p w:rsidR="00B255BC" w:rsidRPr="00B255BC" w:rsidRDefault="00B255BC" w:rsidP="00B255BC">
            <w:pPr>
              <w:rPr>
                <w:rFonts w:ascii="Verdana" w:hAnsi="Verdana"/>
                <w:sz w:val="20"/>
                <w:szCs w:val="20"/>
              </w:rPr>
            </w:pPr>
            <w:r w:rsidRPr="00B255BC">
              <w:rPr>
                <w:rFonts w:ascii="Verdana" w:hAnsi="Verdana"/>
                <w:sz w:val="20"/>
                <w:szCs w:val="20"/>
              </w:rPr>
              <w:t>$5.0 million to $10.0 million</w:t>
            </w:r>
          </w:p>
        </w:tc>
        <w:tc>
          <w:tcPr>
            <w:tcW w:w="993" w:type="dxa"/>
            <w:noWrap/>
            <w:hideMark/>
          </w:tcPr>
          <w:p w:rsidR="00B255BC" w:rsidRPr="00B255BC" w:rsidRDefault="00B255BC" w:rsidP="00B255BC">
            <w:pPr>
              <w:jc w:val="center"/>
              <w:rPr>
                <w:rFonts w:ascii="Verdana" w:hAnsi="Verdana"/>
                <w:sz w:val="20"/>
                <w:szCs w:val="20"/>
              </w:rPr>
            </w:pPr>
            <w:r w:rsidRPr="00B255BC">
              <w:rPr>
                <w:rFonts w:ascii="Verdana" w:hAnsi="Verdana"/>
                <w:sz w:val="20"/>
                <w:szCs w:val="20"/>
              </w:rPr>
              <w:t>27</w:t>
            </w:r>
          </w:p>
        </w:tc>
        <w:tc>
          <w:tcPr>
            <w:tcW w:w="1079" w:type="dxa"/>
            <w:noWrap/>
            <w:hideMark/>
          </w:tcPr>
          <w:p w:rsidR="00B255BC" w:rsidRPr="00B255BC" w:rsidRDefault="00B255BC" w:rsidP="00B255BC">
            <w:pPr>
              <w:jc w:val="center"/>
              <w:rPr>
                <w:rFonts w:ascii="Verdana" w:hAnsi="Verdana"/>
                <w:sz w:val="20"/>
                <w:szCs w:val="20"/>
              </w:rPr>
            </w:pPr>
            <w:r w:rsidRPr="00B255BC">
              <w:rPr>
                <w:rFonts w:ascii="Verdana" w:hAnsi="Verdana"/>
                <w:sz w:val="20"/>
                <w:szCs w:val="20"/>
              </w:rPr>
              <w:t>15.1%</w:t>
            </w:r>
          </w:p>
        </w:tc>
      </w:tr>
      <w:tr w:rsidR="00B255BC" w:rsidRPr="00147345" w:rsidTr="00B255BC">
        <w:trPr>
          <w:trHeight w:val="285"/>
          <w:jc w:val="center"/>
        </w:trPr>
        <w:tc>
          <w:tcPr>
            <w:tcW w:w="3916" w:type="dxa"/>
            <w:noWrap/>
            <w:hideMark/>
          </w:tcPr>
          <w:p w:rsidR="00B255BC" w:rsidRPr="00B255BC" w:rsidRDefault="00B255BC" w:rsidP="00B255BC">
            <w:pPr>
              <w:rPr>
                <w:rFonts w:ascii="Verdana" w:hAnsi="Verdana"/>
                <w:sz w:val="20"/>
                <w:szCs w:val="20"/>
              </w:rPr>
            </w:pPr>
            <w:r w:rsidRPr="00B255BC">
              <w:rPr>
                <w:rFonts w:ascii="Verdana" w:hAnsi="Verdana"/>
                <w:sz w:val="20"/>
                <w:szCs w:val="20"/>
              </w:rPr>
              <w:t>$10.0 million to $20.0 million</w:t>
            </w:r>
          </w:p>
        </w:tc>
        <w:tc>
          <w:tcPr>
            <w:tcW w:w="993" w:type="dxa"/>
            <w:noWrap/>
            <w:hideMark/>
          </w:tcPr>
          <w:p w:rsidR="00B255BC" w:rsidRPr="00B255BC" w:rsidRDefault="00B255BC" w:rsidP="00B255BC">
            <w:pPr>
              <w:jc w:val="center"/>
              <w:rPr>
                <w:rFonts w:ascii="Verdana" w:hAnsi="Verdana"/>
                <w:sz w:val="20"/>
                <w:szCs w:val="20"/>
              </w:rPr>
            </w:pPr>
            <w:r w:rsidRPr="00B255BC">
              <w:rPr>
                <w:rFonts w:ascii="Verdana" w:hAnsi="Verdana"/>
                <w:sz w:val="20"/>
                <w:szCs w:val="20"/>
              </w:rPr>
              <w:t>18</w:t>
            </w:r>
          </w:p>
        </w:tc>
        <w:tc>
          <w:tcPr>
            <w:tcW w:w="1079" w:type="dxa"/>
            <w:noWrap/>
            <w:hideMark/>
          </w:tcPr>
          <w:p w:rsidR="00B255BC" w:rsidRPr="00B255BC" w:rsidRDefault="00B255BC" w:rsidP="00B255BC">
            <w:pPr>
              <w:jc w:val="center"/>
              <w:rPr>
                <w:rFonts w:ascii="Verdana" w:hAnsi="Verdana"/>
                <w:sz w:val="20"/>
                <w:szCs w:val="20"/>
              </w:rPr>
            </w:pPr>
            <w:r w:rsidRPr="00B255BC">
              <w:rPr>
                <w:rFonts w:ascii="Verdana" w:hAnsi="Verdana"/>
                <w:sz w:val="20"/>
                <w:szCs w:val="20"/>
              </w:rPr>
              <w:t>10.1%</w:t>
            </w:r>
          </w:p>
        </w:tc>
      </w:tr>
      <w:tr w:rsidR="00B255BC" w:rsidRPr="00147345" w:rsidTr="00B255BC">
        <w:trPr>
          <w:trHeight w:val="285"/>
          <w:jc w:val="center"/>
        </w:trPr>
        <w:tc>
          <w:tcPr>
            <w:tcW w:w="3916" w:type="dxa"/>
            <w:noWrap/>
            <w:hideMark/>
          </w:tcPr>
          <w:p w:rsidR="00B255BC" w:rsidRPr="00B255BC" w:rsidRDefault="00B255BC" w:rsidP="00B255BC">
            <w:pPr>
              <w:rPr>
                <w:rFonts w:ascii="Verdana" w:hAnsi="Verdana"/>
                <w:sz w:val="20"/>
                <w:szCs w:val="20"/>
              </w:rPr>
            </w:pPr>
            <w:r w:rsidRPr="00B255BC">
              <w:rPr>
                <w:rFonts w:ascii="Verdana" w:hAnsi="Verdana"/>
                <w:sz w:val="20"/>
                <w:szCs w:val="20"/>
              </w:rPr>
              <w:t>More than $20.0 million</w:t>
            </w:r>
          </w:p>
        </w:tc>
        <w:tc>
          <w:tcPr>
            <w:tcW w:w="993" w:type="dxa"/>
            <w:noWrap/>
            <w:hideMark/>
          </w:tcPr>
          <w:p w:rsidR="00B255BC" w:rsidRPr="00B255BC" w:rsidRDefault="00B255BC" w:rsidP="00B255BC">
            <w:pPr>
              <w:jc w:val="center"/>
              <w:rPr>
                <w:rFonts w:ascii="Verdana" w:hAnsi="Verdana"/>
                <w:sz w:val="20"/>
                <w:szCs w:val="20"/>
              </w:rPr>
            </w:pPr>
            <w:r w:rsidRPr="00B255BC">
              <w:rPr>
                <w:rFonts w:ascii="Verdana" w:hAnsi="Verdana"/>
                <w:sz w:val="20"/>
                <w:szCs w:val="20"/>
              </w:rPr>
              <w:t>23</w:t>
            </w:r>
          </w:p>
        </w:tc>
        <w:tc>
          <w:tcPr>
            <w:tcW w:w="1079" w:type="dxa"/>
            <w:noWrap/>
            <w:hideMark/>
          </w:tcPr>
          <w:p w:rsidR="00B255BC" w:rsidRPr="00B255BC" w:rsidRDefault="00B255BC" w:rsidP="00B255BC">
            <w:pPr>
              <w:jc w:val="center"/>
              <w:rPr>
                <w:rFonts w:ascii="Verdana" w:hAnsi="Verdana"/>
                <w:sz w:val="20"/>
                <w:szCs w:val="20"/>
              </w:rPr>
            </w:pPr>
            <w:r w:rsidRPr="00B255BC">
              <w:rPr>
                <w:rFonts w:ascii="Verdana" w:hAnsi="Verdana"/>
                <w:sz w:val="20"/>
                <w:szCs w:val="20"/>
              </w:rPr>
              <w:t>12.8%</w:t>
            </w:r>
          </w:p>
        </w:tc>
      </w:tr>
    </w:tbl>
    <w:p w:rsidR="00C746AE" w:rsidRPr="00147345" w:rsidRDefault="00C746AE">
      <w:pPr>
        <w:spacing w:after="0" w:line="240" w:lineRule="auto"/>
        <w:rPr>
          <w:rStyle w:val="Heading1Char"/>
          <w:color w:val="auto"/>
          <w:highlight w:val="cyan"/>
        </w:rPr>
      </w:pPr>
    </w:p>
    <w:p w:rsidR="00C746AE" w:rsidRPr="00147345" w:rsidRDefault="00C746AE">
      <w:pPr>
        <w:spacing w:after="0" w:line="240" w:lineRule="auto"/>
        <w:rPr>
          <w:rStyle w:val="Heading1Char"/>
          <w:color w:val="auto"/>
          <w:highlight w:val="cyan"/>
        </w:rPr>
      </w:pPr>
    </w:p>
    <w:p w:rsidR="00B255BC" w:rsidRDefault="00B255BC">
      <w:pPr>
        <w:rPr>
          <w:rStyle w:val="Heading1Char"/>
          <w:color w:val="auto"/>
          <w:highlight w:val="cyan"/>
        </w:rPr>
      </w:pPr>
      <w:r>
        <w:rPr>
          <w:rStyle w:val="Heading1Char"/>
          <w:color w:val="auto"/>
          <w:highlight w:val="cyan"/>
        </w:rPr>
        <w:br w:type="page"/>
      </w:r>
    </w:p>
    <w:p w:rsidR="00C746AE" w:rsidRPr="00147345" w:rsidRDefault="00C746AE">
      <w:pPr>
        <w:spacing w:after="0" w:line="240" w:lineRule="auto"/>
        <w:rPr>
          <w:rStyle w:val="Heading1Char"/>
          <w:color w:val="auto"/>
          <w:highlight w:val="cyan"/>
        </w:rPr>
      </w:pPr>
    </w:p>
    <w:tbl>
      <w:tblPr>
        <w:tblStyle w:val="TableGrid"/>
        <w:tblW w:w="0" w:type="auto"/>
        <w:jc w:val="center"/>
        <w:tblLook w:val="04A0" w:firstRow="1" w:lastRow="0" w:firstColumn="1" w:lastColumn="0" w:noHBand="0" w:noVBand="1"/>
      </w:tblPr>
      <w:tblGrid>
        <w:gridCol w:w="2558"/>
        <w:gridCol w:w="1600"/>
        <w:gridCol w:w="1600"/>
      </w:tblGrid>
      <w:tr w:rsidR="00C746AE" w:rsidRPr="00147345" w:rsidTr="002D2940">
        <w:trPr>
          <w:trHeight w:val="285"/>
          <w:jc w:val="center"/>
        </w:trPr>
        <w:tc>
          <w:tcPr>
            <w:tcW w:w="2558" w:type="dxa"/>
            <w:noWrap/>
            <w:hideMark/>
          </w:tcPr>
          <w:p w:rsidR="00C746AE" w:rsidRPr="00B255BC" w:rsidRDefault="00C746AE" w:rsidP="002D2940">
            <w:pPr>
              <w:pStyle w:val="Heading3"/>
              <w:spacing w:line="276" w:lineRule="auto"/>
              <w:jc w:val="center"/>
              <w:outlineLvl w:val="2"/>
              <w:rPr>
                <w:bCs w:val="0"/>
                <w:color w:val="auto"/>
                <w:szCs w:val="20"/>
              </w:rPr>
            </w:pPr>
            <w:r w:rsidRPr="00B255BC">
              <w:rPr>
                <w:color w:val="auto"/>
                <w:szCs w:val="20"/>
              </w:rPr>
              <w:t>BUSINESS SIZE</w:t>
            </w:r>
          </w:p>
        </w:tc>
        <w:tc>
          <w:tcPr>
            <w:tcW w:w="1600" w:type="dxa"/>
            <w:noWrap/>
            <w:hideMark/>
          </w:tcPr>
          <w:p w:rsidR="00C746AE" w:rsidRPr="00B255BC" w:rsidRDefault="00DD1F76" w:rsidP="002D2940">
            <w:pPr>
              <w:pStyle w:val="Heading3"/>
              <w:spacing w:line="276" w:lineRule="auto"/>
              <w:jc w:val="center"/>
              <w:outlineLvl w:val="2"/>
              <w:rPr>
                <w:bCs w:val="0"/>
                <w:color w:val="auto"/>
                <w:szCs w:val="20"/>
              </w:rPr>
            </w:pPr>
            <w:r w:rsidRPr="00B255BC">
              <w:rPr>
                <w:color w:val="auto"/>
                <w:szCs w:val="20"/>
              </w:rPr>
              <w:t>n</w:t>
            </w:r>
          </w:p>
        </w:tc>
        <w:tc>
          <w:tcPr>
            <w:tcW w:w="1600" w:type="dxa"/>
            <w:noWrap/>
            <w:hideMark/>
          </w:tcPr>
          <w:p w:rsidR="00C746AE" w:rsidRPr="00B255BC" w:rsidRDefault="00DD1F76" w:rsidP="002D2940">
            <w:pPr>
              <w:pStyle w:val="Heading3"/>
              <w:spacing w:line="276" w:lineRule="auto"/>
              <w:jc w:val="center"/>
              <w:outlineLvl w:val="2"/>
              <w:rPr>
                <w:bCs w:val="0"/>
                <w:color w:val="auto"/>
                <w:szCs w:val="20"/>
              </w:rPr>
            </w:pPr>
            <w:r w:rsidRPr="00B255BC">
              <w:rPr>
                <w:color w:val="auto"/>
                <w:szCs w:val="20"/>
              </w:rPr>
              <w:t>%</w:t>
            </w:r>
          </w:p>
        </w:tc>
      </w:tr>
      <w:tr w:rsidR="00B255BC" w:rsidRPr="00147345" w:rsidTr="002D2940">
        <w:trPr>
          <w:trHeight w:val="285"/>
          <w:jc w:val="center"/>
        </w:trPr>
        <w:tc>
          <w:tcPr>
            <w:tcW w:w="2558" w:type="dxa"/>
            <w:noWrap/>
            <w:hideMark/>
          </w:tcPr>
          <w:p w:rsidR="00B255BC" w:rsidRPr="00B255BC" w:rsidRDefault="00B255BC" w:rsidP="00B255BC">
            <w:pPr>
              <w:pStyle w:val="COMMLevel2Legal"/>
              <w:numPr>
                <w:ilvl w:val="0"/>
                <w:numId w:val="0"/>
              </w:numPr>
              <w:spacing w:after="0" w:line="240" w:lineRule="auto"/>
              <w:rPr>
                <w:rFonts w:ascii="Verdana" w:hAnsi="Verdana"/>
                <w:color w:val="auto"/>
              </w:rPr>
            </w:pPr>
            <w:r>
              <w:rPr>
                <w:rFonts w:ascii="Verdana" w:hAnsi="Verdana"/>
                <w:color w:val="auto"/>
              </w:rPr>
              <w:t>Non-employing</w:t>
            </w:r>
          </w:p>
        </w:tc>
        <w:tc>
          <w:tcPr>
            <w:tcW w:w="1600"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1</w:t>
            </w:r>
          </w:p>
        </w:tc>
        <w:tc>
          <w:tcPr>
            <w:tcW w:w="1600"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0.6%</w:t>
            </w:r>
          </w:p>
        </w:tc>
      </w:tr>
      <w:tr w:rsidR="00B255BC" w:rsidRPr="00147345" w:rsidTr="002D2940">
        <w:trPr>
          <w:trHeight w:val="285"/>
          <w:jc w:val="center"/>
        </w:trPr>
        <w:tc>
          <w:tcPr>
            <w:tcW w:w="2558" w:type="dxa"/>
            <w:noWrap/>
            <w:hideMark/>
          </w:tcPr>
          <w:p w:rsidR="00B255BC" w:rsidRPr="00B255BC" w:rsidRDefault="00B255BC" w:rsidP="00B255BC">
            <w:pPr>
              <w:pStyle w:val="COMMLevel2Legal"/>
              <w:numPr>
                <w:ilvl w:val="0"/>
                <w:numId w:val="0"/>
              </w:numPr>
              <w:spacing w:after="0" w:line="240" w:lineRule="auto"/>
              <w:rPr>
                <w:rFonts w:ascii="Verdana" w:hAnsi="Verdana"/>
                <w:color w:val="auto"/>
              </w:rPr>
            </w:pPr>
            <w:r w:rsidRPr="00B255BC">
              <w:rPr>
                <w:rFonts w:ascii="Verdana" w:hAnsi="Verdana"/>
                <w:color w:val="auto"/>
              </w:rPr>
              <w:t>1 to 4</w:t>
            </w:r>
          </w:p>
        </w:tc>
        <w:tc>
          <w:tcPr>
            <w:tcW w:w="1600"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33</w:t>
            </w:r>
          </w:p>
        </w:tc>
        <w:tc>
          <w:tcPr>
            <w:tcW w:w="1600"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18.4%</w:t>
            </w:r>
          </w:p>
        </w:tc>
      </w:tr>
      <w:tr w:rsidR="00B255BC" w:rsidRPr="00147345" w:rsidTr="002D2940">
        <w:trPr>
          <w:trHeight w:val="285"/>
          <w:jc w:val="center"/>
        </w:trPr>
        <w:tc>
          <w:tcPr>
            <w:tcW w:w="2558" w:type="dxa"/>
            <w:noWrap/>
            <w:hideMark/>
          </w:tcPr>
          <w:p w:rsidR="00B255BC" w:rsidRPr="00B255BC" w:rsidRDefault="00B255BC" w:rsidP="00B255BC">
            <w:pPr>
              <w:pStyle w:val="COMMLevel2Legal"/>
              <w:numPr>
                <w:ilvl w:val="0"/>
                <w:numId w:val="0"/>
              </w:numPr>
              <w:spacing w:after="0" w:line="240" w:lineRule="auto"/>
              <w:rPr>
                <w:rFonts w:ascii="Verdana" w:hAnsi="Verdana"/>
                <w:color w:val="auto"/>
              </w:rPr>
            </w:pPr>
            <w:r w:rsidRPr="00B255BC">
              <w:rPr>
                <w:rFonts w:ascii="Verdana" w:hAnsi="Verdana"/>
                <w:color w:val="auto"/>
              </w:rPr>
              <w:t>5 to 20</w:t>
            </w:r>
          </w:p>
        </w:tc>
        <w:tc>
          <w:tcPr>
            <w:tcW w:w="1600"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64</w:t>
            </w:r>
          </w:p>
        </w:tc>
        <w:tc>
          <w:tcPr>
            <w:tcW w:w="1600"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35.8%</w:t>
            </w:r>
          </w:p>
        </w:tc>
      </w:tr>
      <w:tr w:rsidR="00B255BC" w:rsidRPr="00147345" w:rsidTr="002D2940">
        <w:trPr>
          <w:trHeight w:val="285"/>
          <w:jc w:val="center"/>
        </w:trPr>
        <w:tc>
          <w:tcPr>
            <w:tcW w:w="2558" w:type="dxa"/>
            <w:noWrap/>
            <w:hideMark/>
          </w:tcPr>
          <w:p w:rsidR="00B255BC" w:rsidRPr="00B255BC" w:rsidRDefault="00B255BC" w:rsidP="00B255BC">
            <w:pPr>
              <w:pStyle w:val="COMMLevel2Legal"/>
              <w:numPr>
                <w:ilvl w:val="0"/>
                <w:numId w:val="0"/>
              </w:numPr>
              <w:spacing w:after="0" w:line="240" w:lineRule="auto"/>
              <w:rPr>
                <w:rFonts w:ascii="Verdana" w:hAnsi="Verdana"/>
                <w:color w:val="auto"/>
              </w:rPr>
            </w:pPr>
            <w:r w:rsidRPr="00B255BC">
              <w:rPr>
                <w:rFonts w:ascii="Verdana" w:hAnsi="Verdana"/>
                <w:color w:val="auto"/>
              </w:rPr>
              <w:t>21 to 50</w:t>
            </w:r>
          </w:p>
        </w:tc>
        <w:tc>
          <w:tcPr>
            <w:tcW w:w="1600"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31</w:t>
            </w:r>
          </w:p>
        </w:tc>
        <w:tc>
          <w:tcPr>
            <w:tcW w:w="1600"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17.3%</w:t>
            </w:r>
          </w:p>
        </w:tc>
      </w:tr>
      <w:tr w:rsidR="00B255BC" w:rsidRPr="00147345" w:rsidTr="002D2940">
        <w:trPr>
          <w:trHeight w:val="285"/>
          <w:jc w:val="center"/>
        </w:trPr>
        <w:tc>
          <w:tcPr>
            <w:tcW w:w="2558" w:type="dxa"/>
            <w:noWrap/>
            <w:hideMark/>
          </w:tcPr>
          <w:p w:rsidR="00B255BC" w:rsidRPr="00B255BC" w:rsidRDefault="00B255BC" w:rsidP="00B255BC">
            <w:pPr>
              <w:pStyle w:val="COMMLevel2Legal"/>
              <w:numPr>
                <w:ilvl w:val="0"/>
                <w:numId w:val="0"/>
              </w:numPr>
              <w:spacing w:after="0" w:line="240" w:lineRule="auto"/>
              <w:rPr>
                <w:rFonts w:ascii="Verdana" w:hAnsi="Verdana"/>
                <w:color w:val="auto"/>
              </w:rPr>
            </w:pPr>
            <w:r w:rsidRPr="00B255BC">
              <w:rPr>
                <w:rFonts w:ascii="Verdana" w:hAnsi="Verdana"/>
                <w:color w:val="auto"/>
              </w:rPr>
              <w:t>51 to 100</w:t>
            </w:r>
          </w:p>
        </w:tc>
        <w:tc>
          <w:tcPr>
            <w:tcW w:w="1600"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20</w:t>
            </w:r>
          </w:p>
        </w:tc>
        <w:tc>
          <w:tcPr>
            <w:tcW w:w="1600"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11.2%</w:t>
            </w:r>
          </w:p>
        </w:tc>
      </w:tr>
      <w:tr w:rsidR="00B255BC" w:rsidRPr="00147345" w:rsidTr="002D2940">
        <w:trPr>
          <w:trHeight w:val="285"/>
          <w:jc w:val="center"/>
        </w:trPr>
        <w:tc>
          <w:tcPr>
            <w:tcW w:w="2558" w:type="dxa"/>
            <w:noWrap/>
            <w:hideMark/>
          </w:tcPr>
          <w:p w:rsidR="00B255BC" w:rsidRPr="00B255BC" w:rsidRDefault="00B255BC" w:rsidP="00B255BC">
            <w:pPr>
              <w:pStyle w:val="COMMLevel2Legal"/>
              <w:numPr>
                <w:ilvl w:val="0"/>
                <w:numId w:val="0"/>
              </w:numPr>
              <w:spacing w:after="0" w:line="240" w:lineRule="auto"/>
              <w:rPr>
                <w:rFonts w:ascii="Verdana" w:hAnsi="Verdana"/>
                <w:color w:val="auto"/>
              </w:rPr>
            </w:pPr>
            <w:r w:rsidRPr="00B255BC">
              <w:rPr>
                <w:rFonts w:ascii="Verdana" w:hAnsi="Verdana"/>
                <w:color w:val="auto"/>
              </w:rPr>
              <w:t>101 to 200</w:t>
            </w:r>
          </w:p>
        </w:tc>
        <w:tc>
          <w:tcPr>
            <w:tcW w:w="1600"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14</w:t>
            </w:r>
          </w:p>
        </w:tc>
        <w:tc>
          <w:tcPr>
            <w:tcW w:w="1600"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7.8%</w:t>
            </w:r>
          </w:p>
        </w:tc>
      </w:tr>
      <w:tr w:rsidR="00B255BC" w:rsidRPr="00147345" w:rsidTr="002D2940">
        <w:trPr>
          <w:trHeight w:val="285"/>
          <w:jc w:val="center"/>
        </w:trPr>
        <w:tc>
          <w:tcPr>
            <w:tcW w:w="2558" w:type="dxa"/>
            <w:noWrap/>
            <w:hideMark/>
          </w:tcPr>
          <w:p w:rsidR="00B255BC" w:rsidRPr="00B255BC" w:rsidRDefault="00B255BC" w:rsidP="00B255BC">
            <w:pPr>
              <w:pStyle w:val="COMMLevel2Legal"/>
              <w:numPr>
                <w:ilvl w:val="0"/>
                <w:numId w:val="0"/>
              </w:numPr>
              <w:spacing w:after="0" w:line="240" w:lineRule="auto"/>
              <w:rPr>
                <w:rFonts w:ascii="Verdana" w:hAnsi="Verdana"/>
                <w:color w:val="auto"/>
              </w:rPr>
            </w:pPr>
            <w:r w:rsidRPr="00B255BC">
              <w:rPr>
                <w:rFonts w:ascii="Verdana" w:hAnsi="Verdana"/>
                <w:color w:val="auto"/>
              </w:rPr>
              <w:t>More than 200</w:t>
            </w:r>
          </w:p>
        </w:tc>
        <w:tc>
          <w:tcPr>
            <w:tcW w:w="1600"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16</w:t>
            </w:r>
          </w:p>
        </w:tc>
        <w:tc>
          <w:tcPr>
            <w:tcW w:w="1600"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8.9%</w:t>
            </w:r>
          </w:p>
        </w:tc>
      </w:tr>
    </w:tbl>
    <w:p w:rsidR="00C746AE" w:rsidRPr="00147345" w:rsidRDefault="00C746AE">
      <w:pPr>
        <w:spacing w:after="0" w:line="240" w:lineRule="auto"/>
        <w:rPr>
          <w:rStyle w:val="Heading1Char"/>
          <w:color w:val="auto"/>
          <w:highlight w:val="cyan"/>
        </w:rPr>
      </w:pPr>
    </w:p>
    <w:tbl>
      <w:tblPr>
        <w:tblStyle w:val="TableGrid"/>
        <w:tblW w:w="0" w:type="auto"/>
        <w:jc w:val="center"/>
        <w:tblLook w:val="04A0" w:firstRow="1" w:lastRow="0" w:firstColumn="1" w:lastColumn="0" w:noHBand="0" w:noVBand="1"/>
      </w:tblPr>
      <w:tblGrid>
        <w:gridCol w:w="5495"/>
        <w:gridCol w:w="960"/>
        <w:gridCol w:w="1555"/>
      </w:tblGrid>
      <w:tr w:rsidR="00A20FE9" w:rsidRPr="00147345" w:rsidTr="00E85A19">
        <w:trPr>
          <w:trHeight w:val="285"/>
          <w:jc w:val="center"/>
        </w:trPr>
        <w:tc>
          <w:tcPr>
            <w:tcW w:w="5495" w:type="dxa"/>
            <w:noWrap/>
            <w:hideMark/>
          </w:tcPr>
          <w:p w:rsidR="00A20FE9" w:rsidRPr="00B255BC" w:rsidRDefault="00A20FE9" w:rsidP="002D2940">
            <w:pPr>
              <w:pStyle w:val="Heading3"/>
              <w:spacing w:line="276" w:lineRule="auto"/>
              <w:jc w:val="center"/>
              <w:outlineLvl w:val="2"/>
              <w:rPr>
                <w:bCs w:val="0"/>
                <w:color w:val="auto"/>
                <w:szCs w:val="20"/>
              </w:rPr>
            </w:pPr>
            <w:r w:rsidRPr="00B255BC">
              <w:rPr>
                <w:color w:val="auto"/>
                <w:szCs w:val="20"/>
              </w:rPr>
              <w:t>INDUSTRY</w:t>
            </w:r>
          </w:p>
        </w:tc>
        <w:tc>
          <w:tcPr>
            <w:tcW w:w="960" w:type="dxa"/>
            <w:noWrap/>
            <w:hideMark/>
          </w:tcPr>
          <w:p w:rsidR="00A20FE9" w:rsidRPr="00B255BC" w:rsidRDefault="00A20FE9" w:rsidP="002D2940">
            <w:pPr>
              <w:pStyle w:val="Heading3"/>
              <w:spacing w:line="276" w:lineRule="auto"/>
              <w:jc w:val="center"/>
              <w:outlineLvl w:val="2"/>
              <w:rPr>
                <w:bCs w:val="0"/>
                <w:color w:val="auto"/>
                <w:szCs w:val="20"/>
              </w:rPr>
            </w:pPr>
            <w:r w:rsidRPr="00B255BC">
              <w:rPr>
                <w:color w:val="auto"/>
                <w:szCs w:val="20"/>
              </w:rPr>
              <w:t>n</w:t>
            </w:r>
          </w:p>
        </w:tc>
        <w:tc>
          <w:tcPr>
            <w:tcW w:w="1555" w:type="dxa"/>
            <w:noWrap/>
            <w:hideMark/>
          </w:tcPr>
          <w:p w:rsidR="00A20FE9" w:rsidRPr="00B255BC" w:rsidRDefault="00A20FE9" w:rsidP="002D2940">
            <w:pPr>
              <w:pStyle w:val="Heading3"/>
              <w:spacing w:line="276" w:lineRule="auto"/>
              <w:jc w:val="center"/>
              <w:outlineLvl w:val="2"/>
              <w:rPr>
                <w:bCs w:val="0"/>
                <w:color w:val="auto"/>
                <w:szCs w:val="20"/>
              </w:rPr>
            </w:pPr>
            <w:r w:rsidRPr="00B255BC">
              <w:rPr>
                <w:color w:val="auto"/>
                <w:szCs w:val="20"/>
              </w:rPr>
              <w:t>%</w:t>
            </w:r>
          </w:p>
        </w:tc>
      </w:tr>
      <w:tr w:rsidR="00B255BC" w:rsidRPr="00147345" w:rsidTr="00E85A19">
        <w:trPr>
          <w:trHeight w:val="285"/>
          <w:jc w:val="center"/>
        </w:trPr>
        <w:tc>
          <w:tcPr>
            <w:tcW w:w="5495" w:type="dxa"/>
            <w:noWrap/>
            <w:hideMark/>
          </w:tcPr>
          <w:p w:rsidR="00B255BC" w:rsidRPr="00B255BC" w:rsidRDefault="00B255BC" w:rsidP="00B255BC">
            <w:pPr>
              <w:pStyle w:val="COMMLevel2Legal"/>
              <w:numPr>
                <w:ilvl w:val="0"/>
                <w:numId w:val="0"/>
              </w:numPr>
              <w:spacing w:after="0" w:line="240" w:lineRule="auto"/>
              <w:rPr>
                <w:rFonts w:ascii="Verdana" w:hAnsi="Verdana"/>
                <w:color w:val="auto"/>
              </w:rPr>
            </w:pPr>
            <w:r w:rsidRPr="00B255BC">
              <w:rPr>
                <w:rFonts w:ascii="Verdana" w:hAnsi="Verdana"/>
                <w:color w:val="auto"/>
              </w:rPr>
              <w:t xml:space="preserve">Accommodation and Food services </w:t>
            </w:r>
          </w:p>
        </w:tc>
        <w:tc>
          <w:tcPr>
            <w:tcW w:w="960"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31</w:t>
            </w:r>
          </w:p>
        </w:tc>
        <w:tc>
          <w:tcPr>
            <w:tcW w:w="1555"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17.3%</w:t>
            </w:r>
          </w:p>
        </w:tc>
      </w:tr>
      <w:tr w:rsidR="00B255BC" w:rsidRPr="00147345" w:rsidTr="00E85A19">
        <w:trPr>
          <w:trHeight w:val="285"/>
          <w:jc w:val="center"/>
        </w:trPr>
        <w:tc>
          <w:tcPr>
            <w:tcW w:w="5495" w:type="dxa"/>
            <w:noWrap/>
            <w:hideMark/>
          </w:tcPr>
          <w:p w:rsidR="00B255BC" w:rsidRPr="00B255BC" w:rsidRDefault="00B255BC" w:rsidP="00B255BC">
            <w:pPr>
              <w:pStyle w:val="COMMLevel2Legal"/>
              <w:numPr>
                <w:ilvl w:val="0"/>
                <w:numId w:val="0"/>
              </w:numPr>
              <w:spacing w:after="0" w:line="240" w:lineRule="auto"/>
              <w:rPr>
                <w:rFonts w:ascii="Verdana" w:hAnsi="Verdana"/>
                <w:color w:val="auto"/>
              </w:rPr>
            </w:pPr>
            <w:r w:rsidRPr="00B255BC">
              <w:rPr>
                <w:rFonts w:ascii="Verdana" w:hAnsi="Verdana"/>
                <w:color w:val="auto"/>
              </w:rPr>
              <w:t xml:space="preserve">Administrative and Support services </w:t>
            </w:r>
          </w:p>
        </w:tc>
        <w:tc>
          <w:tcPr>
            <w:tcW w:w="960"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2</w:t>
            </w:r>
          </w:p>
        </w:tc>
        <w:tc>
          <w:tcPr>
            <w:tcW w:w="1555"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1.1%</w:t>
            </w:r>
          </w:p>
        </w:tc>
      </w:tr>
      <w:tr w:rsidR="00B255BC" w:rsidRPr="00147345" w:rsidTr="00E85A19">
        <w:trPr>
          <w:trHeight w:val="285"/>
          <w:jc w:val="center"/>
        </w:trPr>
        <w:tc>
          <w:tcPr>
            <w:tcW w:w="5495" w:type="dxa"/>
            <w:noWrap/>
            <w:hideMark/>
          </w:tcPr>
          <w:p w:rsidR="00B255BC" w:rsidRPr="00B255BC" w:rsidRDefault="00B255BC" w:rsidP="00B255BC">
            <w:pPr>
              <w:pStyle w:val="COMMLevel2Legal"/>
              <w:numPr>
                <w:ilvl w:val="0"/>
                <w:numId w:val="0"/>
              </w:numPr>
              <w:spacing w:after="0" w:line="240" w:lineRule="auto"/>
              <w:rPr>
                <w:rFonts w:ascii="Verdana" w:hAnsi="Verdana"/>
                <w:color w:val="auto"/>
              </w:rPr>
            </w:pPr>
            <w:r w:rsidRPr="00B255BC">
              <w:rPr>
                <w:rFonts w:ascii="Verdana" w:hAnsi="Verdana"/>
                <w:color w:val="auto"/>
              </w:rPr>
              <w:t>Agriculture, Forestry and Fishing</w:t>
            </w:r>
          </w:p>
        </w:tc>
        <w:tc>
          <w:tcPr>
            <w:tcW w:w="960"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9</w:t>
            </w:r>
          </w:p>
        </w:tc>
        <w:tc>
          <w:tcPr>
            <w:tcW w:w="1555"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5.0%</w:t>
            </w:r>
          </w:p>
        </w:tc>
      </w:tr>
      <w:tr w:rsidR="00B255BC" w:rsidRPr="00147345" w:rsidTr="00E85A19">
        <w:trPr>
          <w:trHeight w:val="285"/>
          <w:jc w:val="center"/>
        </w:trPr>
        <w:tc>
          <w:tcPr>
            <w:tcW w:w="5495" w:type="dxa"/>
            <w:noWrap/>
            <w:hideMark/>
          </w:tcPr>
          <w:p w:rsidR="00B255BC" w:rsidRPr="00B255BC" w:rsidRDefault="00B255BC" w:rsidP="00B255BC">
            <w:pPr>
              <w:pStyle w:val="COMMLevel2Legal"/>
              <w:numPr>
                <w:ilvl w:val="0"/>
                <w:numId w:val="0"/>
              </w:numPr>
              <w:spacing w:after="0" w:line="240" w:lineRule="auto"/>
              <w:rPr>
                <w:rFonts w:ascii="Verdana" w:hAnsi="Verdana"/>
                <w:color w:val="auto"/>
              </w:rPr>
            </w:pPr>
            <w:r w:rsidRPr="00B255BC">
              <w:rPr>
                <w:rFonts w:ascii="Verdana" w:hAnsi="Verdana"/>
                <w:color w:val="auto"/>
              </w:rPr>
              <w:t>Arts and Recreation services</w:t>
            </w:r>
          </w:p>
        </w:tc>
        <w:tc>
          <w:tcPr>
            <w:tcW w:w="960"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4</w:t>
            </w:r>
          </w:p>
        </w:tc>
        <w:tc>
          <w:tcPr>
            <w:tcW w:w="1555"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2.2%</w:t>
            </w:r>
          </w:p>
        </w:tc>
      </w:tr>
      <w:tr w:rsidR="00B255BC" w:rsidRPr="00147345" w:rsidTr="00E85A19">
        <w:trPr>
          <w:trHeight w:val="285"/>
          <w:jc w:val="center"/>
        </w:trPr>
        <w:tc>
          <w:tcPr>
            <w:tcW w:w="5495" w:type="dxa"/>
            <w:noWrap/>
            <w:hideMark/>
          </w:tcPr>
          <w:p w:rsidR="00B255BC" w:rsidRPr="00B255BC" w:rsidRDefault="00B255BC" w:rsidP="00B255BC">
            <w:pPr>
              <w:pStyle w:val="COMMLevel2Legal"/>
              <w:numPr>
                <w:ilvl w:val="0"/>
                <w:numId w:val="0"/>
              </w:numPr>
              <w:spacing w:after="0" w:line="240" w:lineRule="auto"/>
              <w:rPr>
                <w:rFonts w:ascii="Verdana" w:hAnsi="Verdana"/>
                <w:color w:val="auto"/>
              </w:rPr>
            </w:pPr>
            <w:r w:rsidRPr="00B255BC">
              <w:rPr>
                <w:rFonts w:ascii="Verdana" w:hAnsi="Verdana"/>
                <w:color w:val="auto"/>
              </w:rPr>
              <w:t>Construction</w:t>
            </w:r>
          </w:p>
        </w:tc>
        <w:tc>
          <w:tcPr>
            <w:tcW w:w="960"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4</w:t>
            </w:r>
          </w:p>
        </w:tc>
        <w:tc>
          <w:tcPr>
            <w:tcW w:w="1555"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2.2%</w:t>
            </w:r>
          </w:p>
        </w:tc>
      </w:tr>
      <w:tr w:rsidR="00B255BC" w:rsidRPr="00147345" w:rsidTr="00E85A19">
        <w:trPr>
          <w:trHeight w:val="285"/>
          <w:jc w:val="center"/>
        </w:trPr>
        <w:tc>
          <w:tcPr>
            <w:tcW w:w="5495" w:type="dxa"/>
            <w:noWrap/>
            <w:hideMark/>
          </w:tcPr>
          <w:p w:rsidR="00B255BC" w:rsidRPr="00B255BC" w:rsidRDefault="00B255BC" w:rsidP="00B255BC">
            <w:pPr>
              <w:pStyle w:val="COMMLevel2Legal"/>
              <w:numPr>
                <w:ilvl w:val="0"/>
                <w:numId w:val="0"/>
              </w:numPr>
              <w:spacing w:after="0" w:line="240" w:lineRule="auto"/>
              <w:rPr>
                <w:rFonts w:ascii="Verdana" w:hAnsi="Verdana"/>
                <w:color w:val="auto"/>
              </w:rPr>
            </w:pPr>
            <w:r w:rsidRPr="00B255BC">
              <w:rPr>
                <w:rFonts w:ascii="Verdana" w:hAnsi="Verdana"/>
                <w:color w:val="auto"/>
              </w:rPr>
              <w:t>Education and Training</w:t>
            </w:r>
          </w:p>
        </w:tc>
        <w:tc>
          <w:tcPr>
            <w:tcW w:w="960"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2</w:t>
            </w:r>
          </w:p>
        </w:tc>
        <w:tc>
          <w:tcPr>
            <w:tcW w:w="1555"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1.1%</w:t>
            </w:r>
          </w:p>
        </w:tc>
      </w:tr>
      <w:tr w:rsidR="00B255BC" w:rsidRPr="00147345" w:rsidTr="00E85A19">
        <w:trPr>
          <w:trHeight w:val="285"/>
          <w:jc w:val="center"/>
        </w:trPr>
        <w:tc>
          <w:tcPr>
            <w:tcW w:w="5495" w:type="dxa"/>
            <w:noWrap/>
            <w:hideMark/>
          </w:tcPr>
          <w:p w:rsidR="00B255BC" w:rsidRPr="00B255BC" w:rsidRDefault="00B255BC" w:rsidP="00B255BC">
            <w:pPr>
              <w:pStyle w:val="COMMLevel2Legal"/>
              <w:numPr>
                <w:ilvl w:val="0"/>
                <w:numId w:val="0"/>
              </w:numPr>
              <w:spacing w:after="0" w:line="240" w:lineRule="auto"/>
              <w:rPr>
                <w:rFonts w:ascii="Verdana" w:hAnsi="Verdana"/>
                <w:color w:val="auto"/>
              </w:rPr>
            </w:pPr>
            <w:r w:rsidRPr="00B255BC">
              <w:rPr>
                <w:rFonts w:ascii="Verdana" w:hAnsi="Verdana"/>
                <w:color w:val="auto"/>
              </w:rPr>
              <w:t>Electricity, Gas, Water and Waste services</w:t>
            </w:r>
          </w:p>
        </w:tc>
        <w:tc>
          <w:tcPr>
            <w:tcW w:w="960"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3</w:t>
            </w:r>
          </w:p>
        </w:tc>
        <w:tc>
          <w:tcPr>
            <w:tcW w:w="1555"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1.7%</w:t>
            </w:r>
          </w:p>
        </w:tc>
      </w:tr>
      <w:tr w:rsidR="00B255BC" w:rsidRPr="00147345" w:rsidTr="00E85A19">
        <w:trPr>
          <w:trHeight w:val="285"/>
          <w:jc w:val="center"/>
        </w:trPr>
        <w:tc>
          <w:tcPr>
            <w:tcW w:w="5495" w:type="dxa"/>
            <w:noWrap/>
            <w:hideMark/>
          </w:tcPr>
          <w:p w:rsidR="00B255BC" w:rsidRPr="00B255BC" w:rsidRDefault="00B255BC" w:rsidP="00B255BC">
            <w:pPr>
              <w:pStyle w:val="COMMLevel2Legal"/>
              <w:numPr>
                <w:ilvl w:val="0"/>
                <w:numId w:val="0"/>
              </w:numPr>
              <w:spacing w:after="0" w:line="240" w:lineRule="auto"/>
              <w:rPr>
                <w:rFonts w:ascii="Verdana" w:hAnsi="Verdana"/>
                <w:color w:val="auto"/>
              </w:rPr>
            </w:pPr>
            <w:r w:rsidRPr="00B255BC">
              <w:rPr>
                <w:rFonts w:ascii="Verdana" w:hAnsi="Verdana"/>
                <w:color w:val="auto"/>
              </w:rPr>
              <w:t>Financial and Insurance services</w:t>
            </w:r>
          </w:p>
        </w:tc>
        <w:tc>
          <w:tcPr>
            <w:tcW w:w="960"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4</w:t>
            </w:r>
          </w:p>
        </w:tc>
        <w:tc>
          <w:tcPr>
            <w:tcW w:w="1555"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2.2%</w:t>
            </w:r>
          </w:p>
        </w:tc>
      </w:tr>
      <w:tr w:rsidR="00B255BC" w:rsidRPr="00147345" w:rsidTr="00E85A19">
        <w:trPr>
          <w:trHeight w:val="285"/>
          <w:jc w:val="center"/>
        </w:trPr>
        <w:tc>
          <w:tcPr>
            <w:tcW w:w="5495" w:type="dxa"/>
            <w:noWrap/>
            <w:hideMark/>
          </w:tcPr>
          <w:p w:rsidR="00B255BC" w:rsidRPr="00B255BC" w:rsidRDefault="00B255BC" w:rsidP="00B255BC">
            <w:pPr>
              <w:pStyle w:val="COMMLevel2Legal"/>
              <w:numPr>
                <w:ilvl w:val="0"/>
                <w:numId w:val="0"/>
              </w:numPr>
              <w:spacing w:after="0" w:line="240" w:lineRule="auto"/>
              <w:rPr>
                <w:rFonts w:ascii="Verdana" w:hAnsi="Verdana"/>
                <w:color w:val="auto"/>
              </w:rPr>
            </w:pPr>
            <w:r w:rsidRPr="00B255BC">
              <w:rPr>
                <w:rFonts w:ascii="Verdana" w:hAnsi="Verdana"/>
                <w:color w:val="auto"/>
              </w:rPr>
              <w:t>Health Care and Social Assistance</w:t>
            </w:r>
          </w:p>
        </w:tc>
        <w:tc>
          <w:tcPr>
            <w:tcW w:w="960"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15</w:t>
            </w:r>
          </w:p>
        </w:tc>
        <w:tc>
          <w:tcPr>
            <w:tcW w:w="1555"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8.4%</w:t>
            </w:r>
          </w:p>
        </w:tc>
      </w:tr>
      <w:tr w:rsidR="00B255BC" w:rsidRPr="00147345" w:rsidTr="00E85A19">
        <w:trPr>
          <w:trHeight w:val="285"/>
          <w:jc w:val="center"/>
        </w:trPr>
        <w:tc>
          <w:tcPr>
            <w:tcW w:w="5495" w:type="dxa"/>
            <w:noWrap/>
            <w:hideMark/>
          </w:tcPr>
          <w:p w:rsidR="00B255BC" w:rsidRPr="00B255BC" w:rsidRDefault="00B255BC" w:rsidP="00B255BC">
            <w:pPr>
              <w:pStyle w:val="COMMLevel2Legal"/>
              <w:numPr>
                <w:ilvl w:val="0"/>
                <w:numId w:val="0"/>
              </w:numPr>
              <w:spacing w:after="0" w:line="240" w:lineRule="auto"/>
              <w:rPr>
                <w:rFonts w:ascii="Verdana" w:hAnsi="Verdana"/>
                <w:color w:val="auto"/>
              </w:rPr>
            </w:pPr>
            <w:r w:rsidRPr="00B255BC">
              <w:rPr>
                <w:rFonts w:ascii="Verdana" w:hAnsi="Verdana"/>
                <w:color w:val="auto"/>
              </w:rPr>
              <w:t>Information Media and Telecommunications</w:t>
            </w:r>
          </w:p>
        </w:tc>
        <w:tc>
          <w:tcPr>
            <w:tcW w:w="960"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3</w:t>
            </w:r>
          </w:p>
        </w:tc>
        <w:tc>
          <w:tcPr>
            <w:tcW w:w="1555"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1.7%</w:t>
            </w:r>
          </w:p>
        </w:tc>
      </w:tr>
      <w:tr w:rsidR="00B255BC" w:rsidRPr="00147345" w:rsidTr="00E85A19">
        <w:trPr>
          <w:trHeight w:val="285"/>
          <w:jc w:val="center"/>
        </w:trPr>
        <w:tc>
          <w:tcPr>
            <w:tcW w:w="5495" w:type="dxa"/>
            <w:noWrap/>
            <w:hideMark/>
          </w:tcPr>
          <w:p w:rsidR="00B255BC" w:rsidRPr="00B255BC" w:rsidRDefault="00B255BC" w:rsidP="00B255BC">
            <w:pPr>
              <w:pStyle w:val="COMMLevel2Legal"/>
              <w:numPr>
                <w:ilvl w:val="0"/>
                <w:numId w:val="0"/>
              </w:numPr>
              <w:spacing w:after="0" w:line="240" w:lineRule="auto"/>
              <w:rPr>
                <w:rFonts w:ascii="Verdana" w:hAnsi="Verdana"/>
                <w:color w:val="auto"/>
              </w:rPr>
            </w:pPr>
            <w:r w:rsidRPr="00B255BC">
              <w:rPr>
                <w:rFonts w:ascii="Verdana" w:hAnsi="Verdana"/>
                <w:color w:val="auto"/>
              </w:rPr>
              <w:t>Manufacturing</w:t>
            </w:r>
          </w:p>
        </w:tc>
        <w:tc>
          <w:tcPr>
            <w:tcW w:w="960"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20</w:t>
            </w:r>
          </w:p>
        </w:tc>
        <w:tc>
          <w:tcPr>
            <w:tcW w:w="1555"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11.2%</w:t>
            </w:r>
          </w:p>
        </w:tc>
      </w:tr>
      <w:tr w:rsidR="00B255BC" w:rsidRPr="00147345" w:rsidTr="00E85A19">
        <w:trPr>
          <w:trHeight w:val="285"/>
          <w:jc w:val="center"/>
        </w:trPr>
        <w:tc>
          <w:tcPr>
            <w:tcW w:w="5495" w:type="dxa"/>
            <w:noWrap/>
            <w:hideMark/>
          </w:tcPr>
          <w:p w:rsidR="00B255BC" w:rsidRPr="00B255BC" w:rsidRDefault="00B255BC" w:rsidP="00B255BC">
            <w:pPr>
              <w:pStyle w:val="COMMLevel2Legal"/>
              <w:numPr>
                <w:ilvl w:val="0"/>
                <w:numId w:val="0"/>
              </w:numPr>
              <w:spacing w:after="0" w:line="240" w:lineRule="auto"/>
              <w:rPr>
                <w:rFonts w:ascii="Verdana" w:hAnsi="Verdana"/>
                <w:color w:val="auto"/>
              </w:rPr>
            </w:pPr>
            <w:r w:rsidRPr="00B255BC">
              <w:rPr>
                <w:rFonts w:ascii="Verdana" w:hAnsi="Verdana"/>
                <w:color w:val="auto"/>
              </w:rPr>
              <w:t xml:space="preserve">Other services </w:t>
            </w:r>
          </w:p>
        </w:tc>
        <w:tc>
          <w:tcPr>
            <w:tcW w:w="960"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16</w:t>
            </w:r>
          </w:p>
        </w:tc>
        <w:tc>
          <w:tcPr>
            <w:tcW w:w="1555"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8.9%</w:t>
            </w:r>
          </w:p>
        </w:tc>
      </w:tr>
      <w:tr w:rsidR="00B255BC" w:rsidRPr="00147345" w:rsidTr="00E85A19">
        <w:trPr>
          <w:trHeight w:val="285"/>
          <w:jc w:val="center"/>
        </w:trPr>
        <w:tc>
          <w:tcPr>
            <w:tcW w:w="5495" w:type="dxa"/>
            <w:noWrap/>
            <w:hideMark/>
          </w:tcPr>
          <w:p w:rsidR="00B255BC" w:rsidRPr="00B255BC" w:rsidRDefault="00B255BC" w:rsidP="00B255BC">
            <w:pPr>
              <w:pStyle w:val="COMMLevel2Legal"/>
              <w:numPr>
                <w:ilvl w:val="0"/>
                <w:numId w:val="0"/>
              </w:numPr>
              <w:spacing w:after="0" w:line="240" w:lineRule="auto"/>
              <w:rPr>
                <w:rFonts w:ascii="Verdana" w:hAnsi="Verdana"/>
                <w:color w:val="auto"/>
              </w:rPr>
            </w:pPr>
            <w:r w:rsidRPr="00B255BC">
              <w:rPr>
                <w:rFonts w:ascii="Verdana" w:hAnsi="Verdana"/>
                <w:color w:val="auto"/>
              </w:rPr>
              <w:t xml:space="preserve">Professional, Scientific and Technical services </w:t>
            </w:r>
          </w:p>
        </w:tc>
        <w:tc>
          <w:tcPr>
            <w:tcW w:w="960"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15</w:t>
            </w:r>
          </w:p>
        </w:tc>
        <w:tc>
          <w:tcPr>
            <w:tcW w:w="1555"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8.4%</w:t>
            </w:r>
          </w:p>
        </w:tc>
      </w:tr>
      <w:tr w:rsidR="00B255BC" w:rsidRPr="00147345" w:rsidTr="00E85A19">
        <w:trPr>
          <w:trHeight w:val="285"/>
          <w:jc w:val="center"/>
        </w:trPr>
        <w:tc>
          <w:tcPr>
            <w:tcW w:w="5495" w:type="dxa"/>
            <w:noWrap/>
            <w:hideMark/>
          </w:tcPr>
          <w:p w:rsidR="00B255BC" w:rsidRPr="00B255BC" w:rsidRDefault="00B255BC" w:rsidP="00B255BC">
            <w:pPr>
              <w:pStyle w:val="COMMLevel2Legal"/>
              <w:numPr>
                <w:ilvl w:val="0"/>
                <w:numId w:val="0"/>
              </w:numPr>
              <w:spacing w:after="0" w:line="240" w:lineRule="auto"/>
              <w:rPr>
                <w:rFonts w:ascii="Verdana" w:hAnsi="Verdana"/>
                <w:color w:val="auto"/>
              </w:rPr>
            </w:pPr>
            <w:r w:rsidRPr="00B255BC">
              <w:rPr>
                <w:rFonts w:ascii="Verdana" w:hAnsi="Verdana"/>
                <w:color w:val="auto"/>
              </w:rPr>
              <w:t>Public Administration and Safety</w:t>
            </w:r>
          </w:p>
        </w:tc>
        <w:tc>
          <w:tcPr>
            <w:tcW w:w="960"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2</w:t>
            </w:r>
          </w:p>
        </w:tc>
        <w:tc>
          <w:tcPr>
            <w:tcW w:w="1555"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1.1%</w:t>
            </w:r>
          </w:p>
        </w:tc>
      </w:tr>
      <w:tr w:rsidR="00B255BC" w:rsidRPr="00147345" w:rsidTr="00E85A19">
        <w:trPr>
          <w:trHeight w:val="285"/>
          <w:jc w:val="center"/>
        </w:trPr>
        <w:tc>
          <w:tcPr>
            <w:tcW w:w="5495" w:type="dxa"/>
            <w:noWrap/>
            <w:hideMark/>
          </w:tcPr>
          <w:p w:rsidR="00B255BC" w:rsidRPr="00B255BC" w:rsidRDefault="00B255BC" w:rsidP="00B255BC">
            <w:pPr>
              <w:pStyle w:val="COMMLevel2Legal"/>
              <w:numPr>
                <w:ilvl w:val="0"/>
                <w:numId w:val="0"/>
              </w:numPr>
              <w:spacing w:after="0" w:line="240" w:lineRule="auto"/>
              <w:rPr>
                <w:rFonts w:ascii="Verdana" w:hAnsi="Verdana"/>
                <w:color w:val="auto"/>
              </w:rPr>
            </w:pPr>
            <w:r w:rsidRPr="00B255BC">
              <w:rPr>
                <w:rFonts w:ascii="Verdana" w:hAnsi="Verdana"/>
                <w:color w:val="auto"/>
              </w:rPr>
              <w:t xml:space="preserve">Rental, Hiring and Real Estate services </w:t>
            </w:r>
          </w:p>
        </w:tc>
        <w:tc>
          <w:tcPr>
            <w:tcW w:w="960"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4</w:t>
            </w:r>
          </w:p>
        </w:tc>
        <w:tc>
          <w:tcPr>
            <w:tcW w:w="1555"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2.2%</w:t>
            </w:r>
          </w:p>
        </w:tc>
      </w:tr>
      <w:tr w:rsidR="00B255BC" w:rsidRPr="00147345" w:rsidTr="00E85A19">
        <w:trPr>
          <w:trHeight w:val="285"/>
          <w:jc w:val="center"/>
        </w:trPr>
        <w:tc>
          <w:tcPr>
            <w:tcW w:w="5495" w:type="dxa"/>
            <w:noWrap/>
            <w:hideMark/>
          </w:tcPr>
          <w:p w:rsidR="00B255BC" w:rsidRPr="00B255BC" w:rsidRDefault="00B255BC" w:rsidP="00B255BC">
            <w:pPr>
              <w:pStyle w:val="COMMLevel2Legal"/>
              <w:numPr>
                <w:ilvl w:val="0"/>
                <w:numId w:val="0"/>
              </w:numPr>
              <w:spacing w:after="0" w:line="240" w:lineRule="auto"/>
              <w:rPr>
                <w:rFonts w:ascii="Verdana" w:hAnsi="Verdana"/>
                <w:color w:val="auto"/>
              </w:rPr>
            </w:pPr>
            <w:r w:rsidRPr="00B255BC">
              <w:rPr>
                <w:rFonts w:ascii="Verdana" w:hAnsi="Verdana"/>
                <w:color w:val="auto"/>
              </w:rPr>
              <w:t>Retail trade</w:t>
            </w:r>
          </w:p>
        </w:tc>
        <w:tc>
          <w:tcPr>
            <w:tcW w:w="960"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32</w:t>
            </w:r>
          </w:p>
        </w:tc>
        <w:tc>
          <w:tcPr>
            <w:tcW w:w="1555"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17.9%</w:t>
            </w:r>
          </w:p>
        </w:tc>
      </w:tr>
      <w:tr w:rsidR="00B255BC" w:rsidRPr="00147345" w:rsidTr="00E85A19">
        <w:trPr>
          <w:trHeight w:val="285"/>
          <w:jc w:val="center"/>
        </w:trPr>
        <w:tc>
          <w:tcPr>
            <w:tcW w:w="5495" w:type="dxa"/>
            <w:noWrap/>
            <w:hideMark/>
          </w:tcPr>
          <w:p w:rsidR="00B255BC" w:rsidRPr="00B255BC" w:rsidRDefault="00B255BC" w:rsidP="00B255BC">
            <w:pPr>
              <w:pStyle w:val="COMMLevel2Legal"/>
              <w:numPr>
                <w:ilvl w:val="0"/>
                <w:numId w:val="0"/>
              </w:numPr>
              <w:spacing w:after="0" w:line="240" w:lineRule="auto"/>
              <w:rPr>
                <w:rFonts w:ascii="Verdana" w:hAnsi="Verdana"/>
                <w:color w:val="auto"/>
              </w:rPr>
            </w:pPr>
            <w:r w:rsidRPr="00B255BC">
              <w:rPr>
                <w:rFonts w:ascii="Verdana" w:hAnsi="Verdana"/>
                <w:color w:val="auto"/>
              </w:rPr>
              <w:t>Transport, Postal and Warehousing</w:t>
            </w:r>
          </w:p>
        </w:tc>
        <w:tc>
          <w:tcPr>
            <w:tcW w:w="960"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3</w:t>
            </w:r>
          </w:p>
        </w:tc>
        <w:tc>
          <w:tcPr>
            <w:tcW w:w="1555"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1.7%</w:t>
            </w:r>
          </w:p>
        </w:tc>
      </w:tr>
      <w:tr w:rsidR="00B255BC" w:rsidRPr="00147345" w:rsidTr="00E85A19">
        <w:trPr>
          <w:trHeight w:val="285"/>
          <w:jc w:val="center"/>
        </w:trPr>
        <w:tc>
          <w:tcPr>
            <w:tcW w:w="5495" w:type="dxa"/>
            <w:noWrap/>
            <w:hideMark/>
          </w:tcPr>
          <w:p w:rsidR="00B255BC" w:rsidRPr="00B255BC" w:rsidRDefault="00B255BC" w:rsidP="00B255BC">
            <w:pPr>
              <w:pStyle w:val="COMMLevel2Legal"/>
              <w:numPr>
                <w:ilvl w:val="0"/>
                <w:numId w:val="0"/>
              </w:numPr>
              <w:spacing w:after="0" w:line="240" w:lineRule="auto"/>
              <w:rPr>
                <w:rFonts w:ascii="Verdana" w:hAnsi="Verdana"/>
                <w:color w:val="auto"/>
              </w:rPr>
            </w:pPr>
            <w:r w:rsidRPr="00B255BC">
              <w:rPr>
                <w:rFonts w:ascii="Verdana" w:hAnsi="Verdana"/>
                <w:color w:val="auto"/>
              </w:rPr>
              <w:t>Wholesale trade</w:t>
            </w:r>
          </w:p>
        </w:tc>
        <w:tc>
          <w:tcPr>
            <w:tcW w:w="960"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10</w:t>
            </w:r>
          </w:p>
        </w:tc>
        <w:tc>
          <w:tcPr>
            <w:tcW w:w="1555" w:type="dxa"/>
            <w:noWrap/>
            <w:hideMark/>
          </w:tcPr>
          <w:p w:rsidR="00B255BC" w:rsidRPr="00B255BC" w:rsidRDefault="00B255BC" w:rsidP="00B255BC">
            <w:pPr>
              <w:pStyle w:val="COMMLevel2Legal"/>
              <w:numPr>
                <w:ilvl w:val="0"/>
                <w:numId w:val="0"/>
              </w:numPr>
              <w:spacing w:after="0" w:line="240" w:lineRule="auto"/>
              <w:jc w:val="center"/>
              <w:rPr>
                <w:rFonts w:ascii="Verdana" w:hAnsi="Verdana"/>
                <w:color w:val="auto"/>
              </w:rPr>
            </w:pPr>
            <w:r w:rsidRPr="00B255BC">
              <w:rPr>
                <w:rFonts w:ascii="Verdana" w:hAnsi="Verdana"/>
                <w:color w:val="auto"/>
              </w:rPr>
              <w:t>5.6%</w:t>
            </w:r>
          </w:p>
        </w:tc>
      </w:tr>
    </w:tbl>
    <w:p w:rsidR="00A20FE9" w:rsidRPr="00D07420" w:rsidRDefault="00A20FE9" w:rsidP="002D2940">
      <w:pPr>
        <w:spacing w:after="0"/>
        <w:rPr>
          <w:rStyle w:val="Heading1Char"/>
          <w:color w:val="auto"/>
        </w:rPr>
      </w:pPr>
    </w:p>
    <w:p w:rsidR="00C746AE" w:rsidRPr="00D07420" w:rsidRDefault="00C746AE" w:rsidP="002D2940">
      <w:pPr>
        <w:spacing w:after="0"/>
        <w:rPr>
          <w:rStyle w:val="Heading1Char"/>
          <w:color w:val="auto"/>
        </w:rPr>
      </w:pPr>
    </w:p>
    <w:sectPr w:rsidR="00C746AE" w:rsidRPr="00D07420" w:rsidSect="00410BCF">
      <w:headerReference w:type="default" r:id="rId22"/>
      <w:footerReference w:type="default" r:id="rId23"/>
      <w:headerReference w:type="first" r:id="rId24"/>
      <w:pgSz w:w="11907" w:h="16840" w:code="9"/>
      <w:pgMar w:top="2432" w:right="1134" w:bottom="1440" w:left="1276"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8F3" w:rsidRDefault="009B18F3" w:rsidP="00BB7422">
      <w:pPr>
        <w:spacing w:after="0" w:line="240" w:lineRule="auto"/>
      </w:pPr>
      <w:r>
        <w:separator/>
      </w:r>
    </w:p>
  </w:endnote>
  <w:endnote w:type="continuationSeparator" w:id="0">
    <w:p w:rsidR="009B18F3" w:rsidRDefault="009B18F3" w:rsidP="00BB7422">
      <w:pPr>
        <w:spacing w:after="0" w:line="240" w:lineRule="auto"/>
      </w:pPr>
      <w:r>
        <w:continuationSeparator/>
      </w:r>
    </w:p>
  </w:endnote>
  <w:endnote w:type="continuationNotice" w:id="1">
    <w:p w:rsidR="009B18F3" w:rsidRDefault="009B18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15Dt00">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554360"/>
      <w:docPartObj>
        <w:docPartGallery w:val="Page Numbers (Bottom of Page)"/>
        <w:docPartUnique/>
      </w:docPartObj>
    </w:sdtPr>
    <w:sdtEndPr>
      <w:rPr>
        <w:noProof/>
      </w:rPr>
    </w:sdtEndPr>
    <w:sdtContent>
      <w:p w:rsidR="00E51EDA" w:rsidRDefault="00E51EDA">
        <w:pPr>
          <w:pStyle w:val="Footer"/>
          <w:jc w:val="right"/>
        </w:pPr>
        <w:r>
          <w:fldChar w:fldCharType="begin"/>
        </w:r>
        <w:r>
          <w:instrText xml:space="preserve"> PAGE   \* MERGEFORMAT </w:instrText>
        </w:r>
        <w:r>
          <w:fldChar w:fldCharType="separate"/>
        </w:r>
        <w:r w:rsidR="00B75514">
          <w:rPr>
            <w:noProof/>
          </w:rPr>
          <w:t>33</w:t>
        </w:r>
        <w:r>
          <w:rPr>
            <w:noProof/>
          </w:rPr>
          <w:fldChar w:fldCharType="end"/>
        </w:r>
      </w:p>
    </w:sdtContent>
  </w:sdt>
  <w:p w:rsidR="00E51EDA" w:rsidRDefault="00E51ED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8F3" w:rsidRDefault="009B18F3" w:rsidP="00BB7422">
      <w:pPr>
        <w:spacing w:after="0" w:line="240" w:lineRule="auto"/>
      </w:pPr>
      <w:r>
        <w:separator/>
      </w:r>
    </w:p>
  </w:footnote>
  <w:footnote w:type="continuationSeparator" w:id="0">
    <w:p w:rsidR="009B18F3" w:rsidRDefault="009B18F3" w:rsidP="00BB7422">
      <w:pPr>
        <w:spacing w:after="0" w:line="240" w:lineRule="auto"/>
      </w:pPr>
      <w:r>
        <w:continuationSeparator/>
      </w:r>
    </w:p>
  </w:footnote>
  <w:footnote w:type="continuationNotice" w:id="1">
    <w:p w:rsidR="009B18F3" w:rsidRDefault="009B18F3">
      <w:pPr>
        <w:spacing w:after="0" w:line="240" w:lineRule="auto"/>
      </w:pPr>
    </w:p>
  </w:footnote>
  <w:footnote w:id="2">
    <w:p w:rsidR="009455B2" w:rsidRDefault="009455B2" w:rsidP="009455B2">
      <w:pPr>
        <w:pStyle w:val="FootnoteText"/>
      </w:pPr>
      <w:r>
        <w:rPr>
          <w:rStyle w:val="FootnoteReference"/>
        </w:rPr>
        <w:footnoteRef/>
      </w:r>
      <w:r>
        <w:t xml:space="preserve"> NSWBC survey results will be presented in Part III of this submission.</w:t>
      </w:r>
    </w:p>
  </w:footnote>
  <w:footnote w:id="3">
    <w:p w:rsidR="009455B2" w:rsidRDefault="009455B2" w:rsidP="009455B2">
      <w:pPr>
        <w:pStyle w:val="FootnoteText"/>
      </w:pPr>
      <w:r>
        <w:rPr>
          <w:rStyle w:val="FootnoteReference"/>
        </w:rPr>
        <w:footnoteRef/>
      </w:r>
      <w:r>
        <w:t xml:space="preserve"> Para 92, [2017] FWCFB 3500</w:t>
      </w:r>
    </w:p>
  </w:footnote>
  <w:footnote w:id="4">
    <w:p w:rsidR="00E51EDA" w:rsidRDefault="00E51EDA">
      <w:pPr>
        <w:pStyle w:val="FootnoteText"/>
      </w:pPr>
      <w:r>
        <w:rPr>
          <w:rStyle w:val="FootnoteReference"/>
        </w:rPr>
        <w:footnoteRef/>
      </w:r>
      <w:r>
        <w:t xml:space="preserve"> Para 37, [2017] FWCFB 1001</w:t>
      </w:r>
    </w:p>
  </w:footnote>
  <w:footnote w:id="5">
    <w:p w:rsidR="00E51EDA" w:rsidRDefault="00E51EDA" w:rsidP="00323C8D">
      <w:pPr>
        <w:pStyle w:val="FootnoteText"/>
      </w:pPr>
      <w:r w:rsidRPr="00A32288">
        <w:rPr>
          <w:rStyle w:val="FootnoteReference"/>
        </w:rPr>
        <w:footnoteRef/>
      </w:r>
      <w:r w:rsidRPr="00A32288">
        <w:t xml:space="preserve"> Para 91, [2017] FWCFB</w:t>
      </w:r>
      <w:r>
        <w:t xml:space="preserve"> 35</w:t>
      </w:r>
      <w:r w:rsidRPr="00ED2C76">
        <w:t>00</w:t>
      </w:r>
    </w:p>
  </w:footnote>
  <w:footnote w:id="6">
    <w:p w:rsidR="00E51EDA" w:rsidRPr="00BB19B2" w:rsidRDefault="00E51EDA" w:rsidP="0063311B">
      <w:pPr>
        <w:pStyle w:val="Heading1"/>
        <w:shd w:val="clear" w:color="auto" w:fill="FFFFFF"/>
        <w:spacing w:before="0" w:after="0"/>
        <w:rPr>
          <w:rFonts w:asciiTheme="minorHAnsi" w:hAnsiTheme="minorHAnsi" w:cs="Tahoma"/>
          <w:bCs w:val="0"/>
          <w:color w:val="auto"/>
          <w:sz w:val="20"/>
          <w:szCs w:val="20"/>
        </w:rPr>
      </w:pPr>
      <w:r w:rsidRPr="00BB19B2">
        <w:rPr>
          <w:rStyle w:val="FootnoteReference"/>
          <w:rFonts w:asciiTheme="minorHAnsi" w:hAnsiTheme="minorHAnsi"/>
          <w:color w:val="auto"/>
          <w:sz w:val="20"/>
          <w:szCs w:val="20"/>
        </w:rPr>
        <w:footnoteRef/>
      </w:r>
      <w:r w:rsidRPr="00BB19B2">
        <w:rPr>
          <w:rFonts w:asciiTheme="minorHAnsi" w:hAnsiTheme="minorHAnsi" w:cs="Tahoma"/>
          <w:bCs w:val="0"/>
          <w:color w:val="auto"/>
          <w:sz w:val="20"/>
          <w:szCs w:val="20"/>
        </w:rPr>
        <w:t>Three Questions About the Outlook, Luci Ellis (Assistant Governor Economic), Address to the ABE Conference, 13/2/2018</w:t>
      </w:r>
      <w:r>
        <w:rPr>
          <w:rFonts w:asciiTheme="minorHAnsi" w:hAnsiTheme="minorHAnsi" w:cs="Tahoma"/>
          <w:bCs w:val="0"/>
          <w:color w:val="auto"/>
          <w:sz w:val="20"/>
          <w:szCs w:val="20"/>
        </w:rPr>
        <w:t xml:space="preserve">, </w:t>
      </w:r>
      <w:r w:rsidRPr="00BB19B2">
        <w:rPr>
          <w:rFonts w:asciiTheme="minorHAnsi" w:hAnsiTheme="minorHAnsi" w:cs="Tahoma"/>
          <w:bCs w:val="0"/>
          <w:color w:val="auto"/>
          <w:sz w:val="20"/>
          <w:szCs w:val="20"/>
        </w:rPr>
        <w:t>https://www.rba.gov.au/speeches/2018/sp-ag-2018-02-13.html</w:t>
      </w:r>
    </w:p>
  </w:footnote>
  <w:footnote w:id="7">
    <w:p w:rsidR="00E51EDA" w:rsidRDefault="00E51EDA" w:rsidP="0063311B">
      <w:pPr>
        <w:pStyle w:val="FootnoteText"/>
      </w:pPr>
      <w:r>
        <w:rPr>
          <w:rStyle w:val="FootnoteReference"/>
        </w:rPr>
        <w:footnoteRef/>
      </w:r>
      <w:r>
        <w:t xml:space="preserve"> Ibid</w:t>
      </w:r>
    </w:p>
  </w:footnote>
  <w:footnote w:id="8">
    <w:p w:rsidR="00E51EDA" w:rsidRPr="00A32288" w:rsidRDefault="00E51EDA">
      <w:pPr>
        <w:pStyle w:val="FootnoteText"/>
      </w:pPr>
      <w:r w:rsidRPr="00A32288">
        <w:rPr>
          <w:rStyle w:val="FootnoteReference"/>
        </w:rPr>
        <w:footnoteRef/>
      </w:r>
      <w:r>
        <w:t xml:space="preserve"> Para 90, [2017] FWCFB 3500</w:t>
      </w:r>
    </w:p>
  </w:footnote>
  <w:footnote w:id="9">
    <w:p w:rsidR="00E51EDA" w:rsidRDefault="00E51EDA" w:rsidP="00905FA3">
      <w:pPr>
        <w:pStyle w:val="FootnoteText"/>
      </w:pPr>
      <w:r w:rsidRPr="00A32288">
        <w:rPr>
          <w:rStyle w:val="FootnoteReference"/>
        </w:rPr>
        <w:footnoteRef/>
      </w:r>
      <w:r w:rsidRPr="00A32288">
        <w:t xml:space="preserve"> Para 93, [2017</w:t>
      </w:r>
      <w:r>
        <w:t>] FWCFB 35</w:t>
      </w:r>
      <w:r w:rsidRPr="00ED2C76">
        <w:t>00</w:t>
      </w:r>
    </w:p>
  </w:footnote>
  <w:footnote w:id="10">
    <w:p w:rsidR="00E51EDA" w:rsidRDefault="00E51EDA">
      <w:pPr>
        <w:pStyle w:val="FootnoteText"/>
      </w:pPr>
      <w:r>
        <w:rPr>
          <w:rStyle w:val="FootnoteReference"/>
        </w:rPr>
        <w:footnoteRef/>
      </w:r>
      <w:r>
        <w:t xml:space="preserve"> That is, the data relied on to inform the decision though not necessarily the actual economic conditions (to the extent that they differed from complete data available after the decision).</w:t>
      </w:r>
    </w:p>
  </w:footnote>
  <w:footnote w:id="11">
    <w:p w:rsidR="00E51EDA" w:rsidRDefault="00E51EDA" w:rsidP="00E460B3">
      <w:pPr>
        <w:pStyle w:val="FootnoteText"/>
      </w:pPr>
      <w:r>
        <w:rPr>
          <w:rStyle w:val="FootnoteReference"/>
        </w:rPr>
        <w:footnoteRef/>
      </w:r>
      <w:r>
        <w:t xml:space="preserve"> Para 7, [2015] FWCFB 3500</w:t>
      </w:r>
    </w:p>
  </w:footnote>
  <w:footnote w:id="12">
    <w:p w:rsidR="00E51EDA" w:rsidRPr="0095164A" w:rsidRDefault="00E51EDA" w:rsidP="009072C8">
      <w:pPr>
        <w:pStyle w:val="FootnoteText"/>
      </w:pPr>
      <w:r w:rsidRPr="0095164A">
        <w:rPr>
          <w:rStyle w:val="FootnoteReference"/>
        </w:rPr>
        <w:footnoteRef/>
      </w:r>
      <w:r w:rsidRPr="0095164A">
        <w:t xml:space="preserve"> </w:t>
      </w:r>
      <w:r w:rsidRPr="0095164A">
        <w:rPr>
          <w:color w:val="000000"/>
        </w:rPr>
        <w:t>Para 14</w:t>
      </w:r>
      <w:r>
        <w:rPr>
          <w:color w:val="000000"/>
        </w:rPr>
        <w:t>, [2017] FWCFB 3500</w:t>
      </w:r>
    </w:p>
  </w:footnote>
  <w:footnote w:id="13">
    <w:p w:rsidR="00E51EDA" w:rsidRPr="001C0A2A" w:rsidRDefault="00E51EDA" w:rsidP="009072C8">
      <w:pPr>
        <w:pStyle w:val="FootnoteText"/>
        <w:rPr>
          <w:rFonts w:ascii="Calibri" w:hAnsi="Calibri"/>
        </w:rPr>
      </w:pPr>
      <w:r w:rsidRPr="0095164A">
        <w:rPr>
          <w:rStyle w:val="FootnoteReference"/>
          <w:rFonts w:ascii="Calibri" w:hAnsi="Calibri"/>
        </w:rPr>
        <w:footnoteRef/>
      </w:r>
      <w:r w:rsidRPr="0095164A">
        <w:rPr>
          <w:rFonts w:ascii="Calibri" w:hAnsi="Calibri"/>
        </w:rPr>
        <w:t xml:space="preserve"> Para 507, ibid</w:t>
      </w:r>
    </w:p>
  </w:footnote>
  <w:footnote w:id="14">
    <w:p w:rsidR="00E51EDA" w:rsidRDefault="00E51EDA" w:rsidP="00210CDC">
      <w:pPr>
        <w:pStyle w:val="FootnoteText"/>
      </w:pPr>
      <w:r>
        <w:rPr>
          <w:rStyle w:val="FootnoteReference"/>
        </w:rPr>
        <w:footnoteRef/>
      </w:r>
      <w:r>
        <w:t xml:space="preserve"> Para 8, [2013] FWCFB 4000</w:t>
      </w:r>
    </w:p>
  </w:footnote>
  <w:footnote w:id="15">
    <w:p w:rsidR="00E51EDA" w:rsidRPr="00565364" w:rsidRDefault="00E51EDA" w:rsidP="002D2940">
      <w:pPr>
        <w:rPr>
          <w:sz w:val="20"/>
          <w:szCs w:val="20"/>
        </w:rPr>
      </w:pPr>
      <w:r w:rsidRPr="00565364">
        <w:rPr>
          <w:rStyle w:val="FootnoteReference"/>
          <w:sz w:val="20"/>
          <w:szCs w:val="20"/>
        </w:rPr>
        <w:footnoteRef/>
      </w:r>
      <w:r w:rsidRPr="00565364">
        <w:rPr>
          <w:sz w:val="20"/>
          <w:szCs w:val="20"/>
        </w:rPr>
        <w:t xml:space="preserve"> p232, Productivity Commission (2015), </w:t>
      </w:r>
      <w:r w:rsidRPr="00565364">
        <w:rPr>
          <w:i/>
          <w:sz w:val="20"/>
          <w:szCs w:val="20"/>
        </w:rPr>
        <w:t>Workplace Relations Framework Inquiry Report</w:t>
      </w:r>
      <w:r>
        <w:rPr>
          <w:sz w:val="20"/>
          <w:szCs w:val="20"/>
        </w:rPr>
        <w:t>, Volume 1</w:t>
      </w:r>
    </w:p>
  </w:footnote>
  <w:footnote w:id="16">
    <w:p w:rsidR="00E51EDA" w:rsidRDefault="00E51EDA">
      <w:pPr>
        <w:pStyle w:val="FootnoteText"/>
      </w:pPr>
      <w:r>
        <w:rPr>
          <w:rStyle w:val="FootnoteReference"/>
        </w:rPr>
        <w:footnoteRef/>
      </w:r>
      <w:r>
        <w:t xml:space="preserve"> Primary contacts on the NSW Business Chamber membership list are invited to participate in the Business Conditions Survey and so interviewees are typically business owners or senior executives responding on behalf of their business.</w:t>
      </w:r>
    </w:p>
  </w:footnote>
  <w:footnote w:id="17">
    <w:p w:rsidR="00E51EDA" w:rsidRDefault="00E51EDA">
      <w:pPr>
        <w:pStyle w:val="FootnoteText"/>
      </w:pPr>
      <w:r>
        <w:rPr>
          <w:rStyle w:val="FootnoteReference"/>
        </w:rPr>
        <w:footnoteRef/>
      </w:r>
      <w:r>
        <w:t xml:space="preserve"> See </w:t>
      </w:r>
      <w:hyperlink r:id="rId1" w:history="1">
        <w:r w:rsidRPr="00CB1527">
          <w:rPr>
            <w:rStyle w:val="Hyperlink"/>
          </w:rPr>
          <w:t>http://www.nswbusinesschamber.com.au/Issues/Business-Surveys/Business-Conditions</w:t>
        </w:r>
      </w:hyperlink>
      <w:r>
        <w:t xml:space="preserve"> for details.</w:t>
      </w:r>
    </w:p>
  </w:footnote>
  <w:footnote w:id="18">
    <w:p w:rsidR="00E51EDA" w:rsidRDefault="00E51EDA" w:rsidP="0049263E">
      <w:pPr>
        <w:pStyle w:val="FootnoteText"/>
      </w:pPr>
      <w:r w:rsidRPr="002D2940">
        <w:rPr>
          <w:rStyle w:val="FootnoteReference"/>
        </w:rPr>
        <w:footnoteRef/>
      </w:r>
      <w:r w:rsidRPr="002D2940">
        <w:t xml:space="preserve"> Paras 438</w:t>
      </w:r>
      <w:r>
        <w:t>—442</w:t>
      </w:r>
      <w:r w:rsidRPr="00ED2C76">
        <w:t>, [201</w:t>
      </w:r>
      <w:r>
        <w:t>3] FWCFB 40</w:t>
      </w:r>
      <w:r w:rsidRPr="00ED2C76">
        <w:t>00</w:t>
      </w:r>
    </w:p>
  </w:footnote>
  <w:footnote w:id="19">
    <w:p w:rsidR="00E51EDA" w:rsidRDefault="00E51EDA">
      <w:pPr>
        <w:pStyle w:val="FootnoteText"/>
      </w:pPr>
      <w:r>
        <w:rPr>
          <w:rStyle w:val="FootnoteReference"/>
        </w:rPr>
        <w:footnoteRef/>
      </w:r>
      <w:r>
        <w:t xml:space="preserve"> Paras 535—538</w:t>
      </w:r>
      <w:r w:rsidRPr="00ED2C76">
        <w:t>, [201</w:t>
      </w:r>
      <w:r>
        <w:t>7] FWCFB 35</w:t>
      </w:r>
      <w:r w:rsidRPr="00ED2C76">
        <w:t>00</w:t>
      </w:r>
    </w:p>
  </w:footnote>
  <w:footnote w:id="20">
    <w:p w:rsidR="00E51EDA" w:rsidRDefault="00E51EDA" w:rsidP="002A716B">
      <w:pPr>
        <w:pStyle w:val="FootnoteText"/>
      </w:pPr>
      <w:r>
        <w:rPr>
          <w:rStyle w:val="FootnoteReference"/>
        </w:rPr>
        <w:footnoteRef/>
      </w:r>
      <w:r>
        <w:t xml:space="preserve"> Paras 535—538</w:t>
      </w:r>
      <w:r w:rsidRPr="00ED2C76">
        <w:t>, [201</w:t>
      </w:r>
      <w:r>
        <w:t>7] FWCFB 35</w:t>
      </w:r>
      <w:r w:rsidRPr="00ED2C76">
        <w:t>00</w:t>
      </w:r>
    </w:p>
  </w:footnote>
  <w:footnote w:id="21">
    <w:p w:rsidR="00E51EDA" w:rsidRDefault="00E51EDA">
      <w:pPr>
        <w:pStyle w:val="FootnoteText"/>
      </w:pPr>
      <w:r>
        <w:rPr>
          <w:rStyle w:val="FootnoteReference"/>
        </w:rPr>
        <w:footnoteRef/>
      </w:r>
      <w:r>
        <w:t xml:space="preserve"> Part II </w:t>
      </w:r>
      <w:r w:rsidRPr="00E35839">
        <w:t xml:space="preserve">noted some of the reasons why </w:t>
      </w:r>
      <w:r>
        <w:t>disemployment effects</w:t>
      </w:r>
      <w:r w:rsidRPr="00E35839">
        <w:t xml:space="preserve"> may not necessarily be captured in the broader labour market data</w:t>
      </w:r>
      <w:r>
        <w:t xml:space="preserve"> because of the</w:t>
      </w:r>
      <w:r w:rsidRPr="00E35839">
        <w:t xml:space="preserve"> difficult</w:t>
      </w:r>
      <w:r>
        <w:t>y in</w:t>
      </w:r>
      <w:r w:rsidRPr="00E35839">
        <w:t xml:space="preserve"> isolat</w:t>
      </w:r>
      <w:r>
        <w:t>ing</w:t>
      </w:r>
      <w:r w:rsidRPr="00E35839">
        <w:t xml:space="preserve"> how the award-reliant segment of the workforce is affected</w:t>
      </w:r>
      <w:r>
        <w:t>.</w:t>
      </w:r>
    </w:p>
  </w:footnote>
  <w:footnote w:id="22">
    <w:p w:rsidR="00E51EDA" w:rsidRDefault="00E51EDA">
      <w:pPr>
        <w:pStyle w:val="FootnoteText"/>
      </w:pPr>
      <w:r>
        <w:rPr>
          <w:rStyle w:val="FootnoteReference"/>
        </w:rPr>
        <w:footnoteRef/>
      </w:r>
      <w:r>
        <w:t xml:space="preserve"> Paras 29 – 30, [2017] FWCFB 3500</w:t>
      </w:r>
    </w:p>
  </w:footnote>
  <w:footnote w:id="23">
    <w:p w:rsidR="00E51EDA" w:rsidRDefault="00E51EDA">
      <w:pPr>
        <w:pStyle w:val="FootnoteText"/>
      </w:pPr>
      <w:r>
        <w:rPr>
          <w:rStyle w:val="FootnoteReference"/>
        </w:rPr>
        <w:footnoteRef/>
      </w:r>
      <w:r>
        <w:t xml:space="preserve"> Paras 127 – 128, [2017] FWCFB 3500</w:t>
      </w:r>
    </w:p>
  </w:footnote>
  <w:footnote w:id="24">
    <w:p w:rsidR="00E51EDA" w:rsidRDefault="00E51EDA">
      <w:pPr>
        <w:pStyle w:val="FootnoteText"/>
      </w:pPr>
      <w:r>
        <w:rPr>
          <w:rStyle w:val="FootnoteReference"/>
        </w:rPr>
        <w:footnoteRef/>
      </w:r>
      <w:r>
        <w:t xml:space="preserve"> Para 45, [2017] FCAFC 161 following paras 28 -  29, [2017] FCAFC 123</w:t>
      </w:r>
    </w:p>
  </w:footnote>
  <w:footnote w:id="25">
    <w:p w:rsidR="00E51EDA" w:rsidRDefault="00E51EDA">
      <w:pPr>
        <w:pStyle w:val="FootnoteText"/>
      </w:pPr>
      <w:r>
        <w:rPr>
          <w:rStyle w:val="FootnoteReference"/>
        </w:rPr>
        <w:footnoteRef/>
      </w:r>
      <w:r>
        <w:t xml:space="preserve"> Para 61 – 63, [2017] FCAFC 161</w:t>
      </w:r>
    </w:p>
  </w:footnote>
  <w:footnote w:id="26">
    <w:p w:rsidR="00E51EDA" w:rsidRDefault="00E51EDA">
      <w:pPr>
        <w:pStyle w:val="FootnoteText"/>
      </w:pPr>
      <w:r>
        <w:rPr>
          <w:rStyle w:val="FootnoteReference"/>
        </w:rPr>
        <w:footnoteRef/>
      </w:r>
      <w:r>
        <w:t xml:space="preserve"> Paras 81, 83 and 93 [2017] FCAFC 161</w:t>
      </w:r>
    </w:p>
  </w:footnote>
  <w:footnote w:id="27">
    <w:p w:rsidR="00E51EDA" w:rsidRDefault="00E51EDA">
      <w:pPr>
        <w:pStyle w:val="FootnoteText"/>
      </w:pPr>
      <w:r>
        <w:rPr>
          <w:rStyle w:val="FootnoteReference"/>
        </w:rPr>
        <w:footnoteRef/>
      </w:r>
      <w:r>
        <w:t xml:space="preserve"> Para 71, [2017] FCAFC 161</w:t>
      </w:r>
    </w:p>
  </w:footnote>
  <w:footnote w:id="28">
    <w:p w:rsidR="00E51EDA" w:rsidRDefault="00E51EDA">
      <w:pPr>
        <w:pStyle w:val="FootnoteText"/>
      </w:pPr>
      <w:r>
        <w:rPr>
          <w:rStyle w:val="FootnoteReference"/>
        </w:rPr>
        <w:footnoteRef/>
      </w:r>
      <w:r>
        <w:t xml:space="preserve"> Para 45, [2017] FWCFB 1931</w:t>
      </w:r>
    </w:p>
  </w:footnote>
  <w:footnote w:id="29">
    <w:p w:rsidR="00E51EDA" w:rsidRDefault="00E51EDA">
      <w:pPr>
        <w:pStyle w:val="FootnoteText"/>
      </w:pPr>
      <w:r>
        <w:rPr>
          <w:rStyle w:val="FootnoteReference"/>
        </w:rPr>
        <w:footnoteRef/>
      </w:r>
      <w:r>
        <w:t xml:space="preserve"> Para 43, [2017] FWCFB 2955</w:t>
      </w:r>
    </w:p>
  </w:footnote>
  <w:footnote w:id="30">
    <w:p w:rsidR="00E51EDA" w:rsidRDefault="00E51EDA">
      <w:pPr>
        <w:pStyle w:val="FootnoteText"/>
      </w:pPr>
      <w:r>
        <w:rPr>
          <w:rStyle w:val="FootnoteReference"/>
        </w:rPr>
        <w:footnoteRef/>
      </w:r>
      <w:r>
        <w:t xml:space="preserve"> Para 90, [2017] FCAFC 161</w:t>
      </w:r>
    </w:p>
  </w:footnote>
  <w:footnote w:id="31">
    <w:p w:rsidR="00E51EDA" w:rsidRDefault="00E51EDA">
      <w:pPr>
        <w:pStyle w:val="FootnoteText"/>
      </w:pPr>
      <w:r>
        <w:rPr>
          <w:rStyle w:val="FootnoteReference"/>
        </w:rPr>
        <w:footnoteRef/>
      </w:r>
      <w:r>
        <w:t xml:space="preserve"> Para 50, [2017] FWCFB 1931</w:t>
      </w:r>
    </w:p>
  </w:footnote>
  <w:footnote w:id="32">
    <w:p w:rsidR="00E51EDA" w:rsidRDefault="00E51EDA">
      <w:pPr>
        <w:pStyle w:val="FootnoteText"/>
      </w:pPr>
      <w:r>
        <w:rPr>
          <w:rStyle w:val="FootnoteReference"/>
        </w:rPr>
        <w:footnoteRef/>
      </w:r>
      <w:r>
        <w:t xml:space="preserve"> Paras 53 and 55, [2017] FWCFB 1931</w:t>
      </w:r>
    </w:p>
  </w:footnote>
  <w:footnote w:id="33">
    <w:p w:rsidR="00E51EDA" w:rsidRDefault="00E51EDA" w:rsidP="00D05197">
      <w:pPr>
        <w:pStyle w:val="FootnoteText"/>
      </w:pPr>
      <w:r>
        <w:rPr>
          <w:rStyle w:val="FootnoteReference"/>
        </w:rPr>
        <w:footnoteRef/>
      </w:r>
      <w:r>
        <w:t xml:space="preserve"> Para 523, [2017] FWCFB 3500</w:t>
      </w:r>
    </w:p>
  </w:footnote>
  <w:footnote w:id="34">
    <w:p w:rsidR="00E51EDA" w:rsidRDefault="00E51EDA" w:rsidP="009303DF">
      <w:pPr>
        <w:pStyle w:val="FootnoteText"/>
      </w:pPr>
      <w:r w:rsidRPr="002C4836">
        <w:rPr>
          <w:rStyle w:val="FootnoteReference"/>
        </w:rPr>
        <w:footnoteRef/>
      </w:r>
      <w:r w:rsidRPr="002C4836">
        <w:t xml:space="preserve"> For example see Paras 187-211, [2017] FWCFB 3500</w:t>
      </w:r>
    </w:p>
  </w:footnote>
  <w:footnote w:id="35">
    <w:p w:rsidR="00E51EDA" w:rsidRDefault="00E51EDA">
      <w:pPr>
        <w:pStyle w:val="FootnoteText"/>
      </w:pPr>
      <w:r>
        <w:rPr>
          <w:rStyle w:val="FootnoteReference"/>
        </w:rPr>
        <w:footnoteRef/>
      </w:r>
      <w:r>
        <w:t xml:space="preserve"> Para 523, [2017] FWCFB 3500</w:t>
      </w:r>
    </w:p>
  </w:footnote>
  <w:footnote w:id="36">
    <w:p w:rsidR="00E51EDA" w:rsidRDefault="00E51EDA" w:rsidP="001A40A2">
      <w:pPr>
        <w:pStyle w:val="FootnoteText"/>
      </w:pPr>
      <w:r>
        <w:rPr>
          <w:rStyle w:val="FootnoteReference"/>
        </w:rPr>
        <w:footnoteRef/>
      </w:r>
      <w:r>
        <w:t xml:space="preserve"> Hafner M, Taylor J, Pankowska P, Stepanek M, Nataraj S &amp; van Stolk C (2016), </w:t>
      </w:r>
      <w:r w:rsidRPr="00674412">
        <w:rPr>
          <w:i/>
        </w:rPr>
        <w:t>The impact of the National Minimum Wage on employment: a meta-analysis</w:t>
      </w:r>
      <w:r>
        <w:t>, RAND Europe, a report for the UK Low Pay Commission, October</w:t>
      </w:r>
    </w:p>
  </w:footnote>
  <w:footnote w:id="37">
    <w:p w:rsidR="00E51EDA" w:rsidRPr="001A40A2" w:rsidRDefault="00E51EDA" w:rsidP="001A40A2">
      <w:pPr>
        <w:pStyle w:val="FootnoteText"/>
        <w:rPr>
          <w:i/>
        </w:rPr>
      </w:pPr>
      <w:r>
        <w:rPr>
          <w:rStyle w:val="FootnoteReference"/>
        </w:rPr>
        <w:footnoteRef/>
      </w:r>
      <w:r>
        <w:t xml:space="preserve"> Borland J (2018), </w:t>
      </w:r>
      <w:r w:rsidRPr="001A40A2">
        <w:rPr>
          <w:i/>
        </w:rPr>
        <w:t>A review of methods applied in international research on the employment effects of the minimum wage and implication for Australian research</w:t>
      </w:r>
      <w:r>
        <w:rPr>
          <w:i/>
        </w:rPr>
        <w:t>,</w:t>
      </w:r>
      <w:r w:rsidRPr="001A40A2">
        <w:t xml:space="preserve"> </w:t>
      </w:r>
      <w:r>
        <w:t>FWC Research report 4/2018</w:t>
      </w:r>
    </w:p>
  </w:footnote>
  <w:footnote w:id="38">
    <w:p w:rsidR="00E51EDA" w:rsidRDefault="00E51EDA">
      <w:pPr>
        <w:pStyle w:val="FootnoteText"/>
      </w:pPr>
      <w:r>
        <w:rPr>
          <w:rStyle w:val="FootnoteReference"/>
        </w:rPr>
        <w:footnoteRef/>
      </w:r>
      <w:r>
        <w:t xml:space="preserve"> P 32, Hafner M, Taylor J, Pankowska P, Stepanek M, Nataraj S &amp; van Stolk C (2016), </w:t>
      </w:r>
      <w:r w:rsidRPr="00674412">
        <w:rPr>
          <w:i/>
        </w:rPr>
        <w:t>The impact of the National Minimum Wage on employment: a meta-analysis</w:t>
      </w:r>
      <w:r>
        <w:t>, RAND Europe, a report for the UK Low Pay Commission, October</w:t>
      </w:r>
    </w:p>
  </w:footnote>
  <w:footnote w:id="39">
    <w:p w:rsidR="00E51EDA" w:rsidRPr="008D203C" w:rsidRDefault="00E51EDA" w:rsidP="007D180C">
      <w:pPr>
        <w:pStyle w:val="FootnoteText"/>
      </w:pPr>
      <w:r w:rsidRPr="008D203C">
        <w:rPr>
          <w:rStyle w:val="FootnoteReference"/>
        </w:rPr>
        <w:footnoteRef/>
      </w:r>
      <w:r w:rsidRPr="008D203C">
        <w:t xml:space="preserve"> </w:t>
      </w:r>
      <w:r>
        <w:t>P</w:t>
      </w:r>
      <w:r w:rsidRPr="008D203C">
        <w:t>ara</w:t>
      </w:r>
      <w:r>
        <w:t xml:space="preserve"> </w:t>
      </w:r>
      <w:r w:rsidRPr="008D203C">
        <w:t>435</w:t>
      </w:r>
      <w:r>
        <w:t>, [2015] FWCFB 3500</w:t>
      </w:r>
    </w:p>
  </w:footnote>
  <w:footnote w:id="40">
    <w:p w:rsidR="00E51EDA" w:rsidRPr="008D203C" w:rsidRDefault="00E51EDA" w:rsidP="007D180C">
      <w:pPr>
        <w:spacing w:after="0"/>
        <w:rPr>
          <w:sz w:val="20"/>
          <w:szCs w:val="20"/>
        </w:rPr>
      </w:pPr>
      <w:r w:rsidRPr="008D203C">
        <w:rPr>
          <w:rStyle w:val="FootnoteReference"/>
          <w:sz w:val="20"/>
          <w:szCs w:val="20"/>
        </w:rPr>
        <w:footnoteRef/>
      </w:r>
      <w:r w:rsidRPr="008D203C">
        <w:rPr>
          <w:sz w:val="20"/>
          <w:szCs w:val="20"/>
        </w:rPr>
        <w:t xml:space="preserve"> </w:t>
      </w:r>
      <w:r>
        <w:rPr>
          <w:sz w:val="20"/>
          <w:szCs w:val="20"/>
        </w:rPr>
        <w:t xml:space="preserve">P 202, </w:t>
      </w:r>
      <w:r w:rsidRPr="008D203C">
        <w:rPr>
          <w:sz w:val="20"/>
          <w:szCs w:val="20"/>
        </w:rPr>
        <w:t xml:space="preserve">Productivity Commission (2015), </w:t>
      </w:r>
      <w:r w:rsidRPr="008D203C">
        <w:rPr>
          <w:i/>
          <w:sz w:val="20"/>
          <w:szCs w:val="20"/>
        </w:rPr>
        <w:t>Workplace Relations Framework Inquiry Report</w:t>
      </w:r>
      <w:r w:rsidRPr="008D203C">
        <w:rPr>
          <w:sz w:val="20"/>
          <w:szCs w:val="20"/>
        </w:rPr>
        <w:t>, Volume 1</w:t>
      </w:r>
    </w:p>
  </w:footnote>
  <w:footnote w:id="41">
    <w:p w:rsidR="00E51EDA" w:rsidRPr="008D203C" w:rsidRDefault="00E51EDA" w:rsidP="007D180C">
      <w:pPr>
        <w:pStyle w:val="FootnoteText"/>
      </w:pPr>
      <w:r w:rsidRPr="008D203C">
        <w:rPr>
          <w:rStyle w:val="FootnoteReference"/>
        </w:rPr>
        <w:footnoteRef/>
      </w:r>
      <w:r w:rsidRPr="008D203C">
        <w:t xml:space="preserve"> </w:t>
      </w:r>
      <w:r>
        <w:t>P</w:t>
      </w:r>
      <w:r w:rsidRPr="008D203C">
        <w:t xml:space="preserve"> 202</w:t>
      </w:r>
      <w:r>
        <w:t>, Ibid</w:t>
      </w:r>
    </w:p>
  </w:footnote>
  <w:footnote w:id="42">
    <w:p w:rsidR="00E51EDA" w:rsidRPr="00D01D82" w:rsidRDefault="00E51EDA" w:rsidP="001D4193">
      <w:pPr>
        <w:pStyle w:val="FootnoteText"/>
        <w:rPr>
          <w:rFonts w:ascii="Calibri" w:hAnsi="Calibri"/>
        </w:rPr>
      </w:pPr>
      <w:r w:rsidRPr="00D01D82">
        <w:rPr>
          <w:rStyle w:val="FootnoteReference"/>
          <w:rFonts w:ascii="Calibri" w:hAnsi="Calibri"/>
        </w:rPr>
        <w:footnoteRef/>
      </w:r>
      <w:r w:rsidRPr="00D01D82">
        <w:rPr>
          <w:rFonts w:ascii="Calibri" w:hAnsi="Calibri"/>
        </w:rPr>
        <w:t xml:space="preserve"> Para </w:t>
      </w:r>
      <w:r>
        <w:rPr>
          <w:rFonts w:ascii="Calibri" w:hAnsi="Calibri"/>
        </w:rPr>
        <w:t>104</w:t>
      </w:r>
      <w:r w:rsidRPr="00D01D82">
        <w:rPr>
          <w:rFonts w:ascii="Calibri" w:hAnsi="Calibri"/>
        </w:rPr>
        <w:t>, [201</w:t>
      </w:r>
      <w:r>
        <w:rPr>
          <w:rFonts w:ascii="Calibri" w:hAnsi="Calibri"/>
        </w:rPr>
        <w:t>6</w:t>
      </w:r>
      <w:r w:rsidRPr="00D01D82">
        <w:rPr>
          <w:rFonts w:ascii="Calibri" w:hAnsi="Calibri"/>
        </w:rPr>
        <w:t>] FW</w:t>
      </w:r>
      <w:r>
        <w:rPr>
          <w:rFonts w:ascii="Calibri" w:hAnsi="Calibri"/>
        </w:rPr>
        <w:t>C</w:t>
      </w:r>
      <w:r w:rsidRPr="00D01D82">
        <w:rPr>
          <w:rFonts w:ascii="Calibri" w:hAnsi="Calibri"/>
        </w:rPr>
        <w:t xml:space="preserve">FB </w:t>
      </w:r>
      <w:r>
        <w:rPr>
          <w:rFonts w:ascii="Calibri" w:hAnsi="Calibri"/>
        </w:rPr>
        <w:t>35</w:t>
      </w:r>
      <w:r w:rsidRPr="00D01D82">
        <w:rPr>
          <w:rFonts w:ascii="Calibri" w:hAnsi="Calibri"/>
        </w:rPr>
        <w:t>00</w:t>
      </w:r>
    </w:p>
  </w:footnote>
  <w:footnote w:id="43">
    <w:p w:rsidR="00E51EDA" w:rsidRDefault="00E51EDA">
      <w:pPr>
        <w:pStyle w:val="FootnoteText"/>
      </w:pPr>
      <w:r>
        <w:rPr>
          <w:rStyle w:val="FootnoteReference"/>
        </w:rPr>
        <w:footnoteRef/>
      </w:r>
      <w:r>
        <w:t xml:space="preserve"> PR593544</w:t>
      </w:r>
    </w:p>
  </w:footnote>
  <w:footnote w:id="44">
    <w:p w:rsidR="00E51EDA" w:rsidRDefault="00E51EDA">
      <w:pPr>
        <w:pStyle w:val="FootnoteText"/>
      </w:pPr>
      <w:r>
        <w:rPr>
          <w:rStyle w:val="FootnoteReference"/>
        </w:rPr>
        <w:footnoteRef/>
      </w:r>
      <w:r>
        <w:t xml:space="preserve"> Paras 698 and 699, [2017] FWCFB 3500</w:t>
      </w:r>
    </w:p>
  </w:footnote>
  <w:footnote w:id="45">
    <w:p w:rsidR="00E51EDA" w:rsidRDefault="00E51EDA">
      <w:pPr>
        <w:pStyle w:val="FootnoteText"/>
      </w:pPr>
      <w:r>
        <w:rPr>
          <w:rStyle w:val="FootnoteReference"/>
        </w:rPr>
        <w:footnoteRef/>
      </w:r>
      <w:r>
        <w:t xml:space="preserve"> Paras 41 and 43, [2018] FWCFB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EDA" w:rsidRDefault="00E51EDA">
    <w:pPr>
      <w:pStyle w:val="Header"/>
    </w:pPr>
    <w:r>
      <w:rPr>
        <w:noProof/>
        <w:lang w:eastAsia="en-AU"/>
      </w:rPr>
      <w:drawing>
        <wp:anchor distT="0" distB="0" distL="114300" distR="114300" simplePos="0" relativeHeight="251657728" behindDoc="1" locked="0" layoutInCell="1" allowOverlap="1" wp14:anchorId="4C1BF3C7" wp14:editId="6763F18E">
          <wp:simplePos x="0" y="0"/>
          <wp:positionH relativeFrom="page">
            <wp:posOffset>1482</wp:posOffset>
          </wp:positionH>
          <wp:positionV relativeFrom="page">
            <wp:posOffset>635</wp:posOffset>
          </wp:positionV>
          <wp:extent cx="7559040" cy="10692384"/>
          <wp:effectExtent l="0" t="0" r="381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 1699 A4 page_NBC_blank.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EDA" w:rsidRDefault="00E51EDA">
    <w:pPr>
      <w:pStyle w:val="Header"/>
    </w:pPr>
    <w:r>
      <w:rPr>
        <w:noProof/>
        <w:lang w:eastAsia="en-AU"/>
      </w:rPr>
      <w:drawing>
        <wp:anchor distT="0" distB="0" distL="114300" distR="114300" simplePos="0" relativeHeight="251656704" behindDoc="1" locked="0" layoutInCell="1" allowOverlap="1" wp14:anchorId="0036D3BE" wp14:editId="5265DCDD">
          <wp:simplePos x="0" y="0"/>
          <wp:positionH relativeFrom="page">
            <wp:posOffset>0</wp:posOffset>
          </wp:positionH>
          <wp:positionV relativeFrom="page">
            <wp:posOffset>0</wp:posOffset>
          </wp:positionV>
          <wp:extent cx="7559040" cy="10692384"/>
          <wp:effectExtent l="0" t="0" r="10160" b="127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 1699 NBC A4 page MAST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FC63F64"/>
    <w:lvl w:ilvl="0">
      <w:start w:val="1"/>
      <w:numFmt w:val="decimal"/>
      <w:pStyle w:val="ListNumber"/>
      <w:lvlText w:val="%1."/>
      <w:lvlJc w:val="left"/>
      <w:pPr>
        <w:tabs>
          <w:tab w:val="num" w:pos="360"/>
        </w:tabs>
        <w:ind w:left="360" w:hanging="360"/>
      </w:pPr>
    </w:lvl>
  </w:abstractNum>
  <w:abstractNum w:abstractNumId="1" w15:restartNumberingAfterBreak="0">
    <w:nsid w:val="0EA61FAF"/>
    <w:multiLevelType w:val="hybridMultilevel"/>
    <w:tmpl w:val="BA8AEEC0"/>
    <w:lvl w:ilvl="0" w:tplc="BFACB8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154A93"/>
    <w:multiLevelType w:val="hybridMultilevel"/>
    <w:tmpl w:val="EDD21E52"/>
    <w:lvl w:ilvl="0" w:tplc="B4D4D6F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484EE9"/>
    <w:multiLevelType w:val="hybridMultilevel"/>
    <w:tmpl w:val="D1485A4A"/>
    <w:lvl w:ilvl="0" w:tplc="312CF0DC">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6159FB"/>
    <w:multiLevelType w:val="hybridMultilevel"/>
    <w:tmpl w:val="546ADB44"/>
    <w:lvl w:ilvl="0" w:tplc="66BA52B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AD5A06"/>
    <w:multiLevelType w:val="hybridMultilevel"/>
    <w:tmpl w:val="122ED4EC"/>
    <w:lvl w:ilvl="0" w:tplc="E2DE1AAE">
      <w:start w:val="1"/>
      <w:numFmt w:val="bullet"/>
      <w:pStyle w:val="ListParagraph"/>
      <w:lvlText w:val=""/>
      <w:lvlJc w:val="left"/>
      <w:pPr>
        <w:ind w:left="720" w:hanging="360"/>
      </w:pPr>
      <w:rPr>
        <w:rFonts w:ascii="Symbol" w:hAnsi="Symbol" w:hint="default"/>
      </w:rPr>
    </w:lvl>
    <w:lvl w:ilvl="1" w:tplc="0C090003" w:tentative="1">
      <w:start w:val="1"/>
      <w:numFmt w:val="bullet"/>
      <w:pStyle w:val="Heading4"/>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0C4453"/>
    <w:multiLevelType w:val="hybridMultilevel"/>
    <w:tmpl w:val="AE3A92DC"/>
    <w:lvl w:ilvl="0" w:tplc="0C09000F">
      <w:start w:val="1"/>
      <w:numFmt w:val="decimal"/>
      <w:lvlText w:val="%1."/>
      <w:lvlJc w:val="left"/>
      <w:pPr>
        <w:ind w:left="723" w:hanging="360"/>
      </w:p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7" w15:restartNumberingAfterBreak="0">
    <w:nsid w:val="248122D8"/>
    <w:multiLevelType w:val="hybridMultilevel"/>
    <w:tmpl w:val="E13E8A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334DCF"/>
    <w:multiLevelType w:val="hybridMultilevel"/>
    <w:tmpl w:val="C25CCEDC"/>
    <w:lvl w:ilvl="0" w:tplc="73F274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0242D4"/>
    <w:multiLevelType w:val="multilevel"/>
    <w:tmpl w:val="391EA5BA"/>
    <w:numStyleLink w:val="CommLegal"/>
  </w:abstractNum>
  <w:abstractNum w:abstractNumId="10" w15:restartNumberingAfterBreak="0">
    <w:nsid w:val="372659CC"/>
    <w:multiLevelType w:val="multilevel"/>
    <w:tmpl w:val="391EA5BA"/>
    <w:styleLink w:val="CommLegal"/>
    <w:lvl w:ilvl="0">
      <w:start w:val="1"/>
      <w:numFmt w:val="decimal"/>
      <w:pStyle w:val="COMMLevel1Legal"/>
      <w:lvlText w:val="%1."/>
      <w:lvlJc w:val="left"/>
      <w:pPr>
        <w:tabs>
          <w:tab w:val="num" w:pos="720"/>
        </w:tabs>
        <w:ind w:left="720" w:hanging="720"/>
      </w:pPr>
      <w:rPr>
        <w:rFonts w:hint="default"/>
      </w:rPr>
    </w:lvl>
    <w:lvl w:ilvl="1">
      <w:start w:val="1"/>
      <w:numFmt w:val="decimal"/>
      <w:pStyle w:val="COMMLevel2Legal"/>
      <w:lvlText w:val="%1.%2"/>
      <w:lvlJc w:val="left"/>
      <w:pPr>
        <w:tabs>
          <w:tab w:val="num" w:pos="720"/>
        </w:tabs>
        <w:ind w:left="720" w:hanging="720"/>
      </w:pPr>
      <w:rPr>
        <w:rFonts w:hint="default"/>
      </w:rPr>
    </w:lvl>
    <w:lvl w:ilvl="2">
      <w:start w:val="1"/>
      <w:numFmt w:val="decimal"/>
      <w:pStyle w:val="COMMLevel3Legal"/>
      <w:lvlText w:val="%1.%2.%3"/>
      <w:lvlJc w:val="left"/>
      <w:pPr>
        <w:tabs>
          <w:tab w:val="num" w:pos="1440"/>
        </w:tabs>
        <w:ind w:left="1440" w:hanging="720"/>
      </w:pPr>
      <w:rPr>
        <w:rFonts w:hint="default"/>
      </w:rPr>
    </w:lvl>
    <w:lvl w:ilvl="3">
      <w:start w:val="1"/>
      <w:numFmt w:val="lowerLetter"/>
      <w:pStyle w:val="COMMLevel4Legal"/>
      <w:lvlText w:val="(%4)"/>
      <w:lvlJc w:val="left"/>
      <w:pPr>
        <w:tabs>
          <w:tab w:val="num" w:pos="2160"/>
        </w:tabs>
        <w:ind w:left="2160" w:hanging="720"/>
      </w:pPr>
      <w:rPr>
        <w:rFonts w:hint="default"/>
      </w:rPr>
    </w:lvl>
    <w:lvl w:ilvl="4">
      <w:start w:val="1"/>
      <w:numFmt w:val="lowerRoman"/>
      <w:pStyle w:val="COMMLevel5Legal"/>
      <w:lvlText w:val="(%5)"/>
      <w:lvlJc w:val="left"/>
      <w:pPr>
        <w:tabs>
          <w:tab w:val="num" w:pos="2880"/>
        </w:tabs>
        <w:ind w:left="2880" w:hanging="720"/>
      </w:pPr>
      <w:rPr>
        <w:rFonts w:hint="default"/>
      </w:rPr>
    </w:lvl>
    <w:lvl w:ilvl="5">
      <w:start w:val="1"/>
      <w:numFmt w:val="upperLetter"/>
      <w:pStyle w:val="COMMLevel6Legal"/>
      <w:lvlText w:val="%6"/>
      <w:lvlJc w:val="left"/>
      <w:pPr>
        <w:ind w:left="3600" w:hanging="720"/>
      </w:pPr>
      <w:rPr>
        <w:rFonts w:hint="default"/>
      </w:rPr>
    </w:lvl>
    <w:lvl w:ilvl="6">
      <w:start w:val="1"/>
      <w:numFmt w:val="decimal"/>
      <w:pStyle w:val="COMMLevel7Legal"/>
      <w:lvlText w:val="%7."/>
      <w:lvlJc w:val="left"/>
      <w:pPr>
        <w:ind w:left="4321" w:hanging="72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8A24F8C"/>
    <w:multiLevelType w:val="hybridMultilevel"/>
    <w:tmpl w:val="EAAC8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013E20"/>
    <w:multiLevelType w:val="hybridMultilevel"/>
    <w:tmpl w:val="3634D9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543FDF"/>
    <w:multiLevelType w:val="hybridMultilevel"/>
    <w:tmpl w:val="A3F8014E"/>
    <w:lvl w:ilvl="0" w:tplc="5B403168">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203BD7"/>
    <w:multiLevelType w:val="hybridMultilevel"/>
    <w:tmpl w:val="E9D64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472D21"/>
    <w:multiLevelType w:val="hybridMultilevel"/>
    <w:tmpl w:val="A30438EA"/>
    <w:lvl w:ilvl="0" w:tplc="F4E2082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B2604A"/>
    <w:multiLevelType w:val="hybridMultilevel"/>
    <w:tmpl w:val="12DCD3F8"/>
    <w:lvl w:ilvl="0" w:tplc="8A684F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F1525F"/>
    <w:multiLevelType w:val="hybridMultilevel"/>
    <w:tmpl w:val="7842F606"/>
    <w:lvl w:ilvl="0" w:tplc="CAD6FB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4F79DF"/>
    <w:multiLevelType w:val="hybridMultilevel"/>
    <w:tmpl w:val="6040E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7E09FC"/>
    <w:multiLevelType w:val="multilevel"/>
    <w:tmpl w:val="F6D4B5D6"/>
    <w:lvl w:ilvl="0">
      <w:start w:val="1"/>
      <w:numFmt w:val="decimal"/>
      <w:lvlText w:val="%1."/>
      <w:lvlJc w:val="left"/>
      <w:pPr>
        <w:tabs>
          <w:tab w:val="num" w:pos="720"/>
        </w:tabs>
        <w:ind w:left="720" w:hanging="360"/>
      </w:pPr>
      <w:rPr>
        <w:rFonts w:ascii="Arial Narrow" w:hAnsi="Arial Narrow"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D93A8C"/>
    <w:multiLevelType w:val="hybridMultilevel"/>
    <w:tmpl w:val="AE94D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00C435B"/>
    <w:multiLevelType w:val="multilevel"/>
    <w:tmpl w:val="73E82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CF0D12"/>
    <w:multiLevelType w:val="hybridMultilevel"/>
    <w:tmpl w:val="35EAD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80591F"/>
    <w:multiLevelType w:val="hybridMultilevel"/>
    <w:tmpl w:val="8F483E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4565742"/>
    <w:multiLevelType w:val="hybridMultilevel"/>
    <w:tmpl w:val="2C7ABA26"/>
    <w:lvl w:ilvl="0" w:tplc="BA284ADC">
      <w:start w:val="1"/>
      <w:numFmt w:val="bullet"/>
      <w:lvlText w:val=""/>
      <w:lvlJc w:val="left"/>
      <w:pPr>
        <w:ind w:left="770" w:hanging="360"/>
      </w:pPr>
      <w:rPr>
        <w:rFonts w:ascii="Symbol" w:hAnsi="Symbol" w:hint="default"/>
      </w:rPr>
    </w:lvl>
    <w:lvl w:ilvl="1" w:tplc="E682C0F0">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5" w15:restartNumberingAfterBreak="0">
    <w:nsid w:val="7A5010B7"/>
    <w:multiLevelType w:val="hybridMultilevel"/>
    <w:tmpl w:val="F1DE624A"/>
    <w:lvl w:ilvl="0" w:tplc="4E660CE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2605E0"/>
    <w:multiLevelType w:val="hybridMultilevel"/>
    <w:tmpl w:val="256021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D0342E5"/>
    <w:multiLevelType w:val="hybridMultilevel"/>
    <w:tmpl w:val="0A1A0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C73B67"/>
    <w:multiLevelType w:val="hybridMultilevel"/>
    <w:tmpl w:val="DB6C6080"/>
    <w:lvl w:ilvl="0" w:tplc="297842DE">
      <w:start w:val="1"/>
      <w:numFmt w:val="bullet"/>
      <w:lvlText w:val=""/>
      <w:lvlJc w:val="left"/>
      <w:pPr>
        <w:ind w:left="720" w:hanging="360"/>
      </w:pPr>
      <w:rPr>
        <w:rFonts w:ascii="Symbol" w:hAnsi="Symbol" w:hint="default"/>
      </w:rPr>
    </w:lvl>
    <w:lvl w:ilvl="1" w:tplc="727ED272">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21"/>
  </w:num>
  <w:num w:numId="4">
    <w:abstractNumId w:val="2"/>
  </w:num>
  <w:num w:numId="5">
    <w:abstractNumId w:val="10"/>
  </w:num>
  <w:num w:numId="6">
    <w:abstractNumId w:val="9"/>
  </w:num>
  <w:num w:numId="7">
    <w:abstractNumId w:val="4"/>
  </w:num>
  <w:num w:numId="8">
    <w:abstractNumId w:val="20"/>
  </w:num>
  <w:num w:numId="9">
    <w:abstractNumId w:val="27"/>
  </w:num>
  <w:num w:numId="10">
    <w:abstractNumId w:val="24"/>
  </w:num>
  <w:num w:numId="11">
    <w:abstractNumId w:val="0"/>
  </w:num>
  <w:num w:numId="12">
    <w:abstractNumId w:val="6"/>
  </w:num>
  <w:num w:numId="13">
    <w:abstractNumId w:val="3"/>
  </w:num>
  <w:num w:numId="14">
    <w:abstractNumId w:val="26"/>
  </w:num>
  <w:num w:numId="15">
    <w:abstractNumId w:val="23"/>
  </w:num>
  <w:num w:numId="16">
    <w:abstractNumId w:val="19"/>
    <w:lvlOverride w:ilvl="0">
      <w:startOverride w:val="58"/>
    </w:lvlOverride>
  </w:num>
  <w:num w:numId="17">
    <w:abstractNumId w:val="19"/>
    <w:lvlOverride w:ilvl="0">
      <w:startOverride w:val="59"/>
    </w:lvlOverride>
  </w:num>
  <w:num w:numId="18">
    <w:abstractNumId w:val="12"/>
  </w:num>
  <w:num w:numId="19">
    <w:abstractNumId w:val="16"/>
  </w:num>
  <w:num w:numId="20">
    <w:abstractNumId w:val="22"/>
  </w:num>
  <w:num w:numId="21">
    <w:abstractNumId w:val="14"/>
  </w:num>
  <w:num w:numId="22">
    <w:abstractNumId w:val="17"/>
  </w:num>
  <w:num w:numId="23">
    <w:abstractNumId w:val="13"/>
  </w:num>
  <w:num w:numId="24">
    <w:abstractNumId w:val="9"/>
  </w:num>
  <w:num w:numId="25">
    <w:abstractNumId w:val="9"/>
  </w:num>
  <w:num w:numId="26">
    <w:abstractNumId w:val="9"/>
  </w:num>
  <w:num w:numId="27">
    <w:abstractNumId w:val="15"/>
  </w:num>
  <w:num w:numId="28">
    <w:abstractNumId w:val="15"/>
  </w:num>
  <w:num w:numId="29">
    <w:abstractNumId w:val="15"/>
  </w:num>
  <w:num w:numId="30">
    <w:abstractNumId w:val="15"/>
  </w:num>
  <w:num w:numId="31">
    <w:abstractNumId w:val="11"/>
  </w:num>
  <w:num w:numId="32">
    <w:abstractNumId w:val="18"/>
  </w:num>
  <w:num w:numId="33">
    <w:abstractNumId w:val="25"/>
  </w:num>
  <w:num w:numId="34">
    <w:abstractNumId w:val="25"/>
  </w:num>
  <w:num w:numId="35">
    <w:abstractNumId w:val="25"/>
  </w:num>
  <w:num w:numId="36">
    <w:abstractNumId w:val="8"/>
  </w:num>
  <w:num w:numId="37">
    <w:abstractNumId w:val="8"/>
  </w:num>
  <w:num w:numId="38">
    <w:abstractNumId w:val="1"/>
  </w:num>
  <w:num w:numId="39">
    <w:abstractNumId w:val="5"/>
  </w:num>
  <w:num w:numId="40">
    <w:abstractNumId w:val="5"/>
  </w:num>
  <w:num w:numId="41">
    <w:abstractNumId w:val="9"/>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D2"/>
    <w:rsid w:val="00000372"/>
    <w:rsid w:val="000010E6"/>
    <w:rsid w:val="000013FD"/>
    <w:rsid w:val="00001B59"/>
    <w:rsid w:val="000027E2"/>
    <w:rsid w:val="0000454E"/>
    <w:rsid w:val="00005134"/>
    <w:rsid w:val="000052AE"/>
    <w:rsid w:val="0000613B"/>
    <w:rsid w:val="00006586"/>
    <w:rsid w:val="00006B18"/>
    <w:rsid w:val="000073CF"/>
    <w:rsid w:val="0001020F"/>
    <w:rsid w:val="0001297A"/>
    <w:rsid w:val="00014A22"/>
    <w:rsid w:val="000158EC"/>
    <w:rsid w:val="00017C8D"/>
    <w:rsid w:val="00017DED"/>
    <w:rsid w:val="000204B3"/>
    <w:rsid w:val="00021A8F"/>
    <w:rsid w:val="00021DF7"/>
    <w:rsid w:val="0002315B"/>
    <w:rsid w:val="00023291"/>
    <w:rsid w:val="00023B8F"/>
    <w:rsid w:val="0003019B"/>
    <w:rsid w:val="000301D2"/>
    <w:rsid w:val="00030C12"/>
    <w:rsid w:val="0003200F"/>
    <w:rsid w:val="0003237D"/>
    <w:rsid w:val="00034901"/>
    <w:rsid w:val="0003626C"/>
    <w:rsid w:val="00043178"/>
    <w:rsid w:val="0004356F"/>
    <w:rsid w:val="00043847"/>
    <w:rsid w:val="00043903"/>
    <w:rsid w:val="000445D7"/>
    <w:rsid w:val="0004601D"/>
    <w:rsid w:val="0004737F"/>
    <w:rsid w:val="0005043A"/>
    <w:rsid w:val="0005043F"/>
    <w:rsid w:val="0005174B"/>
    <w:rsid w:val="000526BB"/>
    <w:rsid w:val="00053ACB"/>
    <w:rsid w:val="00053F46"/>
    <w:rsid w:val="00055C9A"/>
    <w:rsid w:val="00056191"/>
    <w:rsid w:val="00060CB6"/>
    <w:rsid w:val="00060E9E"/>
    <w:rsid w:val="000628D3"/>
    <w:rsid w:val="0006291A"/>
    <w:rsid w:val="00062EDC"/>
    <w:rsid w:val="000633FC"/>
    <w:rsid w:val="00063759"/>
    <w:rsid w:val="0006641F"/>
    <w:rsid w:val="000721F5"/>
    <w:rsid w:val="00072AE8"/>
    <w:rsid w:val="00074E3B"/>
    <w:rsid w:val="00076E08"/>
    <w:rsid w:val="00077B20"/>
    <w:rsid w:val="0008173E"/>
    <w:rsid w:val="000821EB"/>
    <w:rsid w:val="000845CA"/>
    <w:rsid w:val="00084BE0"/>
    <w:rsid w:val="0008621F"/>
    <w:rsid w:val="00086A61"/>
    <w:rsid w:val="00086FBE"/>
    <w:rsid w:val="00087BCD"/>
    <w:rsid w:val="00087F35"/>
    <w:rsid w:val="00091B97"/>
    <w:rsid w:val="00092EB8"/>
    <w:rsid w:val="00094DF9"/>
    <w:rsid w:val="0009648E"/>
    <w:rsid w:val="0009662E"/>
    <w:rsid w:val="000A0DEE"/>
    <w:rsid w:val="000A1D37"/>
    <w:rsid w:val="000A206C"/>
    <w:rsid w:val="000A3470"/>
    <w:rsid w:val="000A3493"/>
    <w:rsid w:val="000A3BBF"/>
    <w:rsid w:val="000A5624"/>
    <w:rsid w:val="000A5654"/>
    <w:rsid w:val="000A76C9"/>
    <w:rsid w:val="000B189E"/>
    <w:rsid w:val="000B1CDE"/>
    <w:rsid w:val="000B3740"/>
    <w:rsid w:val="000B3956"/>
    <w:rsid w:val="000B4E41"/>
    <w:rsid w:val="000B6316"/>
    <w:rsid w:val="000B642A"/>
    <w:rsid w:val="000B6890"/>
    <w:rsid w:val="000C0247"/>
    <w:rsid w:val="000C0501"/>
    <w:rsid w:val="000C134C"/>
    <w:rsid w:val="000C1A5C"/>
    <w:rsid w:val="000C1BFD"/>
    <w:rsid w:val="000C5F36"/>
    <w:rsid w:val="000C63C1"/>
    <w:rsid w:val="000D0F04"/>
    <w:rsid w:val="000D38F4"/>
    <w:rsid w:val="000D397D"/>
    <w:rsid w:val="000D3EB6"/>
    <w:rsid w:val="000D6AEB"/>
    <w:rsid w:val="000D71BB"/>
    <w:rsid w:val="000D7423"/>
    <w:rsid w:val="000D74EE"/>
    <w:rsid w:val="000E19FA"/>
    <w:rsid w:val="000E203E"/>
    <w:rsid w:val="000E2818"/>
    <w:rsid w:val="000E47CA"/>
    <w:rsid w:val="000E57F6"/>
    <w:rsid w:val="000E5F2A"/>
    <w:rsid w:val="000F12B4"/>
    <w:rsid w:val="000F2170"/>
    <w:rsid w:val="000F2E19"/>
    <w:rsid w:val="000F6FCF"/>
    <w:rsid w:val="000F7553"/>
    <w:rsid w:val="000F7573"/>
    <w:rsid w:val="000F787F"/>
    <w:rsid w:val="00100246"/>
    <w:rsid w:val="001050D4"/>
    <w:rsid w:val="00110873"/>
    <w:rsid w:val="0011103E"/>
    <w:rsid w:val="0011109D"/>
    <w:rsid w:val="00111D22"/>
    <w:rsid w:val="0011298C"/>
    <w:rsid w:val="00114C4B"/>
    <w:rsid w:val="00115CBD"/>
    <w:rsid w:val="00116254"/>
    <w:rsid w:val="001176AF"/>
    <w:rsid w:val="00117B74"/>
    <w:rsid w:val="0012120F"/>
    <w:rsid w:val="0012196C"/>
    <w:rsid w:val="001219DC"/>
    <w:rsid w:val="00121ED2"/>
    <w:rsid w:val="0012525D"/>
    <w:rsid w:val="00127B91"/>
    <w:rsid w:val="00130DF3"/>
    <w:rsid w:val="001311AD"/>
    <w:rsid w:val="0013195B"/>
    <w:rsid w:val="00131CDC"/>
    <w:rsid w:val="0013440B"/>
    <w:rsid w:val="00134612"/>
    <w:rsid w:val="00134C20"/>
    <w:rsid w:val="001379CB"/>
    <w:rsid w:val="00137AC7"/>
    <w:rsid w:val="001424D0"/>
    <w:rsid w:val="001426C8"/>
    <w:rsid w:val="00142C46"/>
    <w:rsid w:val="00143A09"/>
    <w:rsid w:val="00144BA4"/>
    <w:rsid w:val="00146068"/>
    <w:rsid w:val="001464E5"/>
    <w:rsid w:val="00147345"/>
    <w:rsid w:val="00147A51"/>
    <w:rsid w:val="001502DD"/>
    <w:rsid w:val="00150DB9"/>
    <w:rsid w:val="00152427"/>
    <w:rsid w:val="00152909"/>
    <w:rsid w:val="00152A84"/>
    <w:rsid w:val="00152CE1"/>
    <w:rsid w:val="001539F7"/>
    <w:rsid w:val="00153D6E"/>
    <w:rsid w:val="0015482F"/>
    <w:rsid w:val="00154DA8"/>
    <w:rsid w:val="001552BF"/>
    <w:rsid w:val="00155873"/>
    <w:rsid w:val="00155BAE"/>
    <w:rsid w:val="00155DCF"/>
    <w:rsid w:val="00156103"/>
    <w:rsid w:val="0016070A"/>
    <w:rsid w:val="0016073A"/>
    <w:rsid w:val="00160A8D"/>
    <w:rsid w:val="00160EF1"/>
    <w:rsid w:val="00161427"/>
    <w:rsid w:val="0016293A"/>
    <w:rsid w:val="00164E91"/>
    <w:rsid w:val="00165FCE"/>
    <w:rsid w:val="0016775F"/>
    <w:rsid w:val="0017289C"/>
    <w:rsid w:val="00173C0C"/>
    <w:rsid w:val="00174B18"/>
    <w:rsid w:val="00175AC4"/>
    <w:rsid w:val="001765CA"/>
    <w:rsid w:val="00180DF1"/>
    <w:rsid w:val="00181205"/>
    <w:rsid w:val="00182B51"/>
    <w:rsid w:val="00182B5F"/>
    <w:rsid w:val="001844E4"/>
    <w:rsid w:val="00184877"/>
    <w:rsid w:val="00185103"/>
    <w:rsid w:val="00190081"/>
    <w:rsid w:val="001910EA"/>
    <w:rsid w:val="00191507"/>
    <w:rsid w:val="00191C26"/>
    <w:rsid w:val="00193E20"/>
    <w:rsid w:val="001950A8"/>
    <w:rsid w:val="001953BB"/>
    <w:rsid w:val="00197C92"/>
    <w:rsid w:val="001A0A7A"/>
    <w:rsid w:val="001A0ABF"/>
    <w:rsid w:val="001A20A6"/>
    <w:rsid w:val="001A2E86"/>
    <w:rsid w:val="001A40A2"/>
    <w:rsid w:val="001A4827"/>
    <w:rsid w:val="001A5290"/>
    <w:rsid w:val="001A552A"/>
    <w:rsid w:val="001A5E3A"/>
    <w:rsid w:val="001A6AD2"/>
    <w:rsid w:val="001B187F"/>
    <w:rsid w:val="001B1F9D"/>
    <w:rsid w:val="001B2D0C"/>
    <w:rsid w:val="001B312F"/>
    <w:rsid w:val="001B3630"/>
    <w:rsid w:val="001B3EBE"/>
    <w:rsid w:val="001B487A"/>
    <w:rsid w:val="001B5BB1"/>
    <w:rsid w:val="001B5FB4"/>
    <w:rsid w:val="001B60F8"/>
    <w:rsid w:val="001B7DE6"/>
    <w:rsid w:val="001C0A2A"/>
    <w:rsid w:val="001C0F64"/>
    <w:rsid w:val="001C39D6"/>
    <w:rsid w:val="001C3FD4"/>
    <w:rsid w:val="001C43B3"/>
    <w:rsid w:val="001C447A"/>
    <w:rsid w:val="001C552F"/>
    <w:rsid w:val="001C6E28"/>
    <w:rsid w:val="001C7D1F"/>
    <w:rsid w:val="001C7FC7"/>
    <w:rsid w:val="001D03B2"/>
    <w:rsid w:val="001D0A00"/>
    <w:rsid w:val="001D2DBF"/>
    <w:rsid w:val="001D3643"/>
    <w:rsid w:val="001D3692"/>
    <w:rsid w:val="001D39F7"/>
    <w:rsid w:val="001D4193"/>
    <w:rsid w:val="001D5F84"/>
    <w:rsid w:val="001D6390"/>
    <w:rsid w:val="001D7F9D"/>
    <w:rsid w:val="001E001B"/>
    <w:rsid w:val="001E18BB"/>
    <w:rsid w:val="001E425A"/>
    <w:rsid w:val="001E59F1"/>
    <w:rsid w:val="001E71B7"/>
    <w:rsid w:val="001F0455"/>
    <w:rsid w:val="001F156D"/>
    <w:rsid w:val="001F375C"/>
    <w:rsid w:val="001F3D6D"/>
    <w:rsid w:val="001F646C"/>
    <w:rsid w:val="0020071E"/>
    <w:rsid w:val="00205B0A"/>
    <w:rsid w:val="00205DF1"/>
    <w:rsid w:val="00206976"/>
    <w:rsid w:val="00207706"/>
    <w:rsid w:val="00207D9E"/>
    <w:rsid w:val="00210968"/>
    <w:rsid w:val="00210CDC"/>
    <w:rsid w:val="002110C5"/>
    <w:rsid w:val="00212443"/>
    <w:rsid w:val="00213433"/>
    <w:rsid w:val="00213AB4"/>
    <w:rsid w:val="00215B15"/>
    <w:rsid w:val="00216270"/>
    <w:rsid w:val="00216276"/>
    <w:rsid w:val="0021628B"/>
    <w:rsid w:val="002208BC"/>
    <w:rsid w:val="00221E81"/>
    <w:rsid w:val="002241CB"/>
    <w:rsid w:val="00224D73"/>
    <w:rsid w:val="002253F3"/>
    <w:rsid w:val="002254DE"/>
    <w:rsid w:val="00225F9A"/>
    <w:rsid w:val="00226136"/>
    <w:rsid w:val="002262B8"/>
    <w:rsid w:val="0022707F"/>
    <w:rsid w:val="002276F5"/>
    <w:rsid w:val="00227D11"/>
    <w:rsid w:val="00227FC3"/>
    <w:rsid w:val="002302AA"/>
    <w:rsid w:val="002302ED"/>
    <w:rsid w:val="00230441"/>
    <w:rsid w:val="00231691"/>
    <w:rsid w:val="0023172E"/>
    <w:rsid w:val="0023174D"/>
    <w:rsid w:val="00231E8E"/>
    <w:rsid w:val="00232129"/>
    <w:rsid w:val="002321CD"/>
    <w:rsid w:val="0023227A"/>
    <w:rsid w:val="00232B3D"/>
    <w:rsid w:val="002330DF"/>
    <w:rsid w:val="0023377F"/>
    <w:rsid w:val="0023386C"/>
    <w:rsid w:val="00233DF3"/>
    <w:rsid w:val="00234FFC"/>
    <w:rsid w:val="00235712"/>
    <w:rsid w:val="00235CD5"/>
    <w:rsid w:val="00235F53"/>
    <w:rsid w:val="00241651"/>
    <w:rsid w:val="002419DD"/>
    <w:rsid w:val="0024210D"/>
    <w:rsid w:val="002428E0"/>
    <w:rsid w:val="0024326C"/>
    <w:rsid w:val="002435CB"/>
    <w:rsid w:val="00243FF7"/>
    <w:rsid w:val="002452EA"/>
    <w:rsid w:val="00245447"/>
    <w:rsid w:val="002456D3"/>
    <w:rsid w:val="002468BA"/>
    <w:rsid w:val="00246D24"/>
    <w:rsid w:val="00250633"/>
    <w:rsid w:val="00250F52"/>
    <w:rsid w:val="00252E09"/>
    <w:rsid w:val="0025592C"/>
    <w:rsid w:val="0025630C"/>
    <w:rsid w:val="0025647C"/>
    <w:rsid w:val="00262755"/>
    <w:rsid w:val="00262C77"/>
    <w:rsid w:val="002646EB"/>
    <w:rsid w:val="002664BA"/>
    <w:rsid w:val="00266F2E"/>
    <w:rsid w:val="00267DA0"/>
    <w:rsid w:val="00270052"/>
    <w:rsid w:val="0027187E"/>
    <w:rsid w:val="002718BC"/>
    <w:rsid w:val="00271F02"/>
    <w:rsid w:val="00272F1D"/>
    <w:rsid w:val="00273E24"/>
    <w:rsid w:val="0027431E"/>
    <w:rsid w:val="002758C6"/>
    <w:rsid w:val="00276F8F"/>
    <w:rsid w:val="00277A46"/>
    <w:rsid w:val="00277FB7"/>
    <w:rsid w:val="00280B74"/>
    <w:rsid w:val="00280FB5"/>
    <w:rsid w:val="00281D53"/>
    <w:rsid w:val="0028493D"/>
    <w:rsid w:val="00284DA7"/>
    <w:rsid w:val="0028770B"/>
    <w:rsid w:val="002879E2"/>
    <w:rsid w:val="002900A6"/>
    <w:rsid w:val="00290DA8"/>
    <w:rsid w:val="002921C8"/>
    <w:rsid w:val="002927A9"/>
    <w:rsid w:val="00293A27"/>
    <w:rsid w:val="0029419F"/>
    <w:rsid w:val="00294902"/>
    <w:rsid w:val="002955D4"/>
    <w:rsid w:val="00296D89"/>
    <w:rsid w:val="002A196E"/>
    <w:rsid w:val="002A716B"/>
    <w:rsid w:val="002A72EB"/>
    <w:rsid w:val="002B0265"/>
    <w:rsid w:val="002B06D9"/>
    <w:rsid w:val="002B1DB2"/>
    <w:rsid w:val="002B2506"/>
    <w:rsid w:val="002B37BB"/>
    <w:rsid w:val="002B408E"/>
    <w:rsid w:val="002B4C80"/>
    <w:rsid w:val="002B4F03"/>
    <w:rsid w:val="002B57DE"/>
    <w:rsid w:val="002B5D6D"/>
    <w:rsid w:val="002B7037"/>
    <w:rsid w:val="002B7DE5"/>
    <w:rsid w:val="002C1548"/>
    <w:rsid w:val="002C1691"/>
    <w:rsid w:val="002C3A22"/>
    <w:rsid w:val="002C3C7C"/>
    <w:rsid w:val="002C46F2"/>
    <w:rsid w:val="002C4836"/>
    <w:rsid w:val="002C4E37"/>
    <w:rsid w:val="002C5874"/>
    <w:rsid w:val="002C6D76"/>
    <w:rsid w:val="002D05CD"/>
    <w:rsid w:val="002D0CD0"/>
    <w:rsid w:val="002D133F"/>
    <w:rsid w:val="002D1CE2"/>
    <w:rsid w:val="002D1D7E"/>
    <w:rsid w:val="002D2103"/>
    <w:rsid w:val="002D23DE"/>
    <w:rsid w:val="002D2940"/>
    <w:rsid w:val="002D34B6"/>
    <w:rsid w:val="002D3C79"/>
    <w:rsid w:val="002D4D3E"/>
    <w:rsid w:val="002D7A95"/>
    <w:rsid w:val="002E0645"/>
    <w:rsid w:val="002E1670"/>
    <w:rsid w:val="002E2132"/>
    <w:rsid w:val="002E256E"/>
    <w:rsid w:val="002E32D8"/>
    <w:rsid w:val="002E3720"/>
    <w:rsid w:val="002E4060"/>
    <w:rsid w:val="002E5DF6"/>
    <w:rsid w:val="002E667C"/>
    <w:rsid w:val="002E75B0"/>
    <w:rsid w:val="002F0361"/>
    <w:rsid w:val="002F0435"/>
    <w:rsid w:val="002F0B10"/>
    <w:rsid w:val="002F18EA"/>
    <w:rsid w:val="002F2A83"/>
    <w:rsid w:val="002F4943"/>
    <w:rsid w:val="002F5603"/>
    <w:rsid w:val="002F6647"/>
    <w:rsid w:val="002F78A0"/>
    <w:rsid w:val="002F7BB1"/>
    <w:rsid w:val="002F7ECF"/>
    <w:rsid w:val="002F7FAD"/>
    <w:rsid w:val="00303054"/>
    <w:rsid w:val="0030398E"/>
    <w:rsid w:val="00303DDC"/>
    <w:rsid w:val="00304150"/>
    <w:rsid w:val="003076CF"/>
    <w:rsid w:val="00307FD9"/>
    <w:rsid w:val="00310764"/>
    <w:rsid w:val="00310D81"/>
    <w:rsid w:val="00310E65"/>
    <w:rsid w:val="00312B37"/>
    <w:rsid w:val="00314AE1"/>
    <w:rsid w:val="00314B70"/>
    <w:rsid w:val="00315636"/>
    <w:rsid w:val="00315C66"/>
    <w:rsid w:val="00315F3B"/>
    <w:rsid w:val="003161CF"/>
    <w:rsid w:val="00320439"/>
    <w:rsid w:val="00320E33"/>
    <w:rsid w:val="00321018"/>
    <w:rsid w:val="00321FF4"/>
    <w:rsid w:val="00322864"/>
    <w:rsid w:val="00322A36"/>
    <w:rsid w:val="00323C8D"/>
    <w:rsid w:val="0032452C"/>
    <w:rsid w:val="00324928"/>
    <w:rsid w:val="00324C49"/>
    <w:rsid w:val="00325536"/>
    <w:rsid w:val="003262FB"/>
    <w:rsid w:val="003301F3"/>
    <w:rsid w:val="00331DE9"/>
    <w:rsid w:val="00331E2F"/>
    <w:rsid w:val="00334BED"/>
    <w:rsid w:val="00335AA1"/>
    <w:rsid w:val="0033619B"/>
    <w:rsid w:val="00336DC8"/>
    <w:rsid w:val="00340A96"/>
    <w:rsid w:val="0034100A"/>
    <w:rsid w:val="003422F7"/>
    <w:rsid w:val="00342E59"/>
    <w:rsid w:val="003438E0"/>
    <w:rsid w:val="00343B61"/>
    <w:rsid w:val="003447E6"/>
    <w:rsid w:val="00344A6C"/>
    <w:rsid w:val="003457A5"/>
    <w:rsid w:val="003460D5"/>
    <w:rsid w:val="003467C5"/>
    <w:rsid w:val="00346B5E"/>
    <w:rsid w:val="00346C85"/>
    <w:rsid w:val="00347D2E"/>
    <w:rsid w:val="0035006B"/>
    <w:rsid w:val="00350128"/>
    <w:rsid w:val="0035095F"/>
    <w:rsid w:val="0035125A"/>
    <w:rsid w:val="00351509"/>
    <w:rsid w:val="00357DD2"/>
    <w:rsid w:val="00357F2C"/>
    <w:rsid w:val="003607FD"/>
    <w:rsid w:val="0036093B"/>
    <w:rsid w:val="003616F7"/>
    <w:rsid w:val="00363148"/>
    <w:rsid w:val="0036487A"/>
    <w:rsid w:val="00364BE6"/>
    <w:rsid w:val="0036504E"/>
    <w:rsid w:val="00365300"/>
    <w:rsid w:val="00365D37"/>
    <w:rsid w:val="0036743C"/>
    <w:rsid w:val="00367BEE"/>
    <w:rsid w:val="00367C7F"/>
    <w:rsid w:val="003704D5"/>
    <w:rsid w:val="003720CA"/>
    <w:rsid w:val="00372BA2"/>
    <w:rsid w:val="003734DB"/>
    <w:rsid w:val="00375490"/>
    <w:rsid w:val="00375F43"/>
    <w:rsid w:val="003772E1"/>
    <w:rsid w:val="00380B5E"/>
    <w:rsid w:val="00381AF8"/>
    <w:rsid w:val="00383020"/>
    <w:rsid w:val="003832BB"/>
    <w:rsid w:val="003835EA"/>
    <w:rsid w:val="00384C76"/>
    <w:rsid w:val="00384DB1"/>
    <w:rsid w:val="003910E0"/>
    <w:rsid w:val="003911D5"/>
    <w:rsid w:val="0039176C"/>
    <w:rsid w:val="00391962"/>
    <w:rsid w:val="00392E13"/>
    <w:rsid w:val="00392F02"/>
    <w:rsid w:val="003940A4"/>
    <w:rsid w:val="003969BC"/>
    <w:rsid w:val="0039794D"/>
    <w:rsid w:val="00397FE8"/>
    <w:rsid w:val="003A0D33"/>
    <w:rsid w:val="003A2B51"/>
    <w:rsid w:val="003A41B3"/>
    <w:rsid w:val="003A5848"/>
    <w:rsid w:val="003A5B5E"/>
    <w:rsid w:val="003A66D3"/>
    <w:rsid w:val="003A7E86"/>
    <w:rsid w:val="003B13AF"/>
    <w:rsid w:val="003B2C81"/>
    <w:rsid w:val="003B35B4"/>
    <w:rsid w:val="003B4AD7"/>
    <w:rsid w:val="003B55CA"/>
    <w:rsid w:val="003B5C1D"/>
    <w:rsid w:val="003B71BA"/>
    <w:rsid w:val="003B7D64"/>
    <w:rsid w:val="003C25C0"/>
    <w:rsid w:val="003C27FD"/>
    <w:rsid w:val="003C63AD"/>
    <w:rsid w:val="003C78FE"/>
    <w:rsid w:val="003D09BE"/>
    <w:rsid w:val="003D0D02"/>
    <w:rsid w:val="003D29E6"/>
    <w:rsid w:val="003D340A"/>
    <w:rsid w:val="003D3824"/>
    <w:rsid w:val="003D42BF"/>
    <w:rsid w:val="003D59A0"/>
    <w:rsid w:val="003D64FE"/>
    <w:rsid w:val="003E132C"/>
    <w:rsid w:val="003E169D"/>
    <w:rsid w:val="003E24FC"/>
    <w:rsid w:val="003E2508"/>
    <w:rsid w:val="003E2DA9"/>
    <w:rsid w:val="003E42FD"/>
    <w:rsid w:val="003E6CD7"/>
    <w:rsid w:val="003E7CEB"/>
    <w:rsid w:val="003F0AD5"/>
    <w:rsid w:val="003F0FC9"/>
    <w:rsid w:val="003F1421"/>
    <w:rsid w:val="003F1439"/>
    <w:rsid w:val="003F1B06"/>
    <w:rsid w:val="003F1E05"/>
    <w:rsid w:val="003F269D"/>
    <w:rsid w:val="003F3A27"/>
    <w:rsid w:val="003F43F2"/>
    <w:rsid w:val="003F4504"/>
    <w:rsid w:val="003F4891"/>
    <w:rsid w:val="003F5336"/>
    <w:rsid w:val="003F75F8"/>
    <w:rsid w:val="0040015C"/>
    <w:rsid w:val="004018F4"/>
    <w:rsid w:val="00402AD3"/>
    <w:rsid w:val="00404329"/>
    <w:rsid w:val="0040472B"/>
    <w:rsid w:val="00404B47"/>
    <w:rsid w:val="004068AA"/>
    <w:rsid w:val="004105DF"/>
    <w:rsid w:val="00410BCF"/>
    <w:rsid w:val="00410D10"/>
    <w:rsid w:val="00412B83"/>
    <w:rsid w:val="00414BF1"/>
    <w:rsid w:val="00416217"/>
    <w:rsid w:val="00416B6B"/>
    <w:rsid w:val="00417446"/>
    <w:rsid w:val="004174AE"/>
    <w:rsid w:val="00420551"/>
    <w:rsid w:val="0042361B"/>
    <w:rsid w:val="00423A5B"/>
    <w:rsid w:val="00424C79"/>
    <w:rsid w:val="00425463"/>
    <w:rsid w:val="00425A00"/>
    <w:rsid w:val="00426845"/>
    <w:rsid w:val="00426B3D"/>
    <w:rsid w:val="00427975"/>
    <w:rsid w:val="0043003F"/>
    <w:rsid w:val="00430B4F"/>
    <w:rsid w:val="00431194"/>
    <w:rsid w:val="004316B4"/>
    <w:rsid w:val="00433D23"/>
    <w:rsid w:val="00434157"/>
    <w:rsid w:val="00434A65"/>
    <w:rsid w:val="004351B1"/>
    <w:rsid w:val="004356AE"/>
    <w:rsid w:val="00435F2D"/>
    <w:rsid w:val="00437763"/>
    <w:rsid w:val="004406F0"/>
    <w:rsid w:val="00442E0E"/>
    <w:rsid w:val="004435D6"/>
    <w:rsid w:val="0044396C"/>
    <w:rsid w:val="00443D64"/>
    <w:rsid w:val="00444884"/>
    <w:rsid w:val="004472AB"/>
    <w:rsid w:val="00447BDF"/>
    <w:rsid w:val="0045251E"/>
    <w:rsid w:val="00452580"/>
    <w:rsid w:val="004544AE"/>
    <w:rsid w:val="004547FD"/>
    <w:rsid w:val="004550C4"/>
    <w:rsid w:val="004550E0"/>
    <w:rsid w:val="00456DD2"/>
    <w:rsid w:val="004608DA"/>
    <w:rsid w:val="00460D56"/>
    <w:rsid w:val="004615BE"/>
    <w:rsid w:val="00461AEE"/>
    <w:rsid w:val="00462523"/>
    <w:rsid w:val="00463011"/>
    <w:rsid w:val="0046558B"/>
    <w:rsid w:val="00466045"/>
    <w:rsid w:val="004672F6"/>
    <w:rsid w:val="00470C02"/>
    <w:rsid w:val="004717EA"/>
    <w:rsid w:val="00471A26"/>
    <w:rsid w:val="00474A1A"/>
    <w:rsid w:val="00475F67"/>
    <w:rsid w:val="00477084"/>
    <w:rsid w:val="0047790B"/>
    <w:rsid w:val="00477C78"/>
    <w:rsid w:val="00480AE9"/>
    <w:rsid w:val="004837AC"/>
    <w:rsid w:val="004841F3"/>
    <w:rsid w:val="004845E6"/>
    <w:rsid w:val="004859C1"/>
    <w:rsid w:val="00486444"/>
    <w:rsid w:val="00486E19"/>
    <w:rsid w:val="00490D2D"/>
    <w:rsid w:val="00491E1D"/>
    <w:rsid w:val="0049263E"/>
    <w:rsid w:val="004926C1"/>
    <w:rsid w:val="00492E14"/>
    <w:rsid w:val="00492FF7"/>
    <w:rsid w:val="00495176"/>
    <w:rsid w:val="0049605A"/>
    <w:rsid w:val="00496158"/>
    <w:rsid w:val="00497C00"/>
    <w:rsid w:val="004A058C"/>
    <w:rsid w:val="004A19A8"/>
    <w:rsid w:val="004A1F59"/>
    <w:rsid w:val="004A27C2"/>
    <w:rsid w:val="004A2F6B"/>
    <w:rsid w:val="004A4937"/>
    <w:rsid w:val="004A49C6"/>
    <w:rsid w:val="004A70CD"/>
    <w:rsid w:val="004B187A"/>
    <w:rsid w:val="004B2C59"/>
    <w:rsid w:val="004B2ED1"/>
    <w:rsid w:val="004B3E70"/>
    <w:rsid w:val="004B4B1C"/>
    <w:rsid w:val="004B7A39"/>
    <w:rsid w:val="004C0B9B"/>
    <w:rsid w:val="004C0D58"/>
    <w:rsid w:val="004C0DF9"/>
    <w:rsid w:val="004C167D"/>
    <w:rsid w:val="004C2821"/>
    <w:rsid w:val="004C398B"/>
    <w:rsid w:val="004C3A8F"/>
    <w:rsid w:val="004C7B73"/>
    <w:rsid w:val="004C7E29"/>
    <w:rsid w:val="004D07E0"/>
    <w:rsid w:val="004D0EE9"/>
    <w:rsid w:val="004D0F84"/>
    <w:rsid w:val="004D150C"/>
    <w:rsid w:val="004D1AF2"/>
    <w:rsid w:val="004D330D"/>
    <w:rsid w:val="004D4C4F"/>
    <w:rsid w:val="004D7197"/>
    <w:rsid w:val="004D7BEE"/>
    <w:rsid w:val="004E0DF0"/>
    <w:rsid w:val="004E170A"/>
    <w:rsid w:val="004E35B6"/>
    <w:rsid w:val="004E4183"/>
    <w:rsid w:val="004E551D"/>
    <w:rsid w:val="004E611A"/>
    <w:rsid w:val="004E6E8E"/>
    <w:rsid w:val="004E7022"/>
    <w:rsid w:val="004E7160"/>
    <w:rsid w:val="004F16FF"/>
    <w:rsid w:val="004F3E61"/>
    <w:rsid w:val="004F5A02"/>
    <w:rsid w:val="004F6F11"/>
    <w:rsid w:val="004F71E8"/>
    <w:rsid w:val="004F7448"/>
    <w:rsid w:val="004F7889"/>
    <w:rsid w:val="00500D3B"/>
    <w:rsid w:val="00500E21"/>
    <w:rsid w:val="00501685"/>
    <w:rsid w:val="00501743"/>
    <w:rsid w:val="00501CE9"/>
    <w:rsid w:val="00502D2E"/>
    <w:rsid w:val="00504539"/>
    <w:rsid w:val="0050792F"/>
    <w:rsid w:val="00510F10"/>
    <w:rsid w:val="00511867"/>
    <w:rsid w:val="00512705"/>
    <w:rsid w:val="0051441D"/>
    <w:rsid w:val="00515373"/>
    <w:rsid w:val="00515F20"/>
    <w:rsid w:val="00516AE4"/>
    <w:rsid w:val="005179D0"/>
    <w:rsid w:val="00522A7E"/>
    <w:rsid w:val="005247D3"/>
    <w:rsid w:val="0052557E"/>
    <w:rsid w:val="00526DED"/>
    <w:rsid w:val="0052742C"/>
    <w:rsid w:val="0052758D"/>
    <w:rsid w:val="005276A9"/>
    <w:rsid w:val="00531A69"/>
    <w:rsid w:val="00534304"/>
    <w:rsid w:val="005345A3"/>
    <w:rsid w:val="00535620"/>
    <w:rsid w:val="0053646B"/>
    <w:rsid w:val="00540355"/>
    <w:rsid w:val="005406DC"/>
    <w:rsid w:val="00540A18"/>
    <w:rsid w:val="005424B6"/>
    <w:rsid w:val="00543F93"/>
    <w:rsid w:val="005448E6"/>
    <w:rsid w:val="00544EBD"/>
    <w:rsid w:val="00547E4D"/>
    <w:rsid w:val="0055313C"/>
    <w:rsid w:val="0055502F"/>
    <w:rsid w:val="00555A5D"/>
    <w:rsid w:val="00560038"/>
    <w:rsid w:val="00563171"/>
    <w:rsid w:val="00563664"/>
    <w:rsid w:val="005637D3"/>
    <w:rsid w:val="005642AD"/>
    <w:rsid w:val="00565364"/>
    <w:rsid w:val="00570BDB"/>
    <w:rsid w:val="005718F6"/>
    <w:rsid w:val="00571F52"/>
    <w:rsid w:val="0057235B"/>
    <w:rsid w:val="00572897"/>
    <w:rsid w:val="00572A78"/>
    <w:rsid w:val="00574793"/>
    <w:rsid w:val="005769A7"/>
    <w:rsid w:val="00580CFB"/>
    <w:rsid w:val="00580E23"/>
    <w:rsid w:val="005820EF"/>
    <w:rsid w:val="00582672"/>
    <w:rsid w:val="005848EB"/>
    <w:rsid w:val="00585D7E"/>
    <w:rsid w:val="0059073C"/>
    <w:rsid w:val="00590931"/>
    <w:rsid w:val="005912BD"/>
    <w:rsid w:val="00595B76"/>
    <w:rsid w:val="00597428"/>
    <w:rsid w:val="00597988"/>
    <w:rsid w:val="00597D88"/>
    <w:rsid w:val="005A1D36"/>
    <w:rsid w:val="005A3865"/>
    <w:rsid w:val="005A6810"/>
    <w:rsid w:val="005A790F"/>
    <w:rsid w:val="005B0A3D"/>
    <w:rsid w:val="005B1849"/>
    <w:rsid w:val="005B1889"/>
    <w:rsid w:val="005B33E9"/>
    <w:rsid w:val="005B3AD1"/>
    <w:rsid w:val="005C00C9"/>
    <w:rsid w:val="005C1416"/>
    <w:rsid w:val="005C1E22"/>
    <w:rsid w:val="005C3BAA"/>
    <w:rsid w:val="005C3FFE"/>
    <w:rsid w:val="005C76CE"/>
    <w:rsid w:val="005C7C9C"/>
    <w:rsid w:val="005D2435"/>
    <w:rsid w:val="005D3DC3"/>
    <w:rsid w:val="005D4A82"/>
    <w:rsid w:val="005D6817"/>
    <w:rsid w:val="005D6BA6"/>
    <w:rsid w:val="005D6E50"/>
    <w:rsid w:val="005E1502"/>
    <w:rsid w:val="005E30CB"/>
    <w:rsid w:val="005E58F8"/>
    <w:rsid w:val="005E5C70"/>
    <w:rsid w:val="005E620F"/>
    <w:rsid w:val="005E6490"/>
    <w:rsid w:val="005E6731"/>
    <w:rsid w:val="005E766D"/>
    <w:rsid w:val="005E7A8E"/>
    <w:rsid w:val="005F155B"/>
    <w:rsid w:val="005F1738"/>
    <w:rsid w:val="005F3023"/>
    <w:rsid w:val="005F3F22"/>
    <w:rsid w:val="005F4570"/>
    <w:rsid w:val="005F472C"/>
    <w:rsid w:val="005F5457"/>
    <w:rsid w:val="005F593E"/>
    <w:rsid w:val="005F6149"/>
    <w:rsid w:val="005F6871"/>
    <w:rsid w:val="005F692E"/>
    <w:rsid w:val="005F7014"/>
    <w:rsid w:val="005F7B89"/>
    <w:rsid w:val="006013AB"/>
    <w:rsid w:val="0060202F"/>
    <w:rsid w:val="0060272D"/>
    <w:rsid w:val="0060312B"/>
    <w:rsid w:val="00604CC4"/>
    <w:rsid w:val="006067BA"/>
    <w:rsid w:val="006102C4"/>
    <w:rsid w:val="00612457"/>
    <w:rsid w:val="0061278D"/>
    <w:rsid w:val="00620193"/>
    <w:rsid w:val="006218D7"/>
    <w:rsid w:val="00622276"/>
    <w:rsid w:val="006265EF"/>
    <w:rsid w:val="006278A6"/>
    <w:rsid w:val="00631779"/>
    <w:rsid w:val="0063309E"/>
    <w:rsid w:val="0063311B"/>
    <w:rsid w:val="00634D2F"/>
    <w:rsid w:val="0063544A"/>
    <w:rsid w:val="0063617D"/>
    <w:rsid w:val="00636402"/>
    <w:rsid w:val="0063660C"/>
    <w:rsid w:val="00636E51"/>
    <w:rsid w:val="006377E7"/>
    <w:rsid w:val="006405C8"/>
    <w:rsid w:val="006422D6"/>
    <w:rsid w:val="00643DA6"/>
    <w:rsid w:val="006467ED"/>
    <w:rsid w:val="0064721C"/>
    <w:rsid w:val="00647529"/>
    <w:rsid w:val="006540BC"/>
    <w:rsid w:val="00655984"/>
    <w:rsid w:val="00656497"/>
    <w:rsid w:val="006566D2"/>
    <w:rsid w:val="0066127E"/>
    <w:rsid w:val="00662CE1"/>
    <w:rsid w:val="00662D58"/>
    <w:rsid w:val="00663357"/>
    <w:rsid w:val="00665194"/>
    <w:rsid w:val="0066697C"/>
    <w:rsid w:val="00667968"/>
    <w:rsid w:val="00670520"/>
    <w:rsid w:val="00671CFB"/>
    <w:rsid w:val="00672174"/>
    <w:rsid w:val="0067236F"/>
    <w:rsid w:val="00672D54"/>
    <w:rsid w:val="00674119"/>
    <w:rsid w:val="00674412"/>
    <w:rsid w:val="00675A07"/>
    <w:rsid w:val="00675D92"/>
    <w:rsid w:val="0067611B"/>
    <w:rsid w:val="00677156"/>
    <w:rsid w:val="00680AAE"/>
    <w:rsid w:val="00680F31"/>
    <w:rsid w:val="00681C33"/>
    <w:rsid w:val="00681DB7"/>
    <w:rsid w:val="006824B0"/>
    <w:rsid w:val="006849EC"/>
    <w:rsid w:val="00684AAB"/>
    <w:rsid w:val="00684F61"/>
    <w:rsid w:val="006858EE"/>
    <w:rsid w:val="00685B43"/>
    <w:rsid w:val="0068636C"/>
    <w:rsid w:val="00687057"/>
    <w:rsid w:val="00690036"/>
    <w:rsid w:val="0069131B"/>
    <w:rsid w:val="00692BC0"/>
    <w:rsid w:val="00692DC4"/>
    <w:rsid w:val="00693999"/>
    <w:rsid w:val="00693C3B"/>
    <w:rsid w:val="006949B1"/>
    <w:rsid w:val="0069513E"/>
    <w:rsid w:val="006957A9"/>
    <w:rsid w:val="00695827"/>
    <w:rsid w:val="006967CB"/>
    <w:rsid w:val="006974B5"/>
    <w:rsid w:val="006975D2"/>
    <w:rsid w:val="00697C70"/>
    <w:rsid w:val="006A0513"/>
    <w:rsid w:val="006A0BB2"/>
    <w:rsid w:val="006A1EBB"/>
    <w:rsid w:val="006A1F34"/>
    <w:rsid w:val="006A2AAF"/>
    <w:rsid w:val="006A2C23"/>
    <w:rsid w:val="006A3292"/>
    <w:rsid w:val="006A369E"/>
    <w:rsid w:val="006A4894"/>
    <w:rsid w:val="006A6C98"/>
    <w:rsid w:val="006A7131"/>
    <w:rsid w:val="006A776D"/>
    <w:rsid w:val="006B114C"/>
    <w:rsid w:val="006B12CE"/>
    <w:rsid w:val="006B1F39"/>
    <w:rsid w:val="006B234D"/>
    <w:rsid w:val="006B3DCB"/>
    <w:rsid w:val="006B4E63"/>
    <w:rsid w:val="006B5862"/>
    <w:rsid w:val="006B6503"/>
    <w:rsid w:val="006B715D"/>
    <w:rsid w:val="006B7E5E"/>
    <w:rsid w:val="006C065A"/>
    <w:rsid w:val="006C1D4A"/>
    <w:rsid w:val="006C5498"/>
    <w:rsid w:val="006C5897"/>
    <w:rsid w:val="006C593F"/>
    <w:rsid w:val="006C72A9"/>
    <w:rsid w:val="006D113A"/>
    <w:rsid w:val="006D1279"/>
    <w:rsid w:val="006D1A54"/>
    <w:rsid w:val="006D20B3"/>
    <w:rsid w:val="006D20B7"/>
    <w:rsid w:val="006D4EA2"/>
    <w:rsid w:val="006D507A"/>
    <w:rsid w:val="006D79D8"/>
    <w:rsid w:val="006E0027"/>
    <w:rsid w:val="006E004C"/>
    <w:rsid w:val="006E0AC3"/>
    <w:rsid w:val="006E0FB2"/>
    <w:rsid w:val="006E1631"/>
    <w:rsid w:val="006E1771"/>
    <w:rsid w:val="006E1D0E"/>
    <w:rsid w:val="006E2840"/>
    <w:rsid w:val="006E31DF"/>
    <w:rsid w:val="006E708B"/>
    <w:rsid w:val="006E7820"/>
    <w:rsid w:val="006E7A1F"/>
    <w:rsid w:val="006F135E"/>
    <w:rsid w:val="006F1C1D"/>
    <w:rsid w:val="006F1ED2"/>
    <w:rsid w:val="006F319D"/>
    <w:rsid w:val="006F65DA"/>
    <w:rsid w:val="006F7AC4"/>
    <w:rsid w:val="00702C2E"/>
    <w:rsid w:val="00702EFE"/>
    <w:rsid w:val="00702FA4"/>
    <w:rsid w:val="00704BD2"/>
    <w:rsid w:val="007059DF"/>
    <w:rsid w:val="00706125"/>
    <w:rsid w:val="0070797E"/>
    <w:rsid w:val="00710CD4"/>
    <w:rsid w:val="0071274E"/>
    <w:rsid w:val="0071523A"/>
    <w:rsid w:val="007155CE"/>
    <w:rsid w:val="007158CE"/>
    <w:rsid w:val="00717D8E"/>
    <w:rsid w:val="00722D3F"/>
    <w:rsid w:val="00723021"/>
    <w:rsid w:val="0073002A"/>
    <w:rsid w:val="00730257"/>
    <w:rsid w:val="0073125B"/>
    <w:rsid w:val="0073284F"/>
    <w:rsid w:val="00733984"/>
    <w:rsid w:val="0073554B"/>
    <w:rsid w:val="007364D2"/>
    <w:rsid w:val="00743C97"/>
    <w:rsid w:val="00744603"/>
    <w:rsid w:val="0074539D"/>
    <w:rsid w:val="00745E35"/>
    <w:rsid w:val="007505FA"/>
    <w:rsid w:val="00751C93"/>
    <w:rsid w:val="00751F1B"/>
    <w:rsid w:val="0075349D"/>
    <w:rsid w:val="00753E5F"/>
    <w:rsid w:val="00754B93"/>
    <w:rsid w:val="00755FAC"/>
    <w:rsid w:val="0075664B"/>
    <w:rsid w:val="007566BD"/>
    <w:rsid w:val="007602CF"/>
    <w:rsid w:val="007602DC"/>
    <w:rsid w:val="00762DE2"/>
    <w:rsid w:val="00770C47"/>
    <w:rsid w:val="00772535"/>
    <w:rsid w:val="007725DB"/>
    <w:rsid w:val="0077283E"/>
    <w:rsid w:val="00775FFC"/>
    <w:rsid w:val="007761D6"/>
    <w:rsid w:val="0078020B"/>
    <w:rsid w:val="00780EAC"/>
    <w:rsid w:val="00781115"/>
    <w:rsid w:val="00781D43"/>
    <w:rsid w:val="00781E45"/>
    <w:rsid w:val="00784897"/>
    <w:rsid w:val="00786BE9"/>
    <w:rsid w:val="00787C48"/>
    <w:rsid w:val="00790091"/>
    <w:rsid w:val="007905B3"/>
    <w:rsid w:val="00790855"/>
    <w:rsid w:val="00790A5F"/>
    <w:rsid w:val="00791F76"/>
    <w:rsid w:val="00792610"/>
    <w:rsid w:val="00792DA8"/>
    <w:rsid w:val="007945C2"/>
    <w:rsid w:val="00796225"/>
    <w:rsid w:val="00796379"/>
    <w:rsid w:val="007973C9"/>
    <w:rsid w:val="007975D6"/>
    <w:rsid w:val="00797FCA"/>
    <w:rsid w:val="007A053E"/>
    <w:rsid w:val="007A40EC"/>
    <w:rsid w:val="007A41C2"/>
    <w:rsid w:val="007A6977"/>
    <w:rsid w:val="007A6C66"/>
    <w:rsid w:val="007A6DCB"/>
    <w:rsid w:val="007A7564"/>
    <w:rsid w:val="007B1E30"/>
    <w:rsid w:val="007B2A0D"/>
    <w:rsid w:val="007B3844"/>
    <w:rsid w:val="007B3E4C"/>
    <w:rsid w:val="007B4C8B"/>
    <w:rsid w:val="007B4F03"/>
    <w:rsid w:val="007B501B"/>
    <w:rsid w:val="007B5780"/>
    <w:rsid w:val="007B67BD"/>
    <w:rsid w:val="007B7C76"/>
    <w:rsid w:val="007C10CA"/>
    <w:rsid w:val="007C13BB"/>
    <w:rsid w:val="007C3C3B"/>
    <w:rsid w:val="007C54D7"/>
    <w:rsid w:val="007C5B1D"/>
    <w:rsid w:val="007C5FF5"/>
    <w:rsid w:val="007C76DD"/>
    <w:rsid w:val="007D180C"/>
    <w:rsid w:val="007D261B"/>
    <w:rsid w:val="007D615A"/>
    <w:rsid w:val="007D69DF"/>
    <w:rsid w:val="007D69FD"/>
    <w:rsid w:val="007E2D61"/>
    <w:rsid w:val="007E3788"/>
    <w:rsid w:val="007E4C8E"/>
    <w:rsid w:val="007E5663"/>
    <w:rsid w:val="007F04E9"/>
    <w:rsid w:val="007F3272"/>
    <w:rsid w:val="007F47AB"/>
    <w:rsid w:val="007F52D4"/>
    <w:rsid w:val="007F5447"/>
    <w:rsid w:val="007F5974"/>
    <w:rsid w:val="007F5CC8"/>
    <w:rsid w:val="007F6F50"/>
    <w:rsid w:val="007F746F"/>
    <w:rsid w:val="007F7A17"/>
    <w:rsid w:val="007F7DA5"/>
    <w:rsid w:val="007F7FE2"/>
    <w:rsid w:val="00801BBC"/>
    <w:rsid w:val="00802277"/>
    <w:rsid w:val="00802D11"/>
    <w:rsid w:val="008048F6"/>
    <w:rsid w:val="00805252"/>
    <w:rsid w:val="00805EB6"/>
    <w:rsid w:val="0080654C"/>
    <w:rsid w:val="00806E95"/>
    <w:rsid w:val="0080727E"/>
    <w:rsid w:val="00807F9F"/>
    <w:rsid w:val="00810975"/>
    <w:rsid w:val="00810B40"/>
    <w:rsid w:val="00810F5B"/>
    <w:rsid w:val="008111BA"/>
    <w:rsid w:val="00812B00"/>
    <w:rsid w:val="00812C28"/>
    <w:rsid w:val="008139E2"/>
    <w:rsid w:val="00813FF2"/>
    <w:rsid w:val="00814B77"/>
    <w:rsid w:val="00816C57"/>
    <w:rsid w:val="0082011E"/>
    <w:rsid w:val="00820C97"/>
    <w:rsid w:val="008228C7"/>
    <w:rsid w:val="00823EB3"/>
    <w:rsid w:val="00824522"/>
    <w:rsid w:val="00826E1F"/>
    <w:rsid w:val="00827680"/>
    <w:rsid w:val="00831878"/>
    <w:rsid w:val="00832975"/>
    <w:rsid w:val="008329A5"/>
    <w:rsid w:val="00833D30"/>
    <w:rsid w:val="00834685"/>
    <w:rsid w:val="00834B5F"/>
    <w:rsid w:val="0084535A"/>
    <w:rsid w:val="0084560A"/>
    <w:rsid w:val="00845891"/>
    <w:rsid w:val="008473F0"/>
    <w:rsid w:val="008551B7"/>
    <w:rsid w:val="00855258"/>
    <w:rsid w:val="008568F8"/>
    <w:rsid w:val="00856B12"/>
    <w:rsid w:val="00856E24"/>
    <w:rsid w:val="008573BB"/>
    <w:rsid w:val="00863184"/>
    <w:rsid w:val="008632E3"/>
    <w:rsid w:val="008634A2"/>
    <w:rsid w:val="008651A1"/>
    <w:rsid w:val="00865591"/>
    <w:rsid w:val="00865C67"/>
    <w:rsid w:val="00866169"/>
    <w:rsid w:val="00867E08"/>
    <w:rsid w:val="008709AF"/>
    <w:rsid w:val="00870CA7"/>
    <w:rsid w:val="00870DD0"/>
    <w:rsid w:val="008712B6"/>
    <w:rsid w:val="008721DC"/>
    <w:rsid w:val="008729FB"/>
    <w:rsid w:val="00874172"/>
    <w:rsid w:val="008743C1"/>
    <w:rsid w:val="00875DFF"/>
    <w:rsid w:val="00883262"/>
    <w:rsid w:val="008848A0"/>
    <w:rsid w:val="00884B40"/>
    <w:rsid w:val="008850A1"/>
    <w:rsid w:val="008852E6"/>
    <w:rsid w:val="00886072"/>
    <w:rsid w:val="0088633F"/>
    <w:rsid w:val="00886EC7"/>
    <w:rsid w:val="00887BB3"/>
    <w:rsid w:val="008919BA"/>
    <w:rsid w:val="0089309B"/>
    <w:rsid w:val="008935B4"/>
    <w:rsid w:val="00894A35"/>
    <w:rsid w:val="008955E0"/>
    <w:rsid w:val="0089636E"/>
    <w:rsid w:val="00897367"/>
    <w:rsid w:val="008A1B76"/>
    <w:rsid w:val="008A2214"/>
    <w:rsid w:val="008A2CE6"/>
    <w:rsid w:val="008B022B"/>
    <w:rsid w:val="008B0259"/>
    <w:rsid w:val="008B177C"/>
    <w:rsid w:val="008B190E"/>
    <w:rsid w:val="008B4A21"/>
    <w:rsid w:val="008B5369"/>
    <w:rsid w:val="008C2D31"/>
    <w:rsid w:val="008C30CB"/>
    <w:rsid w:val="008C33F9"/>
    <w:rsid w:val="008C37B5"/>
    <w:rsid w:val="008C4B8F"/>
    <w:rsid w:val="008C5CFB"/>
    <w:rsid w:val="008C6224"/>
    <w:rsid w:val="008C70E3"/>
    <w:rsid w:val="008C7AC7"/>
    <w:rsid w:val="008D203C"/>
    <w:rsid w:val="008D2EF9"/>
    <w:rsid w:val="008D3335"/>
    <w:rsid w:val="008D434A"/>
    <w:rsid w:val="008D4785"/>
    <w:rsid w:val="008D578A"/>
    <w:rsid w:val="008E0905"/>
    <w:rsid w:val="008E0EDA"/>
    <w:rsid w:val="008E191C"/>
    <w:rsid w:val="008E1C0A"/>
    <w:rsid w:val="008E3AF8"/>
    <w:rsid w:val="008E4F81"/>
    <w:rsid w:val="008E534C"/>
    <w:rsid w:val="008E72A4"/>
    <w:rsid w:val="008F08A9"/>
    <w:rsid w:val="008F0FA2"/>
    <w:rsid w:val="008F42EC"/>
    <w:rsid w:val="008F4747"/>
    <w:rsid w:val="008F6CBE"/>
    <w:rsid w:val="008F737B"/>
    <w:rsid w:val="008F762A"/>
    <w:rsid w:val="00900A0B"/>
    <w:rsid w:val="00902424"/>
    <w:rsid w:val="00902859"/>
    <w:rsid w:val="009049D5"/>
    <w:rsid w:val="00905680"/>
    <w:rsid w:val="00905FA3"/>
    <w:rsid w:val="00906366"/>
    <w:rsid w:val="00907132"/>
    <w:rsid w:val="009072C8"/>
    <w:rsid w:val="009073C4"/>
    <w:rsid w:val="00911104"/>
    <w:rsid w:val="00911A9A"/>
    <w:rsid w:val="00914601"/>
    <w:rsid w:val="0091503A"/>
    <w:rsid w:val="00917533"/>
    <w:rsid w:val="00920831"/>
    <w:rsid w:val="00921FB0"/>
    <w:rsid w:val="00922408"/>
    <w:rsid w:val="00923D17"/>
    <w:rsid w:val="00925231"/>
    <w:rsid w:val="009253E6"/>
    <w:rsid w:val="009272A0"/>
    <w:rsid w:val="009303DF"/>
    <w:rsid w:val="00930B93"/>
    <w:rsid w:val="00930D35"/>
    <w:rsid w:val="00931A3C"/>
    <w:rsid w:val="00932353"/>
    <w:rsid w:val="00932B1E"/>
    <w:rsid w:val="00933A93"/>
    <w:rsid w:val="00935D57"/>
    <w:rsid w:val="009374AF"/>
    <w:rsid w:val="00937BD2"/>
    <w:rsid w:val="00940C4D"/>
    <w:rsid w:val="009424D3"/>
    <w:rsid w:val="009455B2"/>
    <w:rsid w:val="00947B46"/>
    <w:rsid w:val="009500C8"/>
    <w:rsid w:val="00950394"/>
    <w:rsid w:val="0095164A"/>
    <w:rsid w:val="00951D9F"/>
    <w:rsid w:val="009523D7"/>
    <w:rsid w:val="009525FB"/>
    <w:rsid w:val="009527C2"/>
    <w:rsid w:val="009534D6"/>
    <w:rsid w:val="00954274"/>
    <w:rsid w:val="0095499D"/>
    <w:rsid w:val="00954B0D"/>
    <w:rsid w:val="00955375"/>
    <w:rsid w:val="009569DD"/>
    <w:rsid w:val="00957856"/>
    <w:rsid w:val="00960CAB"/>
    <w:rsid w:val="00963B09"/>
    <w:rsid w:val="0096700E"/>
    <w:rsid w:val="009671AE"/>
    <w:rsid w:val="00967DE7"/>
    <w:rsid w:val="009719A2"/>
    <w:rsid w:val="00973C35"/>
    <w:rsid w:val="00974CFA"/>
    <w:rsid w:val="0097616B"/>
    <w:rsid w:val="00977F06"/>
    <w:rsid w:val="009807C5"/>
    <w:rsid w:val="009810F9"/>
    <w:rsid w:val="00981551"/>
    <w:rsid w:val="009816F2"/>
    <w:rsid w:val="0098241C"/>
    <w:rsid w:val="009825A2"/>
    <w:rsid w:val="00984F52"/>
    <w:rsid w:val="00985487"/>
    <w:rsid w:val="0098551E"/>
    <w:rsid w:val="00986F16"/>
    <w:rsid w:val="00991158"/>
    <w:rsid w:val="009938CD"/>
    <w:rsid w:val="00994722"/>
    <w:rsid w:val="0099500F"/>
    <w:rsid w:val="00995547"/>
    <w:rsid w:val="00995CD4"/>
    <w:rsid w:val="00995D57"/>
    <w:rsid w:val="00996701"/>
    <w:rsid w:val="00996DF1"/>
    <w:rsid w:val="00997BBA"/>
    <w:rsid w:val="009A1188"/>
    <w:rsid w:val="009A1897"/>
    <w:rsid w:val="009A2715"/>
    <w:rsid w:val="009A4060"/>
    <w:rsid w:val="009A4462"/>
    <w:rsid w:val="009A6724"/>
    <w:rsid w:val="009A6E93"/>
    <w:rsid w:val="009B0A0D"/>
    <w:rsid w:val="009B11FB"/>
    <w:rsid w:val="009B18F3"/>
    <w:rsid w:val="009B1EB7"/>
    <w:rsid w:val="009B2E38"/>
    <w:rsid w:val="009B458B"/>
    <w:rsid w:val="009B59C6"/>
    <w:rsid w:val="009B5CF3"/>
    <w:rsid w:val="009B61C7"/>
    <w:rsid w:val="009B71D0"/>
    <w:rsid w:val="009B7A59"/>
    <w:rsid w:val="009C16CC"/>
    <w:rsid w:val="009C22F5"/>
    <w:rsid w:val="009C2635"/>
    <w:rsid w:val="009C4F99"/>
    <w:rsid w:val="009D18F2"/>
    <w:rsid w:val="009D44FC"/>
    <w:rsid w:val="009D536F"/>
    <w:rsid w:val="009D5922"/>
    <w:rsid w:val="009D6559"/>
    <w:rsid w:val="009D6D17"/>
    <w:rsid w:val="009D70B4"/>
    <w:rsid w:val="009D75CD"/>
    <w:rsid w:val="009D77B0"/>
    <w:rsid w:val="009D7C37"/>
    <w:rsid w:val="009D7EC3"/>
    <w:rsid w:val="009E088F"/>
    <w:rsid w:val="009E0F3B"/>
    <w:rsid w:val="009E1376"/>
    <w:rsid w:val="009E23E8"/>
    <w:rsid w:val="009E29F8"/>
    <w:rsid w:val="009E3767"/>
    <w:rsid w:val="009E3DFC"/>
    <w:rsid w:val="009E4549"/>
    <w:rsid w:val="009E4896"/>
    <w:rsid w:val="009E5365"/>
    <w:rsid w:val="009E5652"/>
    <w:rsid w:val="009E5E9A"/>
    <w:rsid w:val="009E60FC"/>
    <w:rsid w:val="009E66B9"/>
    <w:rsid w:val="009E746F"/>
    <w:rsid w:val="009E7A99"/>
    <w:rsid w:val="009F0053"/>
    <w:rsid w:val="009F0EFF"/>
    <w:rsid w:val="009F140C"/>
    <w:rsid w:val="009F1F95"/>
    <w:rsid w:val="009F218B"/>
    <w:rsid w:val="009F2F00"/>
    <w:rsid w:val="009F58B3"/>
    <w:rsid w:val="009F5EB4"/>
    <w:rsid w:val="009F76E7"/>
    <w:rsid w:val="00A00E46"/>
    <w:rsid w:val="00A02560"/>
    <w:rsid w:val="00A02708"/>
    <w:rsid w:val="00A0337A"/>
    <w:rsid w:val="00A03BB9"/>
    <w:rsid w:val="00A04643"/>
    <w:rsid w:val="00A07D6B"/>
    <w:rsid w:val="00A1000C"/>
    <w:rsid w:val="00A1159E"/>
    <w:rsid w:val="00A12348"/>
    <w:rsid w:val="00A127F3"/>
    <w:rsid w:val="00A143EE"/>
    <w:rsid w:val="00A14E6D"/>
    <w:rsid w:val="00A14ECF"/>
    <w:rsid w:val="00A16F4B"/>
    <w:rsid w:val="00A173E2"/>
    <w:rsid w:val="00A2042E"/>
    <w:rsid w:val="00A20A8F"/>
    <w:rsid w:val="00A20CEC"/>
    <w:rsid w:val="00A20FE9"/>
    <w:rsid w:val="00A228FF"/>
    <w:rsid w:val="00A25092"/>
    <w:rsid w:val="00A25367"/>
    <w:rsid w:val="00A26B89"/>
    <w:rsid w:val="00A26F8B"/>
    <w:rsid w:val="00A308D0"/>
    <w:rsid w:val="00A31047"/>
    <w:rsid w:val="00A317B5"/>
    <w:rsid w:val="00A31FF3"/>
    <w:rsid w:val="00A32288"/>
    <w:rsid w:val="00A32A80"/>
    <w:rsid w:val="00A335F4"/>
    <w:rsid w:val="00A34FAB"/>
    <w:rsid w:val="00A3605C"/>
    <w:rsid w:val="00A40C16"/>
    <w:rsid w:val="00A410FC"/>
    <w:rsid w:val="00A4120C"/>
    <w:rsid w:val="00A41483"/>
    <w:rsid w:val="00A41707"/>
    <w:rsid w:val="00A41C8B"/>
    <w:rsid w:val="00A42C9B"/>
    <w:rsid w:val="00A432D5"/>
    <w:rsid w:val="00A436FC"/>
    <w:rsid w:val="00A46383"/>
    <w:rsid w:val="00A46418"/>
    <w:rsid w:val="00A471A8"/>
    <w:rsid w:val="00A5071A"/>
    <w:rsid w:val="00A51154"/>
    <w:rsid w:val="00A52DCD"/>
    <w:rsid w:val="00A537FF"/>
    <w:rsid w:val="00A60EFA"/>
    <w:rsid w:val="00A64280"/>
    <w:rsid w:val="00A65641"/>
    <w:rsid w:val="00A667F6"/>
    <w:rsid w:val="00A66E8A"/>
    <w:rsid w:val="00A67E26"/>
    <w:rsid w:val="00A70063"/>
    <w:rsid w:val="00A701F9"/>
    <w:rsid w:val="00A7026A"/>
    <w:rsid w:val="00A73253"/>
    <w:rsid w:val="00A732C4"/>
    <w:rsid w:val="00A733BF"/>
    <w:rsid w:val="00A73530"/>
    <w:rsid w:val="00A74408"/>
    <w:rsid w:val="00A74E60"/>
    <w:rsid w:val="00A75174"/>
    <w:rsid w:val="00A75BCA"/>
    <w:rsid w:val="00A75E5F"/>
    <w:rsid w:val="00A8110B"/>
    <w:rsid w:val="00A8151E"/>
    <w:rsid w:val="00A81A61"/>
    <w:rsid w:val="00A822AB"/>
    <w:rsid w:val="00A82816"/>
    <w:rsid w:val="00A8395E"/>
    <w:rsid w:val="00A83AB8"/>
    <w:rsid w:val="00A85FCF"/>
    <w:rsid w:val="00A87043"/>
    <w:rsid w:val="00A9208C"/>
    <w:rsid w:val="00A94A53"/>
    <w:rsid w:val="00A9572A"/>
    <w:rsid w:val="00A97698"/>
    <w:rsid w:val="00AA03CD"/>
    <w:rsid w:val="00AA05BF"/>
    <w:rsid w:val="00AA1EEC"/>
    <w:rsid w:val="00AA210C"/>
    <w:rsid w:val="00AA2301"/>
    <w:rsid w:val="00AA3EBF"/>
    <w:rsid w:val="00AA46C7"/>
    <w:rsid w:val="00AA5253"/>
    <w:rsid w:val="00AA5C31"/>
    <w:rsid w:val="00AA5CF3"/>
    <w:rsid w:val="00AA6236"/>
    <w:rsid w:val="00AA662F"/>
    <w:rsid w:val="00AA7530"/>
    <w:rsid w:val="00AB0CE4"/>
    <w:rsid w:val="00AB17C9"/>
    <w:rsid w:val="00AB3C15"/>
    <w:rsid w:val="00AB3C4E"/>
    <w:rsid w:val="00AB401F"/>
    <w:rsid w:val="00AB6C24"/>
    <w:rsid w:val="00AB72BD"/>
    <w:rsid w:val="00AB7F07"/>
    <w:rsid w:val="00AC083B"/>
    <w:rsid w:val="00AC0D39"/>
    <w:rsid w:val="00AC2824"/>
    <w:rsid w:val="00AC34B1"/>
    <w:rsid w:val="00AC4A7F"/>
    <w:rsid w:val="00AC4EE1"/>
    <w:rsid w:val="00AC4F42"/>
    <w:rsid w:val="00AC5499"/>
    <w:rsid w:val="00AC595F"/>
    <w:rsid w:val="00AC6F4A"/>
    <w:rsid w:val="00AC6FFF"/>
    <w:rsid w:val="00AC7BAC"/>
    <w:rsid w:val="00AD0486"/>
    <w:rsid w:val="00AD084E"/>
    <w:rsid w:val="00AD0F65"/>
    <w:rsid w:val="00AD2158"/>
    <w:rsid w:val="00AD2533"/>
    <w:rsid w:val="00AD2A7C"/>
    <w:rsid w:val="00AD3104"/>
    <w:rsid w:val="00AD418A"/>
    <w:rsid w:val="00AD48CB"/>
    <w:rsid w:val="00AD59E7"/>
    <w:rsid w:val="00AD5C83"/>
    <w:rsid w:val="00AD670E"/>
    <w:rsid w:val="00AE13F9"/>
    <w:rsid w:val="00AE23DB"/>
    <w:rsid w:val="00AE32C0"/>
    <w:rsid w:val="00AE424C"/>
    <w:rsid w:val="00AE538F"/>
    <w:rsid w:val="00AE5A48"/>
    <w:rsid w:val="00AE5F01"/>
    <w:rsid w:val="00AE5F27"/>
    <w:rsid w:val="00AE6090"/>
    <w:rsid w:val="00AE7D20"/>
    <w:rsid w:val="00AF11CF"/>
    <w:rsid w:val="00AF20DC"/>
    <w:rsid w:val="00AF22B8"/>
    <w:rsid w:val="00AF277C"/>
    <w:rsid w:val="00AF3304"/>
    <w:rsid w:val="00AF4F92"/>
    <w:rsid w:val="00AF517D"/>
    <w:rsid w:val="00AF6900"/>
    <w:rsid w:val="00AF7972"/>
    <w:rsid w:val="00AF7EAF"/>
    <w:rsid w:val="00B00806"/>
    <w:rsid w:val="00B01607"/>
    <w:rsid w:val="00B0239E"/>
    <w:rsid w:val="00B0452A"/>
    <w:rsid w:val="00B0520A"/>
    <w:rsid w:val="00B064DC"/>
    <w:rsid w:val="00B07F22"/>
    <w:rsid w:val="00B07F7E"/>
    <w:rsid w:val="00B10449"/>
    <w:rsid w:val="00B11F36"/>
    <w:rsid w:val="00B125AF"/>
    <w:rsid w:val="00B143AF"/>
    <w:rsid w:val="00B1446F"/>
    <w:rsid w:val="00B1474C"/>
    <w:rsid w:val="00B14FC2"/>
    <w:rsid w:val="00B16D8B"/>
    <w:rsid w:val="00B17BC8"/>
    <w:rsid w:val="00B20649"/>
    <w:rsid w:val="00B20AED"/>
    <w:rsid w:val="00B21ADF"/>
    <w:rsid w:val="00B22B24"/>
    <w:rsid w:val="00B234D0"/>
    <w:rsid w:val="00B2352E"/>
    <w:rsid w:val="00B239B4"/>
    <w:rsid w:val="00B244D1"/>
    <w:rsid w:val="00B245D5"/>
    <w:rsid w:val="00B24C96"/>
    <w:rsid w:val="00B255BC"/>
    <w:rsid w:val="00B27C75"/>
    <w:rsid w:val="00B30AB3"/>
    <w:rsid w:val="00B33B65"/>
    <w:rsid w:val="00B35176"/>
    <w:rsid w:val="00B353D1"/>
    <w:rsid w:val="00B35582"/>
    <w:rsid w:val="00B358F9"/>
    <w:rsid w:val="00B36EC2"/>
    <w:rsid w:val="00B36FBC"/>
    <w:rsid w:val="00B41BD0"/>
    <w:rsid w:val="00B42489"/>
    <w:rsid w:val="00B42B3A"/>
    <w:rsid w:val="00B43F12"/>
    <w:rsid w:val="00B441B6"/>
    <w:rsid w:val="00B44579"/>
    <w:rsid w:val="00B450D3"/>
    <w:rsid w:val="00B453A5"/>
    <w:rsid w:val="00B465F2"/>
    <w:rsid w:val="00B47E1A"/>
    <w:rsid w:val="00B51A08"/>
    <w:rsid w:val="00B53872"/>
    <w:rsid w:val="00B54407"/>
    <w:rsid w:val="00B55F42"/>
    <w:rsid w:val="00B61AE5"/>
    <w:rsid w:val="00B61F49"/>
    <w:rsid w:val="00B63E19"/>
    <w:rsid w:val="00B64ABA"/>
    <w:rsid w:val="00B66BA2"/>
    <w:rsid w:val="00B66DBF"/>
    <w:rsid w:val="00B670E9"/>
    <w:rsid w:val="00B67447"/>
    <w:rsid w:val="00B67618"/>
    <w:rsid w:val="00B6772A"/>
    <w:rsid w:val="00B707A9"/>
    <w:rsid w:val="00B71961"/>
    <w:rsid w:val="00B7247D"/>
    <w:rsid w:val="00B72CC0"/>
    <w:rsid w:val="00B75514"/>
    <w:rsid w:val="00B759C2"/>
    <w:rsid w:val="00B760C4"/>
    <w:rsid w:val="00B765D9"/>
    <w:rsid w:val="00B77499"/>
    <w:rsid w:val="00B774F2"/>
    <w:rsid w:val="00B775CF"/>
    <w:rsid w:val="00B77B0E"/>
    <w:rsid w:val="00B80B9D"/>
    <w:rsid w:val="00B85370"/>
    <w:rsid w:val="00B86464"/>
    <w:rsid w:val="00B87BFD"/>
    <w:rsid w:val="00B87E57"/>
    <w:rsid w:val="00B90211"/>
    <w:rsid w:val="00B9045E"/>
    <w:rsid w:val="00B9108A"/>
    <w:rsid w:val="00B94674"/>
    <w:rsid w:val="00B946BA"/>
    <w:rsid w:val="00B9613D"/>
    <w:rsid w:val="00B96F44"/>
    <w:rsid w:val="00B97AA6"/>
    <w:rsid w:val="00BA1DA3"/>
    <w:rsid w:val="00BA333F"/>
    <w:rsid w:val="00BA7E75"/>
    <w:rsid w:val="00BB1888"/>
    <w:rsid w:val="00BB19B2"/>
    <w:rsid w:val="00BB4E17"/>
    <w:rsid w:val="00BB7422"/>
    <w:rsid w:val="00BB767F"/>
    <w:rsid w:val="00BC320A"/>
    <w:rsid w:val="00BC39C2"/>
    <w:rsid w:val="00BC5876"/>
    <w:rsid w:val="00BD010A"/>
    <w:rsid w:val="00BD0A30"/>
    <w:rsid w:val="00BD0DA4"/>
    <w:rsid w:val="00BD0EF8"/>
    <w:rsid w:val="00BD337A"/>
    <w:rsid w:val="00BD43AE"/>
    <w:rsid w:val="00BD4C81"/>
    <w:rsid w:val="00BD6B2A"/>
    <w:rsid w:val="00BD6BF5"/>
    <w:rsid w:val="00BD73B3"/>
    <w:rsid w:val="00BD7DB1"/>
    <w:rsid w:val="00BD7EF9"/>
    <w:rsid w:val="00BE1AE8"/>
    <w:rsid w:val="00BE21C8"/>
    <w:rsid w:val="00BE3FB4"/>
    <w:rsid w:val="00BE58ED"/>
    <w:rsid w:val="00BE6120"/>
    <w:rsid w:val="00BE70D4"/>
    <w:rsid w:val="00BF0249"/>
    <w:rsid w:val="00BF1603"/>
    <w:rsid w:val="00BF1BFD"/>
    <w:rsid w:val="00BF3111"/>
    <w:rsid w:val="00BF34C3"/>
    <w:rsid w:val="00BF5359"/>
    <w:rsid w:val="00BF6225"/>
    <w:rsid w:val="00BF6912"/>
    <w:rsid w:val="00BF7FD0"/>
    <w:rsid w:val="00C01C13"/>
    <w:rsid w:val="00C02704"/>
    <w:rsid w:val="00C02FFF"/>
    <w:rsid w:val="00C03012"/>
    <w:rsid w:val="00C03E61"/>
    <w:rsid w:val="00C0452A"/>
    <w:rsid w:val="00C047FC"/>
    <w:rsid w:val="00C05646"/>
    <w:rsid w:val="00C07298"/>
    <w:rsid w:val="00C072ED"/>
    <w:rsid w:val="00C107ED"/>
    <w:rsid w:val="00C1142A"/>
    <w:rsid w:val="00C12D2E"/>
    <w:rsid w:val="00C14EC4"/>
    <w:rsid w:val="00C16490"/>
    <w:rsid w:val="00C17711"/>
    <w:rsid w:val="00C206A7"/>
    <w:rsid w:val="00C20D44"/>
    <w:rsid w:val="00C23475"/>
    <w:rsid w:val="00C2409C"/>
    <w:rsid w:val="00C2542E"/>
    <w:rsid w:val="00C25C4D"/>
    <w:rsid w:val="00C25FA6"/>
    <w:rsid w:val="00C2681D"/>
    <w:rsid w:val="00C26A9C"/>
    <w:rsid w:val="00C27A98"/>
    <w:rsid w:val="00C31C5E"/>
    <w:rsid w:val="00C3209A"/>
    <w:rsid w:val="00C366EC"/>
    <w:rsid w:val="00C368E2"/>
    <w:rsid w:val="00C36B09"/>
    <w:rsid w:val="00C40CA5"/>
    <w:rsid w:val="00C41B42"/>
    <w:rsid w:val="00C44332"/>
    <w:rsid w:val="00C4442E"/>
    <w:rsid w:val="00C5114D"/>
    <w:rsid w:val="00C51FE8"/>
    <w:rsid w:val="00C5286B"/>
    <w:rsid w:val="00C53191"/>
    <w:rsid w:val="00C54FE7"/>
    <w:rsid w:val="00C55098"/>
    <w:rsid w:val="00C5665A"/>
    <w:rsid w:val="00C5670A"/>
    <w:rsid w:val="00C625D9"/>
    <w:rsid w:val="00C62647"/>
    <w:rsid w:val="00C629A5"/>
    <w:rsid w:val="00C648EB"/>
    <w:rsid w:val="00C64F55"/>
    <w:rsid w:val="00C64F6D"/>
    <w:rsid w:val="00C662AE"/>
    <w:rsid w:val="00C70ABB"/>
    <w:rsid w:val="00C70DBD"/>
    <w:rsid w:val="00C731C9"/>
    <w:rsid w:val="00C734A5"/>
    <w:rsid w:val="00C746AE"/>
    <w:rsid w:val="00C74DCD"/>
    <w:rsid w:val="00C7672B"/>
    <w:rsid w:val="00C76ACE"/>
    <w:rsid w:val="00C800D3"/>
    <w:rsid w:val="00C801D0"/>
    <w:rsid w:val="00C815B6"/>
    <w:rsid w:val="00C83A0E"/>
    <w:rsid w:val="00C873FC"/>
    <w:rsid w:val="00C90C93"/>
    <w:rsid w:val="00C91EFB"/>
    <w:rsid w:val="00C93811"/>
    <w:rsid w:val="00C944AF"/>
    <w:rsid w:val="00C95B17"/>
    <w:rsid w:val="00C95C40"/>
    <w:rsid w:val="00C9730B"/>
    <w:rsid w:val="00CA052B"/>
    <w:rsid w:val="00CA1491"/>
    <w:rsid w:val="00CA324A"/>
    <w:rsid w:val="00CA35DB"/>
    <w:rsid w:val="00CA3A76"/>
    <w:rsid w:val="00CA3D87"/>
    <w:rsid w:val="00CA431C"/>
    <w:rsid w:val="00CA4696"/>
    <w:rsid w:val="00CA5810"/>
    <w:rsid w:val="00CA586E"/>
    <w:rsid w:val="00CA6508"/>
    <w:rsid w:val="00CA6535"/>
    <w:rsid w:val="00CA6CCA"/>
    <w:rsid w:val="00CB1F68"/>
    <w:rsid w:val="00CB2730"/>
    <w:rsid w:val="00CB362A"/>
    <w:rsid w:val="00CB44F0"/>
    <w:rsid w:val="00CB4EE5"/>
    <w:rsid w:val="00CB4F31"/>
    <w:rsid w:val="00CB60AE"/>
    <w:rsid w:val="00CB6D4E"/>
    <w:rsid w:val="00CB75B6"/>
    <w:rsid w:val="00CC1E48"/>
    <w:rsid w:val="00CC298C"/>
    <w:rsid w:val="00CC2ACA"/>
    <w:rsid w:val="00CC544B"/>
    <w:rsid w:val="00CC5866"/>
    <w:rsid w:val="00CC5D43"/>
    <w:rsid w:val="00CD0F7B"/>
    <w:rsid w:val="00CD2E15"/>
    <w:rsid w:val="00CD4058"/>
    <w:rsid w:val="00CD5E94"/>
    <w:rsid w:val="00CD6B4B"/>
    <w:rsid w:val="00CE05B8"/>
    <w:rsid w:val="00CE1068"/>
    <w:rsid w:val="00CE2D8D"/>
    <w:rsid w:val="00CE6D67"/>
    <w:rsid w:val="00CF436E"/>
    <w:rsid w:val="00CF4DEF"/>
    <w:rsid w:val="00CF6D9D"/>
    <w:rsid w:val="00CF7F5A"/>
    <w:rsid w:val="00D005D0"/>
    <w:rsid w:val="00D01D82"/>
    <w:rsid w:val="00D03258"/>
    <w:rsid w:val="00D039EF"/>
    <w:rsid w:val="00D05197"/>
    <w:rsid w:val="00D07420"/>
    <w:rsid w:val="00D07ADD"/>
    <w:rsid w:val="00D11450"/>
    <w:rsid w:val="00D1167E"/>
    <w:rsid w:val="00D11EEC"/>
    <w:rsid w:val="00D124A9"/>
    <w:rsid w:val="00D13FAA"/>
    <w:rsid w:val="00D149F6"/>
    <w:rsid w:val="00D149F9"/>
    <w:rsid w:val="00D14BA4"/>
    <w:rsid w:val="00D155A7"/>
    <w:rsid w:val="00D15F59"/>
    <w:rsid w:val="00D205C7"/>
    <w:rsid w:val="00D208D0"/>
    <w:rsid w:val="00D2091F"/>
    <w:rsid w:val="00D22A06"/>
    <w:rsid w:val="00D24AC7"/>
    <w:rsid w:val="00D24C74"/>
    <w:rsid w:val="00D268C1"/>
    <w:rsid w:val="00D26B89"/>
    <w:rsid w:val="00D31F4E"/>
    <w:rsid w:val="00D32EA1"/>
    <w:rsid w:val="00D34135"/>
    <w:rsid w:val="00D34732"/>
    <w:rsid w:val="00D35376"/>
    <w:rsid w:val="00D366A7"/>
    <w:rsid w:val="00D403D1"/>
    <w:rsid w:val="00D41B34"/>
    <w:rsid w:val="00D42962"/>
    <w:rsid w:val="00D44D6B"/>
    <w:rsid w:val="00D46017"/>
    <w:rsid w:val="00D51536"/>
    <w:rsid w:val="00D51F16"/>
    <w:rsid w:val="00D51FB6"/>
    <w:rsid w:val="00D53333"/>
    <w:rsid w:val="00D54D81"/>
    <w:rsid w:val="00D56530"/>
    <w:rsid w:val="00D56F18"/>
    <w:rsid w:val="00D57653"/>
    <w:rsid w:val="00D60134"/>
    <w:rsid w:val="00D60BF3"/>
    <w:rsid w:val="00D64D67"/>
    <w:rsid w:val="00D6517E"/>
    <w:rsid w:val="00D66030"/>
    <w:rsid w:val="00D66D1D"/>
    <w:rsid w:val="00D66D61"/>
    <w:rsid w:val="00D67147"/>
    <w:rsid w:val="00D67371"/>
    <w:rsid w:val="00D675C2"/>
    <w:rsid w:val="00D721B4"/>
    <w:rsid w:val="00D72E6E"/>
    <w:rsid w:val="00D732AA"/>
    <w:rsid w:val="00D7334E"/>
    <w:rsid w:val="00D73FE3"/>
    <w:rsid w:val="00D80E5B"/>
    <w:rsid w:val="00D81096"/>
    <w:rsid w:val="00D826E0"/>
    <w:rsid w:val="00D8296D"/>
    <w:rsid w:val="00D82D61"/>
    <w:rsid w:val="00D85F5A"/>
    <w:rsid w:val="00D86464"/>
    <w:rsid w:val="00D86AC9"/>
    <w:rsid w:val="00D90714"/>
    <w:rsid w:val="00D90AA9"/>
    <w:rsid w:val="00D92783"/>
    <w:rsid w:val="00D95396"/>
    <w:rsid w:val="00D95531"/>
    <w:rsid w:val="00DA106A"/>
    <w:rsid w:val="00DA22BF"/>
    <w:rsid w:val="00DA2619"/>
    <w:rsid w:val="00DA3DC4"/>
    <w:rsid w:val="00DA51EC"/>
    <w:rsid w:val="00DA5602"/>
    <w:rsid w:val="00DA6333"/>
    <w:rsid w:val="00DA71CE"/>
    <w:rsid w:val="00DB1DA8"/>
    <w:rsid w:val="00DB1EFD"/>
    <w:rsid w:val="00DB2F90"/>
    <w:rsid w:val="00DB354E"/>
    <w:rsid w:val="00DB4B82"/>
    <w:rsid w:val="00DB6C01"/>
    <w:rsid w:val="00DB779B"/>
    <w:rsid w:val="00DB7D08"/>
    <w:rsid w:val="00DB7E1E"/>
    <w:rsid w:val="00DB7F11"/>
    <w:rsid w:val="00DC06E0"/>
    <w:rsid w:val="00DC4915"/>
    <w:rsid w:val="00DC5BF9"/>
    <w:rsid w:val="00DC73F5"/>
    <w:rsid w:val="00DC76C4"/>
    <w:rsid w:val="00DC7818"/>
    <w:rsid w:val="00DD0B80"/>
    <w:rsid w:val="00DD1F76"/>
    <w:rsid w:val="00DD2DDE"/>
    <w:rsid w:val="00DD4495"/>
    <w:rsid w:val="00DD45B4"/>
    <w:rsid w:val="00DD7532"/>
    <w:rsid w:val="00DE02F3"/>
    <w:rsid w:val="00DE17C1"/>
    <w:rsid w:val="00DE2DDF"/>
    <w:rsid w:val="00DE76F9"/>
    <w:rsid w:val="00DF1567"/>
    <w:rsid w:val="00DF2213"/>
    <w:rsid w:val="00DF2304"/>
    <w:rsid w:val="00DF3568"/>
    <w:rsid w:val="00DF3573"/>
    <w:rsid w:val="00DF416D"/>
    <w:rsid w:val="00DF445D"/>
    <w:rsid w:val="00DF44CE"/>
    <w:rsid w:val="00DF5CE5"/>
    <w:rsid w:val="00DF719B"/>
    <w:rsid w:val="00DF7F7B"/>
    <w:rsid w:val="00E001E2"/>
    <w:rsid w:val="00E010C8"/>
    <w:rsid w:val="00E014F2"/>
    <w:rsid w:val="00E01C08"/>
    <w:rsid w:val="00E0221E"/>
    <w:rsid w:val="00E024B6"/>
    <w:rsid w:val="00E05829"/>
    <w:rsid w:val="00E065D4"/>
    <w:rsid w:val="00E07126"/>
    <w:rsid w:val="00E0773B"/>
    <w:rsid w:val="00E1076E"/>
    <w:rsid w:val="00E1424A"/>
    <w:rsid w:val="00E15CDD"/>
    <w:rsid w:val="00E1617B"/>
    <w:rsid w:val="00E17BD6"/>
    <w:rsid w:val="00E17C57"/>
    <w:rsid w:val="00E2006F"/>
    <w:rsid w:val="00E2016D"/>
    <w:rsid w:val="00E2465B"/>
    <w:rsid w:val="00E24EDA"/>
    <w:rsid w:val="00E26A21"/>
    <w:rsid w:val="00E27915"/>
    <w:rsid w:val="00E27A36"/>
    <w:rsid w:val="00E3052E"/>
    <w:rsid w:val="00E30AA5"/>
    <w:rsid w:val="00E3279A"/>
    <w:rsid w:val="00E329F8"/>
    <w:rsid w:val="00E333A7"/>
    <w:rsid w:val="00E34195"/>
    <w:rsid w:val="00E34F9E"/>
    <w:rsid w:val="00E35839"/>
    <w:rsid w:val="00E36C3E"/>
    <w:rsid w:val="00E37E3E"/>
    <w:rsid w:val="00E40ABE"/>
    <w:rsid w:val="00E4217D"/>
    <w:rsid w:val="00E42539"/>
    <w:rsid w:val="00E43253"/>
    <w:rsid w:val="00E43321"/>
    <w:rsid w:val="00E452B1"/>
    <w:rsid w:val="00E460B3"/>
    <w:rsid w:val="00E4645A"/>
    <w:rsid w:val="00E46A51"/>
    <w:rsid w:val="00E47634"/>
    <w:rsid w:val="00E50164"/>
    <w:rsid w:val="00E50DC5"/>
    <w:rsid w:val="00E516ED"/>
    <w:rsid w:val="00E51EDA"/>
    <w:rsid w:val="00E52825"/>
    <w:rsid w:val="00E529E5"/>
    <w:rsid w:val="00E54F1C"/>
    <w:rsid w:val="00E550BF"/>
    <w:rsid w:val="00E56039"/>
    <w:rsid w:val="00E56DA5"/>
    <w:rsid w:val="00E602C3"/>
    <w:rsid w:val="00E61823"/>
    <w:rsid w:val="00E6232E"/>
    <w:rsid w:val="00E62480"/>
    <w:rsid w:val="00E63151"/>
    <w:rsid w:val="00E63679"/>
    <w:rsid w:val="00E712EC"/>
    <w:rsid w:val="00E73880"/>
    <w:rsid w:val="00E74CD9"/>
    <w:rsid w:val="00E769EF"/>
    <w:rsid w:val="00E813C3"/>
    <w:rsid w:val="00E81D44"/>
    <w:rsid w:val="00E82235"/>
    <w:rsid w:val="00E85A19"/>
    <w:rsid w:val="00E85BBD"/>
    <w:rsid w:val="00E874CE"/>
    <w:rsid w:val="00E87AAA"/>
    <w:rsid w:val="00E87C1E"/>
    <w:rsid w:val="00E92086"/>
    <w:rsid w:val="00E9491E"/>
    <w:rsid w:val="00E94A7C"/>
    <w:rsid w:val="00E94BBB"/>
    <w:rsid w:val="00E9522D"/>
    <w:rsid w:val="00E9693D"/>
    <w:rsid w:val="00E96B93"/>
    <w:rsid w:val="00E97CDD"/>
    <w:rsid w:val="00EA0E7F"/>
    <w:rsid w:val="00EA1951"/>
    <w:rsid w:val="00EA289F"/>
    <w:rsid w:val="00EA3844"/>
    <w:rsid w:val="00EA3D3F"/>
    <w:rsid w:val="00EA4126"/>
    <w:rsid w:val="00EA4F16"/>
    <w:rsid w:val="00EA6061"/>
    <w:rsid w:val="00EA669D"/>
    <w:rsid w:val="00EA718A"/>
    <w:rsid w:val="00EA789A"/>
    <w:rsid w:val="00EB0C3C"/>
    <w:rsid w:val="00EB1B86"/>
    <w:rsid w:val="00EB5310"/>
    <w:rsid w:val="00EB6389"/>
    <w:rsid w:val="00EB726B"/>
    <w:rsid w:val="00EB74BE"/>
    <w:rsid w:val="00EC085B"/>
    <w:rsid w:val="00EC0FAB"/>
    <w:rsid w:val="00EC100E"/>
    <w:rsid w:val="00EC27DD"/>
    <w:rsid w:val="00EC363B"/>
    <w:rsid w:val="00EC4E91"/>
    <w:rsid w:val="00EC5951"/>
    <w:rsid w:val="00EC5A6E"/>
    <w:rsid w:val="00ED0143"/>
    <w:rsid w:val="00ED085A"/>
    <w:rsid w:val="00ED0B88"/>
    <w:rsid w:val="00ED0E41"/>
    <w:rsid w:val="00ED1D46"/>
    <w:rsid w:val="00ED2B24"/>
    <w:rsid w:val="00ED2C76"/>
    <w:rsid w:val="00ED2FB2"/>
    <w:rsid w:val="00ED3F7C"/>
    <w:rsid w:val="00ED509A"/>
    <w:rsid w:val="00ED517E"/>
    <w:rsid w:val="00ED55E8"/>
    <w:rsid w:val="00ED65A5"/>
    <w:rsid w:val="00ED67E1"/>
    <w:rsid w:val="00ED7F85"/>
    <w:rsid w:val="00EE06A8"/>
    <w:rsid w:val="00EE36AF"/>
    <w:rsid w:val="00EE544D"/>
    <w:rsid w:val="00EE5FCC"/>
    <w:rsid w:val="00EE65C2"/>
    <w:rsid w:val="00EE7C4F"/>
    <w:rsid w:val="00EE7E83"/>
    <w:rsid w:val="00EF09E5"/>
    <w:rsid w:val="00EF19E7"/>
    <w:rsid w:val="00EF2CE4"/>
    <w:rsid w:val="00EF3646"/>
    <w:rsid w:val="00EF4416"/>
    <w:rsid w:val="00EF4A0C"/>
    <w:rsid w:val="00EF50E9"/>
    <w:rsid w:val="00EF6AA2"/>
    <w:rsid w:val="00EF7E0D"/>
    <w:rsid w:val="00F001B2"/>
    <w:rsid w:val="00F00B6C"/>
    <w:rsid w:val="00F02622"/>
    <w:rsid w:val="00F03F0C"/>
    <w:rsid w:val="00F059FD"/>
    <w:rsid w:val="00F05AEE"/>
    <w:rsid w:val="00F122DF"/>
    <w:rsid w:val="00F1301A"/>
    <w:rsid w:val="00F13080"/>
    <w:rsid w:val="00F133E1"/>
    <w:rsid w:val="00F133EC"/>
    <w:rsid w:val="00F13B38"/>
    <w:rsid w:val="00F13FA0"/>
    <w:rsid w:val="00F14071"/>
    <w:rsid w:val="00F147F6"/>
    <w:rsid w:val="00F151C3"/>
    <w:rsid w:val="00F17360"/>
    <w:rsid w:val="00F20B82"/>
    <w:rsid w:val="00F20BC4"/>
    <w:rsid w:val="00F248EB"/>
    <w:rsid w:val="00F264FE"/>
    <w:rsid w:val="00F30225"/>
    <w:rsid w:val="00F3185E"/>
    <w:rsid w:val="00F31FC8"/>
    <w:rsid w:val="00F3379B"/>
    <w:rsid w:val="00F42A5C"/>
    <w:rsid w:val="00F43148"/>
    <w:rsid w:val="00F43E78"/>
    <w:rsid w:val="00F4419B"/>
    <w:rsid w:val="00F45D9A"/>
    <w:rsid w:val="00F47B40"/>
    <w:rsid w:val="00F50244"/>
    <w:rsid w:val="00F51B68"/>
    <w:rsid w:val="00F52E28"/>
    <w:rsid w:val="00F53202"/>
    <w:rsid w:val="00F54E07"/>
    <w:rsid w:val="00F56CB0"/>
    <w:rsid w:val="00F571A2"/>
    <w:rsid w:val="00F571F3"/>
    <w:rsid w:val="00F606A2"/>
    <w:rsid w:val="00F62E61"/>
    <w:rsid w:val="00F647A3"/>
    <w:rsid w:val="00F64B3C"/>
    <w:rsid w:val="00F658A5"/>
    <w:rsid w:val="00F678D6"/>
    <w:rsid w:val="00F70F99"/>
    <w:rsid w:val="00F71462"/>
    <w:rsid w:val="00F715ED"/>
    <w:rsid w:val="00F73018"/>
    <w:rsid w:val="00F74CBD"/>
    <w:rsid w:val="00F75449"/>
    <w:rsid w:val="00F758DF"/>
    <w:rsid w:val="00F77EC0"/>
    <w:rsid w:val="00F80681"/>
    <w:rsid w:val="00F8118D"/>
    <w:rsid w:val="00F83D54"/>
    <w:rsid w:val="00F85003"/>
    <w:rsid w:val="00F85E5E"/>
    <w:rsid w:val="00F8645C"/>
    <w:rsid w:val="00F87321"/>
    <w:rsid w:val="00F874FA"/>
    <w:rsid w:val="00F90249"/>
    <w:rsid w:val="00F94293"/>
    <w:rsid w:val="00F951D1"/>
    <w:rsid w:val="00F95967"/>
    <w:rsid w:val="00F960CC"/>
    <w:rsid w:val="00F96DA2"/>
    <w:rsid w:val="00F97208"/>
    <w:rsid w:val="00F97AE0"/>
    <w:rsid w:val="00F97C51"/>
    <w:rsid w:val="00FA0902"/>
    <w:rsid w:val="00FA0D55"/>
    <w:rsid w:val="00FA0D74"/>
    <w:rsid w:val="00FA1424"/>
    <w:rsid w:val="00FA4897"/>
    <w:rsid w:val="00FA4C53"/>
    <w:rsid w:val="00FA4EA3"/>
    <w:rsid w:val="00FA5720"/>
    <w:rsid w:val="00FA6D49"/>
    <w:rsid w:val="00FA6E76"/>
    <w:rsid w:val="00FA765D"/>
    <w:rsid w:val="00FB0F36"/>
    <w:rsid w:val="00FB2091"/>
    <w:rsid w:val="00FB20B2"/>
    <w:rsid w:val="00FB240E"/>
    <w:rsid w:val="00FB2479"/>
    <w:rsid w:val="00FB3208"/>
    <w:rsid w:val="00FB4446"/>
    <w:rsid w:val="00FB6713"/>
    <w:rsid w:val="00FC0DEA"/>
    <w:rsid w:val="00FC123A"/>
    <w:rsid w:val="00FC1D66"/>
    <w:rsid w:val="00FC30FE"/>
    <w:rsid w:val="00FC435F"/>
    <w:rsid w:val="00FC5B3F"/>
    <w:rsid w:val="00FC688F"/>
    <w:rsid w:val="00FD1BCA"/>
    <w:rsid w:val="00FD1D12"/>
    <w:rsid w:val="00FD1EF8"/>
    <w:rsid w:val="00FD2431"/>
    <w:rsid w:val="00FD3EBC"/>
    <w:rsid w:val="00FD4A96"/>
    <w:rsid w:val="00FD6C62"/>
    <w:rsid w:val="00FE1C68"/>
    <w:rsid w:val="00FE3948"/>
    <w:rsid w:val="00FE43BC"/>
    <w:rsid w:val="00FE4959"/>
    <w:rsid w:val="00FE6D79"/>
    <w:rsid w:val="00FE7270"/>
    <w:rsid w:val="00FF078B"/>
    <w:rsid w:val="00FF0D9B"/>
    <w:rsid w:val="00FF163E"/>
    <w:rsid w:val="00FF2276"/>
    <w:rsid w:val="00FF2F3E"/>
    <w:rsid w:val="00FF5D9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0A2FE0-20C4-4C10-A024-05081C14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6AE"/>
  </w:style>
  <w:style w:type="paragraph" w:styleId="Heading1">
    <w:name w:val="heading 1"/>
    <w:aliases w:val="0 Heading 1"/>
    <w:basedOn w:val="Normal"/>
    <w:next w:val="Normal"/>
    <w:link w:val="Heading1Char"/>
    <w:uiPriority w:val="9"/>
    <w:qFormat/>
    <w:rsid w:val="0099500F"/>
    <w:pPr>
      <w:keepNext/>
      <w:keepLines/>
      <w:spacing w:before="240" w:after="360" w:line="240" w:lineRule="auto"/>
      <w:outlineLvl w:val="0"/>
    </w:pPr>
    <w:rPr>
      <w:rFonts w:ascii="Verdana" w:eastAsiaTheme="majorEastAsia" w:hAnsi="Verdana" w:cstheme="majorBidi"/>
      <w:bCs/>
      <w:color w:val="F47D2B"/>
      <w:sz w:val="40"/>
      <w:szCs w:val="40"/>
      <w:lang w:eastAsia="zh-TW"/>
    </w:rPr>
  </w:style>
  <w:style w:type="paragraph" w:styleId="Heading2">
    <w:name w:val="heading 2"/>
    <w:aliases w:val="0 Heading 2"/>
    <w:basedOn w:val="Normal"/>
    <w:next w:val="Normal"/>
    <w:link w:val="Heading2Char"/>
    <w:uiPriority w:val="9"/>
    <w:unhideWhenUsed/>
    <w:qFormat/>
    <w:rsid w:val="0099500F"/>
    <w:pPr>
      <w:keepNext/>
      <w:keepLines/>
      <w:spacing w:before="200" w:after="160" w:line="240" w:lineRule="auto"/>
      <w:outlineLvl w:val="1"/>
    </w:pPr>
    <w:rPr>
      <w:rFonts w:ascii="Verdana" w:eastAsiaTheme="majorEastAsia" w:hAnsi="Verdana" w:cstheme="majorBidi"/>
      <w:bCs/>
      <w:color w:val="808080" w:themeColor="background1" w:themeShade="80"/>
      <w:sz w:val="28"/>
      <w:szCs w:val="28"/>
      <w:lang w:val="en-US" w:eastAsia="zh-TW"/>
    </w:rPr>
  </w:style>
  <w:style w:type="paragraph" w:styleId="Heading3">
    <w:name w:val="heading 3"/>
    <w:basedOn w:val="Normal"/>
    <w:next w:val="Normal"/>
    <w:link w:val="Heading3Char"/>
    <w:uiPriority w:val="9"/>
    <w:unhideWhenUsed/>
    <w:qFormat/>
    <w:rsid w:val="0099500F"/>
    <w:pPr>
      <w:keepNext/>
      <w:keepLines/>
      <w:spacing w:before="200" w:after="120" w:line="240" w:lineRule="auto"/>
      <w:outlineLvl w:val="2"/>
    </w:pPr>
    <w:rPr>
      <w:rFonts w:ascii="Verdana" w:eastAsiaTheme="majorEastAsia" w:hAnsi="Verdana" w:cstheme="majorBidi"/>
      <w:b/>
      <w:bCs/>
      <w:color w:val="404040" w:themeColor="text1" w:themeTint="BF"/>
      <w:sz w:val="20"/>
      <w:szCs w:val="24"/>
      <w:lang w:eastAsia="zh-TW"/>
    </w:rPr>
  </w:style>
  <w:style w:type="paragraph" w:styleId="Heading4">
    <w:name w:val="heading 4"/>
    <w:aliases w:val="Bullets level 2"/>
    <w:basedOn w:val="ListParagraph"/>
    <w:next w:val="Normal"/>
    <w:link w:val="Heading4Char"/>
    <w:uiPriority w:val="9"/>
    <w:unhideWhenUsed/>
    <w:qFormat/>
    <w:rsid w:val="0099500F"/>
    <w:pPr>
      <w:numPr>
        <w:ilvl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NECG) Footnote Text,ALTS FOOTNOTE"/>
    <w:basedOn w:val="Normal"/>
    <w:link w:val="FootnoteTextChar"/>
    <w:uiPriority w:val="99"/>
    <w:unhideWhenUsed/>
    <w:rsid w:val="00BB7422"/>
    <w:pPr>
      <w:spacing w:after="0" w:line="240" w:lineRule="auto"/>
    </w:pPr>
    <w:rPr>
      <w:sz w:val="20"/>
      <w:szCs w:val="20"/>
    </w:rPr>
  </w:style>
  <w:style w:type="character" w:customStyle="1" w:styleId="FootnoteTextChar">
    <w:name w:val="Footnote Text Char"/>
    <w:aliases w:val="(NECG) Footnote Text Char,ALTS FOOTNOTE Char"/>
    <w:basedOn w:val="DefaultParagraphFont"/>
    <w:link w:val="FootnoteText"/>
    <w:uiPriority w:val="99"/>
    <w:rsid w:val="00BB7422"/>
    <w:rPr>
      <w:sz w:val="20"/>
      <w:szCs w:val="20"/>
    </w:rPr>
  </w:style>
  <w:style w:type="character" w:styleId="FootnoteReference">
    <w:name w:val="footnote reference"/>
    <w:aliases w:val="(NECG) Footnote Reference"/>
    <w:basedOn w:val="DefaultParagraphFont"/>
    <w:uiPriority w:val="99"/>
    <w:unhideWhenUsed/>
    <w:rsid w:val="00BB7422"/>
    <w:rPr>
      <w:vertAlign w:val="superscript"/>
    </w:rPr>
  </w:style>
  <w:style w:type="paragraph" w:customStyle="1" w:styleId="RFSBoxtext">
    <w:name w:val="RFS Box text"/>
    <w:basedOn w:val="Normal"/>
    <w:rsid w:val="00FB0F36"/>
    <w:pPr>
      <w:pBdr>
        <w:top w:val="single" w:sz="4" w:space="5" w:color="776AB0"/>
        <w:left w:val="single" w:sz="4" w:space="4" w:color="776AB0"/>
        <w:bottom w:val="single" w:sz="4" w:space="5" w:color="776AB0"/>
        <w:right w:val="single" w:sz="4" w:space="4" w:color="776AB0"/>
      </w:pBdr>
      <w:shd w:val="clear" w:color="26B8D2" w:fill="E7E5F2"/>
      <w:suppressAutoHyphens/>
      <w:autoSpaceDE w:val="0"/>
      <w:autoSpaceDN w:val="0"/>
      <w:adjustRightInd w:val="0"/>
      <w:spacing w:before="360" w:after="360" w:line="300" w:lineRule="atLeast"/>
      <w:ind w:left="113" w:right="170"/>
      <w:textAlignment w:val="center"/>
    </w:pPr>
    <w:rPr>
      <w:rFonts w:ascii="Calibri" w:eastAsia="Times New Roman" w:hAnsi="Calibri" w:cs="Garamond"/>
      <w:color w:val="000000"/>
      <w:sz w:val="20"/>
      <w:szCs w:val="24"/>
      <w:lang w:val="en-GB" w:eastAsia="en-AU"/>
    </w:rPr>
  </w:style>
  <w:style w:type="character" w:customStyle="1" w:styleId="Heading1Char">
    <w:name w:val="Heading 1 Char"/>
    <w:aliases w:val="0 Heading 1 Char"/>
    <w:basedOn w:val="DefaultParagraphFont"/>
    <w:link w:val="Heading1"/>
    <w:rsid w:val="0099500F"/>
    <w:rPr>
      <w:rFonts w:ascii="Verdana" w:eastAsiaTheme="majorEastAsia" w:hAnsi="Verdana" w:cstheme="majorBidi"/>
      <w:bCs/>
      <w:color w:val="F47D2B"/>
      <w:sz w:val="40"/>
      <w:szCs w:val="40"/>
      <w:lang w:eastAsia="zh-TW"/>
    </w:rPr>
  </w:style>
  <w:style w:type="character" w:customStyle="1" w:styleId="Heading2Char">
    <w:name w:val="Heading 2 Char"/>
    <w:aliases w:val="0 Heading 2 Char"/>
    <w:basedOn w:val="DefaultParagraphFont"/>
    <w:link w:val="Heading2"/>
    <w:uiPriority w:val="9"/>
    <w:rsid w:val="0099500F"/>
    <w:rPr>
      <w:rFonts w:ascii="Verdana" w:eastAsiaTheme="majorEastAsia" w:hAnsi="Verdana" w:cstheme="majorBidi"/>
      <w:bCs/>
      <w:color w:val="808080" w:themeColor="background1" w:themeShade="80"/>
      <w:sz w:val="28"/>
      <w:szCs w:val="28"/>
      <w:lang w:val="en-US" w:eastAsia="zh-TW"/>
    </w:rPr>
  </w:style>
  <w:style w:type="character" w:customStyle="1" w:styleId="Heading3Char">
    <w:name w:val="Heading 3 Char"/>
    <w:basedOn w:val="DefaultParagraphFont"/>
    <w:link w:val="Heading3"/>
    <w:uiPriority w:val="9"/>
    <w:rsid w:val="0099500F"/>
    <w:rPr>
      <w:rFonts w:ascii="Verdana" w:eastAsiaTheme="majorEastAsia" w:hAnsi="Verdana" w:cstheme="majorBidi"/>
      <w:b/>
      <w:bCs/>
      <w:color w:val="404040" w:themeColor="text1" w:themeTint="BF"/>
      <w:sz w:val="20"/>
      <w:szCs w:val="24"/>
      <w:lang w:eastAsia="zh-TW"/>
    </w:rPr>
  </w:style>
  <w:style w:type="character" w:customStyle="1" w:styleId="Heading4Char">
    <w:name w:val="Heading 4 Char"/>
    <w:aliases w:val="Bullets level 2 Char"/>
    <w:basedOn w:val="DefaultParagraphFont"/>
    <w:link w:val="Heading4"/>
    <w:uiPriority w:val="9"/>
    <w:rsid w:val="0099500F"/>
    <w:rPr>
      <w:rFonts w:ascii="Verdana" w:eastAsia="Times New Roman" w:hAnsi="Verdana" w:cstheme="minorHAnsi"/>
      <w:color w:val="404040" w:themeColor="text1" w:themeTint="BF"/>
      <w:sz w:val="20"/>
      <w:szCs w:val="20"/>
      <w:lang w:eastAsia="zh-TW"/>
    </w:rPr>
  </w:style>
  <w:style w:type="paragraph" w:styleId="Header">
    <w:name w:val="header"/>
    <w:basedOn w:val="Normal"/>
    <w:link w:val="HeaderChar"/>
    <w:rsid w:val="0099500F"/>
    <w:pPr>
      <w:tabs>
        <w:tab w:val="center" w:pos="4320"/>
        <w:tab w:val="right" w:pos="8640"/>
      </w:tabs>
      <w:spacing w:after="0" w:line="240" w:lineRule="auto"/>
    </w:pPr>
    <w:rPr>
      <w:rFonts w:eastAsia="Times New Roman" w:cstheme="minorHAnsi"/>
      <w:szCs w:val="24"/>
      <w:lang w:eastAsia="zh-TW"/>
    </w:rPr>
  </w:style>
  <w:style w:type="character" w:customStyle="1" w:styleId="HeaderChar">
    <w:name w:val="Header Char"/>
    <w:basedOn w:val="DefaultParagraphFont"/>
    <w:link w:val="Header"/>
    <w:rsid w:val="0099500F"/>
    <w:rPr>
      <w:rFonts w:eastAsia="Times New Roman" w:cstheme="minorHAnsi"/>
      <w:szCs w:val="24"/>
      <w:lang w:eastAsia="zh-TW"/>
    </w:rPr>
  </w:style>
  <w:style w:type="paragraph" w:styleId="ListParagraph">
    <w:name w:val="List Paragraph"/>
    <w:aliases w:val="Bullets level 1"/>
    <w:basedOn w:val="0BodyText"/>
    <w:link w:val="ListParagraphChar"/>
    <w:autoRedefine/>
    <w:uiPriority w:val="34"/>
    <w:qFormat/>
    <w:rsid w:val="009F2F00"/>
    <w:pPr>
      <w:numPr>
        <w:numId w:val="39"/>
      </w:numPr>
      <w:spacing w:after="240" w:line="276" w:lineRule="auto"/>
      <w:ind w:left="714" w:hanging="357"/>
      <w:jc w:val="both"/>
    </w:pPr>
    <w:rPr>
      <w:rFonts w:eastAsia="Calibri"/>
      <w:color w:val="000000" w:themeColor="text1"/>
    </w:rPr>
  </w:style>
  <w:style w:type="paragraph" w:customStyle="1" w:styleId="0BodyText">
    <w:name w:val="0 Body Text"/>
    <w:basedOn w:val="Normal"/>
    <w:autoRedefine/>
    <w:qFormat/>
    <w:rsid w:val="009F2F00"/>
    <w:pPr>
      <w:spacing w:after="0" w:line="280" w:lineRule="exact"/>
      <w:jc w:val="center"/>
    </w:pPr>
    <w:rPr>
      <w:rFonts w:ascii="Verdana" w:eastAsia="Times New Roman" w:hAnsi="Verdana" w:cstheme="minorHAnsi"/>
      <w:sz w:val="20"/>
      <w:szCs w:val="20"/>
      <w:lang w:eastAsia="zh-TW"/>
    </w:rPr>
  </w:style>
  <w:style w:type="paragraph" w:customStyle="1" w:styleId="TableHeading">
    <w:name w:val="Table Heading"/>
    <w:basedOn w:val="Normal"/>
    <w:qFormat/>
    <w:rsid w:val="0099500F"/>
    <w:pPr>
      <w:spacing w:before="80" w:after="80" w:line="240" w:lineRule="auto"/>
    </w:pPr>
    <w:rPr>
      <w:rFonts w:ascii="Verdana" w:eastAsia="Times New Roman" w:hAnsi="Verdana" w:cstheme="minorHAnsi"/>
      <w:b/>
      <w:color w:val="FFFFFF" w:themeColor="background1"/>
      <w:sz w:val="20"/>
      <w:szCs w:val="20"/>
      <w:lang w:eastAsia="zh-TW"/>
    </w:rPr>
  </w:style>
  <w:style w:type="table" w:styleId="TableGrid">
    <w:name w:val="Table Grid"/>
    <w:basedOn w:val="TableNormal"/>
    <w:uiPriority w:val="59"/>
    <w:rsid w:val="0099500F"/>
    <w:pPr>
      <w:spacing w:after="0" w:line="240" w:lineRule="auto"/>
    </w:pPr>
    <w:rPr>
      <w:rFonts w:ascii="Times New Roman" w:eastAsia="Times New Roman" w:hAnsi="Times New Roman" w:cs="Times New Roman"/>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4E60"/>
    <w:rPr>
      <w:color w:val="0000FF" w:themeColor="hyperlink"/>
      <w:u w:val="single"/>
    </w:rPr>
  </w:style>
  <w:style w:type="paragraph" w:styleId="Footer">
    <w:name w:val="footer"/>
    <w:basedOn w:val="Normal"/>
    <w:link w:val="FooterChar"/>
    <w:uiPriority w:val="99"/>
    <w:unhideWhenUsed/>
    <w:rsid w:val="00502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D2E"/>
  </w:style>
  <w:style w:type="paragraph" w:styleId="NoSpacing">
    <w:name w:val="No Spacing"/>
    <w:link w:val="NoSpacingChar"/>
    <w:uiPriority w:val="1"/>
    <w:qFormat/>
    <w:rsid w:val="00502D2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02D2E"/>
    <w:rPr>
      <w:rFonts w:eastAsiaTheme="minorEastAsia"/>
      <w:lang w:val="en-US" w:eastAsia="ja-JP"/>
    </w:rPr>
  </w:style>
  <w:style w:type="paragraph" w:styleId="BalloonText">
    <w:name w:val="Balloon Text"/>
    <w:basedOn w:val="Normal"/>
    <w:link w:val="BalloonTextChar"/>
    <w:uiPriority w:val="99"/>
    <w:semiHidden/>
    <w:unhideWhenUsed/>
    <w:rsid w:val="00502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2E"/>
    <w:rPr>
      <w:rFonts w:ascii="Tahoma" w:hAnsi="Tahoma" w:cs="Tahoma"/>
      <w:sz w:val="16"/>
      <w:szCs w:val="16"/>
    </w:rPr>
  </w:style>
  <w:style w:type="paragraph" w:customStyle="1" w:styleId="Default">
    <w:name w:val="Default"/>
    <w:rsid w:val="008E72A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customStyle="1" w:styleId="CM4">
    <w:name w:val="CM4"/>
    <w:basedOn w:val="Default"/>
    <w:next w:val="Default"/>
    <w:uiPriority w:val="99"/>
    <w:rsid w:val="00AD0486"/>
    <w:pPr>
      <w:spacing w:line="276" w:lineRule="atLeast"/>
    </w:pPr>
    <w:rPr>
      <w:rFonts w:ascii="TT15Dt00" w:eastAsia="Calibri" w:hAnsi="TT15Dt00"/>
      <w:color w:val="auto"/>
      <w:lang w:eastAsia="en-US"/>
    </w:rPr>
  </w:style>
  <w:style w:type="paragraph" w:customStyle="1" w:styleId="Pa6">
    <w:name w:val="Pa6"/>
    <w:basedOn w:val="Default"/>
    <w:next w:val="Default"/>
    <w:uiPriority w:val="99"/>
    <w:rsid w:val="00C625D9"/>
    <w:pPr>
      <w:spacing w:line="191" w:lineRule="atLeast"/>
    </w:pPr>
    <w:rPr>
      <w:rFonts w:ascii="Times" w:eastAsiaTheme="minorHAnsi" w:hAnsi="Times" w:cs="Times"/>
      <w:color w:val="auto"/>
      <w:lang w:eastAsia="en-US"/>
    </w:rPr>
  </w:style>
  <w:style w:type="paragraph" w:styleId="NormalWeb">
    <w:name w:val="Normal (Web)"/>
    <w:basedOn w:val="Normal"/>
    <w:uiPriority w:val="99"/>
    <w:unhideWhenUsed/>
    <w:rsid w:val="00017DE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Level3Legal">
    <w:name w:val="COMM Level 3 (Legal)"/>
    <w:basedOn w:val="COMMLevel2Legal"/>
    <w:rsid w:val="0052742C"/>
    <w:pPr>
      <w:numPr>
        <w:ilvl w:val="2"/>
      </w:numPr>
      <w:outlineLvl w:val="2"/>
    </w:pPr>
  </w:style>
  <w:style w:type="paragraph" w:customStyle="1" w:styleId="COMMLevel1Legal">
    <w:name w:val="COMM Level 1 (Legal)"/>
    <w:basedOn w:val="Normal"/>
    <w:next w:val="Normal"/>
    <w:rsid w:val="0052742C"/>
    <w:pPr>
      <w:keepNext/>
      <w:numPr>
        <w:numId w:val="6"/>
      </w:numPr>
      <w:pBdr>
        <w:top w:val="single" w:sz="4" w:space="0" w:color="FF6600"/>
      </w:pBdr>
      <w:spacing w:before="240" w:after="120" w:line="264" w:lineRule="auto"/>
      <w:outlineLvl w:val="0"/>
    </w:pPr>
    <w:rPr>
      <w:rFonts w:ascii="Calibri" w:eastAsia="Times New Roman" w:hAnsi="Calibri" w:cs="Calibri"/>
      <w:b/>
      <w:caps/>
      <w:color w:val="FF6600"/>
      <w:szCs w:val="20"/>
    </w:rPr>
  </w:style>
  <w:style w:type="paragraph" w:customStyle="1" w:styleId="COMMLevel2Legal">
    <w:name w:val="COMM Level 2 (Legal)"/>
    <w:basedOn w:val="Normal"/>
    <w:rsid w:val="0052742C"/>
    <w:pPr>
      <w:numPr>
        <w:ilvl w:val="1"/>
        <w:numId w:val="6"/>
      </w:numPr>
      <w:spacing w:after="120" w:line="264" w:lineRule="auto"/>
      <w:outlineLvl w:val="1"/>
    </w:pPr>
    <w:rPr>
      <w:rFonts w:ascii="Calibri" w:eastAsia="Times New Roman" w:hAnsi="Calibri" w:cs="Times New Roman"/>
      <w:color w:val="404040" w:themeColor="text1" w:themeTint="BF"/>
      <w:sz w:val="20"/>
      <w:szCs w:val="20"/>
    </w:rPr>
  </w:style>
  <w:style w:type="paragraph" w:customStyle="1" w:styleId="COMMLevel4Legal">
    <w:name w:val="COMM Level 4 (Legal)"/>
    <w:basedOn w:val="COMMLevel3Legal"/>
    <w:rsid w:val="0052742C"/>
    <w:pPr>
      <w:numPr>
        <w:ilvl w:val="3"/>
      </w:numPr>
      <w:outlineLvl w:val="3"/>
    </w:pPr>
  </w:style>
  <w:style w:type="paragraph" w:customStyle="1" w:styleId="COMMLevel5Legal">
    <w:name w:val="COMM Level 5 (Legal)"/>
    <w:basedOn w:val="COMMLevel4Legal"/>
    <w:rsid w:val="0052742C"/>
    <w:pPr>
      <w:numPr>
        <w:ilvl w:val="4"/>
      </w:numPr>
      <w:outlineLvl w:val="4"/>
    </w:pPr>
  </w:style>
  <w:style w:type="paragraph" w:customStyle="1" w:styleId="COMMLevel6Legal">
    <w:name w:val="COMM Level 6 (Legal)"/>
    <w:basedOn w:val="COMMLevel5Legal"/>
    <w:rsid w:val="0052742C"/>
    <w:pPr>
      <w:numPr>
        <w:ilvl w:val="5"/>
      </w:numPr>
      <w:tabs>
        <w:tab w:val="left" w:pos="3686"/>
      </w:tabs>
    </w:pPr>
  </w:style>
  <w:style w:type="paragraph" w:customStyle="1" w:styleId="COMMLevel7Legal">
    <w:name w:val="COMM Level 7 (Legal)"/>
    <w:basedOn w:val="COMMLevel6Legal"/>
    <w:rsid w:val="0052742C"/>
    <w:pPr>
      <w:numPr>
        <w:ilvl w:val="6"/>
      </w:numPr>
      <w:spacing w:line="276" w:lineRule="auto"/>
      <w:ind w:left="4320" w:hanging="720"/>
      <w:outlineLvl w:val="9"/>
    </w:pPr>
  </w:style>
  <w:style w:type="numbering" w:customStyle="1" w:styleId="CommLegal">
    <w:name w:val="Comm Legal"/>
    <w:uiPriority w:val="99"/>
    <w:rsid w:val="0052742C"/>
    <w:pPr>
      <w:numPr>
        <w:numId w:val="5"/>
      </w:numPr>
    </w:pPr>
  </w:style>
  <w:style w:type="character" w:styleId="CommentReference">
    <w:name w:val="annotation reference"/>
    <w:basedOn w:val="DefaultParagraphFont"/>
    <w:uiPriority w:val="99"/>
    <w:semiHidden/>
    <w:unhideWhenUsed/>
    <w:rsid w:val="0040015C"/>
    <w:rPr>
      <w:sz w:val="16"/>
      <w:szCs w:val="16"/>
    </w:rPr>
  </w:style>
  <w:style w:type="paragraph" w:styleId="CommentText">
    <w:name w:val="annotation text"/>
    <w:basedOn w:val="Normal"/>
    <w:link w:val="CommentTextChar"/>
    <w:uiPriority w:val="99"/>
    <w:semiHidden/>
    <w:unhideWhenUsed/>
    <w:rsid w:val="0040015C"/>
    <w:pPr>
      <w:spacing w:line="240" w:lineRule="auto"/>
    </w:pPr>
    <w:rPr>
      <w:sz w:val="20"/>
      <w:szCs w:val="20"/>
    </w:rPr>
  </w:style>
  <w:style w:type="character" w:customStyle="1" w:styleId="CommentTextChar">
    <w:name w:val="Comment Text Char"/>
    <w:basedOn w:val="DefaultParagraphFont"/>
    <w:link w:val="CommentText"/>
    <w:uiPriority w:val="99"/>
    <w:semiHidden/>
    <w:rsid w:val="0040015C"/>
    <w:rPr>
      <w:sz w:val="20"/>
      <w:szCs w:val="20"/>
    </w:rPr>
  </w:style>
  <w:style w:type="paragraph" w:styleId="CommentSubject">
    <w:name w:val="annotation subject"/>
    <w:basedOn w:val="CommentText"/>
    <w:next w:val="CommentText"/>
    <w:link w:val="CommentSubjectChar"/>
    <w:uiPriority w:val="99"/>
    <w:semiHidden/>
    <w:unhideWhenUsed/>
    <w:rsid w:val="0040015C"/>
    <w:rPr>
      <w:b/>
      <w:bCs/>
    </w:rPr>
  </w:style>
  <w:style w:type="character" w:customStyle="1" w:styleId="CommentSubjectChar">
    <w:name w:val="Comment Subject Char"/>
    <w:basedOn w:val="CommentTextChar"/>
    <w:link w:val="CommentSubject"/>
    <w:uiPriority w:val="99"/>
    <w:semiHidden/>
    <w:rsid w:val="0040015C"/>
    <w:rPr>
      <w:b/>
      <w:bCs/>
      <w:sz w:val="20"/>
      <w:szCs w:val="20"/>
    </w:rPr>
  </w:style>
  <w:style w:type="paragraph" w:customStyle="1" w:styleId="style5">
    <w:name w:val="style5"/>
    <w:basedOn w:val="Normal"/>
    <w:rsid w:val="00D57653"/>
    <w:pPr>
      <w:spacing w:before="100" w:beforeAutospacing="1" w:after="100" w:afterAutospacing="1" w:line="240" w:lineRule="auto"/>
      <w:ind w:left="600"/>
    </w:pPr>
    <w:rPr>
      <w:rFonts w:ascii="Times New Roman" w:eastAsia="Times New Roman" w:hAnsi="Times New Roman" w:cs="Times New Roman"/>
      <w:sz w:val="24"/>
      <w:szCs w:val="24"/>
      <w:lang w:eastAsia="en-AU"/>
    </w:rPr>
  </w:style>
  <w:style w:type="paragraph" w:customStyle="1" w:styleId="subsection">
    <w:name w:val="subsection"/>
    <w:basedOn w:val="Normal"/>
    <w:rsid w:val="0035006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etext">
    <w:name w:val="notetext"/>
    <w:basedOn w:val="Normal"/>
    <w:rsid w:val="0035006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head">
    <w:name w:val="subsectionhead"/>
    <w:basedOn w:val="Normal"/>
    <w:rsid w:val="005E7A8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23377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ps-normal">
    <w:name w:val="hps-normal"/>
    <w:basedOn w:val="Normal"/>
    <w:rsid w:val="00E36C3E"/>
    <w:pPr>
      <w:spacing w:before="180" w:after="180" w:line="240" w:lineRule="auto"/>
      <w:ind w:firstLine="240"/>
    </w:pPr>
    <w:rPr>
      <w:rFonts w:ascii="Times New Roman" w:eastAsia="Times New Roman" w:hAnsi="Times New Roman" w:cs="Times New Roman"/>
      <w:color w:val="444444"/>
      <w:sz w:val="24"/>
      <w:szCs w:val="24"/>
      <w:lang w:eastAsia="en-AU"/>
    </w:rPr>
  </w:style>
  <w:style w:type="character" w:customStyle="1" w:styleId="hps-normal1">
    <w:name w:val="hps-normal1"/>
    <w:basedOn w:val="DefaultParagraphFont"/>
    <w:rsid w:val="00E36C3E"/>
  </w:style>
  <w:style w:type="paragraph" w:styleId="ListNumber">
    <w:name w:val="List Number"/>
    <w:basedOn w:val="Normal"/>
    <w:rsid w:val="003C25C0"/>
    <w:pPr>
      <w:numPr>
        <w:numId w:val="11"/>
      </w:numPr>
      <w:spacing w:after="0" w:line="240" w:lineRule="auto"/>
    </w:pPr>
    <w:rPr>
      <w:rFonts w:ascii="Arial" w:eastAsia="Times New Roman" w:hAnsi="Arial" w:cs="Times New Roman"/>
      <w:sz w:val="24"/>
      <w:szCs w:val="20"/>
      <w:lang w:eastAsia="en-AU"/>
    </w:rPr>
  </w:style>
  <w:style w:type="character" w:styleId="FollowedHyperlink">
    <w:name w:val="FollowedHyperlink"/>
    <w:basedOn w:val="DefaultParagraphFont"/>
    <w:uiPriority w:val="99"/>
    <w:semiHidden/>
    <w:unhideWhenUsed/>
    <w:rsid w:val="0022707F"/>
    <w:rPr>
      <w:color w:val="800080" w:themeColor="followedHyperlink"/>
      <w:u w:val="single"/>
    </w:rPr>
  </w:style>
  <w:style w:type="character" w:customStyle="1" w:styleId="apple-converted-space">
    <w:name w:val="apple-converted-space"/>
    <w:basedOn w:val="DefaultParagraphFont"/>
    <w:rsid w:val="006B5862"/>
  </w:style>
  <w:style w:type="character" w:customStyle="1" w:styleId="ListParagraphChar">
    <w:name w:val="List Paragraph Char"/>
    <w:aliases w:val="Bullets level 1 Char"/>
    <w:basedOn w:val="DefaultParagraphFont"/>
    <w:link w:val="ListParagraph"/>
    <w:uiPriority w:val="34"/>
    <w:locked/>
    <w:rsid w:val="009F2F00"/>
    <w:rPr>
      <w:rFonts w:ascii="Verdana" w:eastAsia="Calibri" w:hAnsi="Verdana" w:cstheme="minorHAnsi"/>
      <w:color w:val="000000" w:themeColor="text1"/>
      <w:sz w:val="20"/>
      <w:szCs w:val="20"/>
      <w:lang w:eastAsia="zh-TW"/>
    </w:rPr>
  </w:style>
  <w:style w:type="table" w:customStyle="1" w:styleId="TableGrid1">
    <w:name w:val="Table Grid1"/>
    <w:basedOn w:val="TableNormal"/>
    <w:next w:val="TableGrid"/>
    <w:uiPriority w:val="59"/>
    <w:rsid w:val="003E6CD7"/>
    <w:pPr>
      <w:spacing w:after="0" w:line="240" w:lineRule="auto"/>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1F16"/>
    <w:pPr>
      <w:spacing w:after="0" w:line="240" w:lineRule="auto"/>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1F16"/>
    <w:pPr>
      <w:spacing w:after="0" w:line="240" w:lineRule="auto"/>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D4495"/>
    <w:pPr>
      <w:spacing w:after="0" w:line="240" w:lineRule="auto"/>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12B00"/>
    <w:pPr>
      <w:spacing w:after="0" w:line="240" w:lineRule="auto"/>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816F2"/>
    <w:pPr>
      <w:spacing w:after="0" w:line="240" w:lineRule="auto"/>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7E08"/>
    <w:pPr>
      <w:spacing w:after="0" w:line="240" w:lineRule="auto"/>
    </w:pPr>
  </w:style>
  <w:style w:type="table" w:customStyle="1" w:styleId="TableGrid7">
    <w:name w:val="Table Grid7"/>
    <w:basedOn w:val="TableNormal"/>
    <w:next w:val="TableGrid"/>
    <w:uiPriority w:val="59"/>
    <w:rsid w:val="00C746AE"/>
    <w:pPr>
      <w:spacing w:after="0" w:line="240" w:lineRule="auto"/>
    </w:pPr>
    <w:rPr>
      <w:rFonts w:ascii="Times New Roman" w:eastAsia="Times New Roman" w:hAnsi="Times New Roman" w:cs="Times New Roman"/>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0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6893">
      <w:bodyDiv w:val="1"/>
      <w:marLeft w:val="0"/>
      <w:marRight w:val="0"/>
      <w:marTop w:val="0"/>
      <w:marBottom w:val="0"/>
      <w:divBdr>
        <w:top w:val="none" w:sz="0" w:space="0" w:color="auto"/>
        <w:left w:val="none" w:sz="0" w:space="0" w:color="auto"/>
        <w:bottom w:val="none" w:sz="0" w:space="0" w:color="auto"/>
        <w:right w:val="none" w:sz="0" w:space="0" w:color="auto"/>
      </w:divBdr>
    </w:div>
    <w:div w:id="57899836">
      <w:bodyDiv w:val="1"/>
      <w:marLeft w:val="0"/>
      <w:marRight w:val="0"/>
      <w:marTop w:val="0"/>
      <w:marBottom w:val="0"/>
      <w:divBdr>
        <w:top w:val="none" w:sz="0" w:space="0" w:color="auto"/>
        <w:left w:val="none" w:sz="0" w:space="0" w:color="auto"/>
        <w:bottom w:val="none" w:sz="0" w:space="0" w:color="auto"/>
        <w:right w:val="none" w:sz="0" w:space="0" w:color="auto"/>
      </w:divBdr>
    </w:div>
    <w:div w:id="218324876">
      <w:bodyDiv w:val="1"/>
      <w:marLeft w:val="0"/>
      <w:marRight w:val="0"/>
      <w:marTop w:val="0"/>
      <w:marBottom w:val="0"/>
      <w:divBdr>
        <w:top w:val="none" w:sz="0" w:space="0" w:color="auto"/>
        <w:left w:val="none" w:sz="0" w:space="0" w:color="auto"/>
        <w:bottom w:val="none" w:sz="0" w:space="0" w:color="auto"/>
        <w:right w:val="none" w:sz="0" w:space="0" w:color="auto"/>
      </w:divBdr>
    </w:div>
    <w:div w:id="319238484">
      <w:bodyDiv w:val="1"/>
      <w:marLeft w:val="0"/>
      <w:marRight w:val="0"/>
      <w:marTop w:val="0"/>
      <w:marBottom w:val="0"/>
      <w:divBdr>
        <w:top w:val="none" w:sz="0" w:space="0" w:color="auto"/>
        <w:left w:val="none" w:sz="0" w:space="0" w:color="auto"/>
        <w:bottom w:val="none" w:sz="0" w:space="0" w:color="auto"/>
        <w:right w:val="none" w:sz="0" w:space="0" w:color="auto"/>
      </w:divBdr>
    </w:div>
    <w:div w:id="454059400">
      <w:bodyDiv w:val="1"/>
      <w:marLeft w:val="0"/>
      <w:marRight w:val="0"/>
      <w:marTop w:val="0"/>
      <w:marBottom w:val="0"/>
      <w:divBdr>
        <w:top w:val="none" w:sz="0" w:space="0" w:color="auto"/>
        <w:left w:val="none" w:sz="0" w:space="0" w:color="auto"/>
        <w:bottom w:val="none" w:sz="0" w:space="0" w:color="auto"/>
        <w:right w:val="none" w:sz="0" w:space="0" w:color="auto"/>
      </w:divBdr>
    </w:div>
    <w:div w:id="534277197">
      <w:bodyDiv w:val="1"/>
      <w:marLeft w:val="0"/>
      <w:marRight w:val="0"/>
      <w:marTop w:val="0"/>
      <w:marBottom w:val="0"/>
      <w:divBdr>
        <w:top w:val="none" w:sz="0" w:space="0" w:color="auto"/>
        <w:left w:val="none" w:sz="0" w:space="0" w:color="auto"/>
        <w:bottom w:val="none" w:sz="0" w:space="0" w:color="auto"/>
        <w:right w:val="none" w:sz="0" w:space="0" w:color="auto"/>
      </w:divBdr>
    </w:div>
    <w:div w:id="564486947">
      <w:bodyDiv w:val="1"/>
      <w:marLeft w:val="0"/>
      <w:marRight w:val="0"/>
      <w:marTop w:val="0"/>
      <w:marBottom w:val="0"/>
      <w:divBdr>
        <w:top w:val="none" w:sz="0" w:space="0" w:color="auto"/>
        <w:left w:val="none" w:sz="0" w:space="0" w:color="auto"/>
        <w:bottom w:val="none" w:sz="0" w:space="0" w:color="auto"/>
        <w:right w:val="none" w:sz="0" w:space="0" w:color="auto"/>
      </w:divBdr>
    </w:div>
    <w:div w:id="702248071">
      <w:bodyDiv w:val="1"/>
      <w:marLeft w:val="0"/>
      <w:marRight w:val="0"/>
      <w:marTop w:val="0"/>
      <w:marBottom w:val="0"/>
      <w:divBdr>
        <w:top w:val="none" w:sz="0" w:space="0" w:color="auto"/>
        <w:left w:val="none" w:sz="0" w:space="0" w:color="auto"/>
        <w:bottom w:val="none" w:sz="0" w:space="0" w:color="auto"/>
        <w:right w:val="none" w:sz="0" w:space="0" w:color="auto"/>
      </w:divBdr>
    </w:div>
    <w:div w:id="825781152">
      <w:bodyDiv w:val="1"/>
      <w:marLeft w:val="0"/>
      <w:marRight w:val="0"/>
      <w:marTop w:val="0"/>
      <w:marBottom w:val="0"/>
      <w:divBdr>
        <w:top w:val="none" w:sz="0" w:space="0" w:color="auto"/>
        <w:left w:val="none" w:sz="0" w:space="0" w:color="auto"/>
        <w:bottom w:val="none" w:sz="0" w:space="0" w:color="auto"/>
        <w:right w:val="none" w:sz="0" w:space="0" w:color="auto"/>
      </w:divBdr>
    </w:div>
    <w:div w:id="868251481">
      <w:bodyDiv w:val="1"/>
      <w:marLeft w:val="0"/>
      <w:marRight w:val="0"/>
      <w:marTop w:val="0"/>
      <w:marBottom w:val="0"/>
      <w:divBdr>
        <w:top w:val="none" w:sz="0" w:space="0" w:color="auto"/>
        <w:left w:val="none" w:sz="0" w:space="0" w:color="auto"/>
        <w:bottom w:val="none" w:sz="0" w:space="0" w:color="auto"/>
        <w:right w:val="none" w:sz="0" w:space="0" w:color="auto"/>
      </w:divBdr>
    </w:div>
    <w:div w:id="927425833">
      <w:bodyDiv w:val="1"/>
      <w:marLeft w:val="0"/>
      <w:marRight w:val="0"/>
      <w:marTop w:val="0"/>
      <w:marBottom w:val="0"/>
      <w:divBdr>
        <w:top w:val="none" w:sz="0" w:space="0" w:color="auto"/>
        <w:left w:val="none" w:sz="0" w:space="0" w:color="auto"/>
        <w:bottom w:val="none" w:sz="0" w:space="0" w:color="auto"/>
        <w:right w:val="none" w:sz="0" w:space="0" w:color="auto"/>
      </w:divBdr>
    </w:div>
    <w:div w:id="1010060955">
      <w:bodyDiv w:val="1"/>
      <w:marLeft w:val="0"/>
      <w:marRight w:val="0"/>
      <w:marTop w:val="0"/>
      <w:marBottom w:val="0"/>
      <w:divBdr>
        <w:top w:val="none" w:sz="0" w:space="0" w:color="auto"/>
        <w:left w:val="none" w:sz="0" w:space="0" w:color="auto"/>
        <w:bottom w:val="none" w:sz="0" w:space="0" w:color="auto"/>
        <w:right w:val="none" w:sz="0" w:space="0" w:color="auto"/>
      </w:divBdr>
    </w:div>
    <w:div w:id="1136292465">
      <w:bodyDiv w:val="1"/>
      <w:marLeft w:val="0"/>
      <w:marRight w:val="0"/>
      <w:marTop w:val="0"/>
      <w:marBottom w:val="0"/>
      <w:divBdr>
        <w:top w:val="none" w:sz="0" w:space="0" w:color="auto"/>
        <w:left w:val="none" w:sz="0" w:space="0" w:color="auto"/>
        <w:bottom w:val="none" w:sz="0" w:space="0" w:color="auto"/>
        <w:right w:val="none" w:sz="0" w:space="0" w:color="auto"/>
      </w:divBdr>
    </w:div>
    <w:div w:id="1163474923">
      <w:bodyDiv w:val="1"/>
      <w:marLeft w:val="0"/>
      <w:marRight w:val="0"/>
      <w:marTop w:val="0"/>
      <w:marBottom w:val="0"/>
      <w:divBdr>
        <w:top w:val="none" w:sz="0" w:space="0" w:color="auto"/>
        <w:left w:val="none" w:sz="0" w:space="0" w:color="auto"/>
        <w:bottom w:val="none" w:sz="0" w:space="0" w:color="auto"/>
        <w:right w:val="none" w:sz="0" w:space="0" w:color="auto"/>
      </w:divBdr>
    </w:div>
    <w:div w:id="1190683306">
      <w:bodyDiv w:val="1"/>
      <w:marLeft w:val="0"/>
      <w:marRight w:val="0"/>
      <w:marTop w:val="0"/>
      <w:marBottom w:val="0"/>
      <w:divBdr>
        <w:top w:val="none" w:sz="0" w:space="0" w:color="auto"/>
        <w:left w:val="none" w:sz="0" w:space="0" w:color="auto"/>
        <w:bottom w:val="none" w:sz="0" w:space="0" w:color="auto"/>
        <w:right w:val="none" w:sz="0" w:space="0" w:color="auto"/>
      </w:divBdr>
    </w:div>
    <w:div w:id="1240335676">
      <w:bodyDiv w:val="1"/>
      <w:marLeft w:val="0"/>
      <w:marRight w:val="0"/>
      <w:marTop w:val="0"/>
      <w:marBottom w:val="0"/>
      <w:divBdr>
        <w:top w:val="none" w:sz="0" w:space="0" w:color="auto"/>
        <w:left w:val="none" w:sz="0" w:space="0" w:color="auto"/>
        <w:bottom w:val="none" w:sz="0" w:space="0" w:color="auto"/>
        <w:right w:val="none" w:sz="0" w:space="0" w:color="auto"/>
      </w:divBdr>
      <w:divsChild>
        <w:div w:id="2140219064">
          <w:marLeft w:val="0"/>
          <w:marRight w:val="0"/>
          <w:marTop w:val="0"/>
          <w:marBottom w:val="0"/>
          <w:divBdr>
            <w:top w:val="none" w:sz="0" w:space="0" w:color="auto"/>
            <w:left w:val="none" w:sz="0" w:space="0" w:color="auto"/>
            <w:bottom w:val="none" w:sz="0" w:space="0" w:color="auto"/>
            <w:right w:val="none" w:sz="0" w:space="0" w:color="auto"/>
          </w:divBdr>
          <w:divsChild>
            <w:div w:id="14119831">
              <w:marLeft w:val="0"/>
              <w:marRight w:val="0"/>
              <w:marTop w:val="0"/>
              <w:marBottom w:val="0"/>
              <w:divBdr>
                <w:top w:val="none" w:sz="0" w:space="0" w:color="auto"/>
                <w:left w:val="none" w:sz="0" w:space="0" w:color="auto"/>
                <w:bottom w:val="none" w:sz="0" w:space="0" w:color="auto"/>
                <w:right w:val="none" w:sz="0" w:space="0" w:color="auto"/>
              </w:divBdr>
            </w:div>
          </w:divsChild>
        </w:div>
        <w:div w:id="2052340145">
          <w:marLeft w:val="0"/>
          <w:marRight w:val="0"/>
          <w:marTop w:val="0"/>
          <w:marBottom w:val="0"/>
          <w:divBdr>
            <w:top w:val="none" w:sz="0" w:space="0" w:color="auto"/>
            <w:left w:val="none" w:sz="0" w:space="0" w:color="auto"/>
            <w:bottom w:val="none" w:sz="0" w:space="0" w:color="auto"/>
            <w:right w:val="none" w:sz="0" w:space="0" w:color="auto"/>
          </w:divBdr>
          <w:divsChild>
            <w:div w:id="668943505">
              <w:marLeft w:val="0"/>
              <w:marRight w:val="0"/>
              <w:marTop w:val="0"/>
              <w:marBottom w:val="0"/>
              <w:divBdr>
                <w:top w:val="single" w:sz="2" w:space="15" w:color="005D25"/>
                <w:left w:val="none" w:sz="0" w:space="0" w:color="auto"/>
                <w:bottom w:val="none" w:sz="0" w:space="0" w:color="auto"/>
                <w:right w:val="none" w:sz="0" w:space="0" w:color="auto"/>
              </w:divBdr>
              <w:divsChild>
                <w:div w:id="309678901">
                  <w:marLeft w:val="0"/>
                  <w:marRight w:val="0"/>
                  <w:marTop w:val="0"/>
                  <w:marBottom w:val="0"/>
                  <w:divBdr>
                    <w:top w:val="none" w:sz="0" w:space="0" w:color="auto"/>
                    <w:left w:val="none" w:sz="0" w:space="0" w:color="auto"/>
                    <w:bottom w:val="none" w:sz="0" w:space="0" w:color="auto"/>
                    <w:right w:val="none" w:sz="0" w:space="0" w:color="auto"/>
                  </w:divBdr>
                  <w:divsChild>
                    <w:div w:id="167208837">
                      <w:marLeft w:val="0"/>
                      <w:marRight w:val="0"/>
                      <w:marTop w:val="0"/>
                      <w:marBottom w:val="0"/>
                      <w:divBdr>
                        <w:top w:val="none" w:sz="0" w:space="0" w:color="auto"/>
                        <w:left w:val="none" w:sz="0" w:space="0" w:color="auto"/>
                        <w:bottom w:val="none" w:sz="0" w:space="0" w:color="auto"/>
                        <w:right w:val="none" w:sz="0" w:space="0" w:color="auto"/>
                      </w:divBdr>
                      <w:divsChild>
                        <w:div w:id="118695609">
                          <w:marLeft w:val="0"/>
                          <w:marRight w:val="0"/>
                          <w:marTop w:val="0"/>
                          <w:marBottom w:val="0"/>
                          <w:divBdr>
                            <w:top w:val="none" w:sz="0" w:space="0" w:color="auto"/>
                            <w:left w:val="none" w:sz="0" w:space="0" w:color="auto"/>
                            <w:bottom w:val="none" w:sz="0" w:space="0" w:color="auto"/>
                            <w:right w:val="none" w:sz="0" w:space="0" w:color="auto"/>
                          </w:divBdr>
                          <w:divsChild>
                            <w:div w:id="348681908">
                              <w:marLeft w:val="0"/>
                              <w:marRight w:val="0"/>
                              <w:marTop w:val="0"/>
                              <w:marBottom w:val="0"/>
                              <w:divBdr>
                                <w:top w:val="none" w:sz="0" w:space="0" w:color="auto"/>
                                <w:left w:val="none" w:sz="0" w:space="0" w:color="auto"/>
                                <w:bottom w:val="none" w:sz="0" w:space="0" w:color="auto"/>
                                <w:right w:val="none" w:sz="0" w:space="0" w:color="auto"/>
                              </w:divBdr>
                              <w:divsChild>
                                <w:div w:id="3725803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3389">
      <w:bodyDiv w:val="1"/>
      <w:marLeft w:val="0"/>
      <w:marRight w:val="0"/>
      <w:marTop w:val="0"/>
      <w:marBottom w:val="0"/>
      <w:divBdr>
        <w:top w:val="none" w:sz="0" w:space="0" w:color="auto"/>
        <w:left w:val="none" w:sz="0" w:space="0" w:color="auto"/>
        <w:bottom w:val="none" w:sz="0" w:space="0" w:color="auto"/>
        <w:right w:val="none" w:sz="0" w:space="0" w:color="auto"/>
      </w:divBdr>
    </w:div>
    <w:div w:id="1401100916">
      <w:bodyDiv w:val="1"/>
      <w:marLeft w:val="0"/>
      <w:marRight w:val="0"/>
      <w:marTop w:val="0"/>
      <w:marBottom w:val="0"/>
      <w:divBdr>
        <w:top w:val="none" w:sz="0" w:space="0" w:color="auto"/>
        <w:left w:val="none" w:sz="0" w:space="0" w:color="auto"/>
        <w:bottom w:val="none" w:sz="0" w:space="0" w:color="auto"/>
        <w:right w:val="none" w:sz="0" w:space="0" w:color="auto"/>
      </w:divBdr>
      <w:divsChild>
        <w:div w:id="2101565632">
          <w:marLeft w:val="0"/>
          <w:marRight w:val="0"/>
          <w:marTop w:val="0"/>
          <w:marBottom w:val="0"/>
          <w:divBdr>
            <w:top w:val="single" w:sz="6" w:space="8" w:color="B8B8B8"/>
            <w:left w:val="none" w:sz="0" w:space="0" w:color="auto"/>
            <w:bottom w:val="none" w:sz="0" w:space="0" w:color="auto"/>
            <w:right w:val="none" w:sz="0" w:space="0" w:color="auto"/>
          </w:divBdr>
          <w:divsChild>
            <w:div w:id="1961911580">
              <w:marLeft w:val="2"/>
              <w:marRight w:val="2"/>
              <w:marTop w:val="0"/>
              <w:marBottom w:val="0"/>
              <w:divBdr>
                <w:top w:val="single" w:sz="6" w:space="8" w:color="CDCCD4"/>
                <w:left w:val="single" w:sz="6" w:space="8" w:color="CDCCD4"/>
                <w:bottom w:val="single" w:sz="6" w:space="8" w:color="CDCCD4"/>
                <w:right w:val="single" w:sz="6" w:space="4" w:color="CDCCD4"/>
              </w:divBdr>
              <w:divsChild>
                <w:div w:id="391195744">
                  <w:marLeft w:val="0"/>
                  <w:marRight w:val="0"/>
                  <w:marTop w:val="75"/>
                  <w:marBottom w:val="75"/>
                  <w:divBdr>
                    <w:top w:val="single" w:sz="6" w:space="8" w:color="CCCCD4"/>
                    <w:left w:val="single" w:sz="6" w:space="8" w:color="CCCCD4"/>
                    <w:bottom w:val="single" w:sz="6" w:space="8" w:color="CCCCD4"/>
                    <w:right w:val="single" w:sz="6" w:space="8" w:color="CCCCD4"/>
                  </w:divBdr>
                  <w:divsChild>
                    <w:div w:id="1022050779">
                      <w:marLeft w:val="0"/>
                      <w:marRight w:val="0"/>
                      <w:marTop w:val="0"/>
                      <w:marBottom w:val="0"/>
                      <w:divBdr>
                        <w:top w:val="none" w:sz="0" w:space="0" w:color="auto"/>
                        <w:left w:val="none" w:sz="0" w:space="0" w:color="auto"/>
                        <w:bottom w:val="none" w:sz="0" w:space="0" w:color="auto"/>
                        <w:right w:val="none" w:sz="0" w:space="0" w:color="auto"/>
                      </w:divBdr>
                      <w:divsChild>
                        <w:div w:id="1340351225">
                          <w:marLeft w:val="0"/>
                          <w:marRight w:val="0"/>
                          <w:marTop w:val="0"/>
                          <w:marBottom w:val="0"/>
                          <w:divBdr>
                            <w:top w:val="none" w:sz="0" w:space="0" w:color="auto"/>
                            <w:left w:val="none" w:sz="0" w:space="0" w:color="auto"/>
                            <w:bottom w:val="none" w:sz="0" w:space="0" w:color="auto"/>
                            <w:right w:val="single" w:sz="6" w:space="0" w:color="CCCCD4"/>
                          </w:divBdr>
                          <w:divsChild>
                            <w:div w:id="1336886175">
                              <w:marLeft w:val="0"/>
                              <w:marRight w:val="0"/>
                              <w:marTop w:val="0"/>
                              <w:marBottom w:val="0"/>
                              <w:divBdr>
                                <w:top w:val="none" w:sz="0" w:space="0" w:color="auto"/>
                                <w:left w:val="none" w:sz="0" w:space="0" w:color="auto"/>
                                <w:bottom w:val="none" w:sz="0" w:space="0" w:color="auto"/>
                                <w:right w:val="none" w:sz="0" w:space="0" w:color="auto"/>
                              </w:divBdr>
                              <w:divsChild>
                                <w:div w:id="778332920">
                                  <w:marLeft w:val="0"/>
                                  <w:marRight w:val="0"/>
                                  <w:marTop w:val="0"/>
                                  <w:marBottom w:val="0"/>
                                  <w:divBdr>
                                    <w:top w:val="none" w:sz="0" w:space="0" w:color="auto"/>
                                    <w:left w:val="none" w:sz="0" w:space="0" w:color="auto"/>
                                    <w:bottom w:val="none" w:sz="0" w:space="0" w:color="auto"/>
                                    <w:right w:val="none" w:sz="0" w:space="0" w:color="auto"/>
                                  </w:divBdr>
                                  <w:divsChild>
                                    <w:div w:id="108032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140090">
      <w:bodyDiv w:val="1"/>
      <w:marLeft w:val="0"/>
      <w:marRight w:val="0"/>
      <w:marTop w:val="0"/>
      <w:marBottom w:val="0"/>
      <w:divBdr>
        <w:top w:val="none" w:sz="0" w:space="0" w:color="auto"/>
        <w:left w:val="none" w:sz="0" w:space="0" w:color="auto"/>
        <w:bottom w:val="none" w:sz="0" w:space="0" w:color="auto"/>
        <w:right w:val="none" w:sz="0" w:space="0" w:color="auto"/>
      </w:divBdr>
    </w:div>
    <w:div w:id="1492407511">
      <w:bodyDiv w:val="1"/>
      <w:marLeft w:val="0"/>
      <w:marRight w:val="0"/>
      <w:marTop w:val="0"/>
      <w:marBottom w:val="0"/>
      <w:divBdr>
        <w:top w:val="none" w:sz="0" w:space="0" w:color="auto"/>
        <w:left w:val="none" w:sz="0" w:space="0" w:color="auto"/>
        <w:bottom w:val="none" w:sz="0" w:space="0" w:color="auto"/>
        <w:right w:val="none" w:sz="0" w:space="0" w:color="auto"/>
      </w:divBdr>
    </w:div>
    <w:div w:id="1498032769">
      <w:bodyDiv w:val="1"/>
      <w:marLeft w:val="0"/>
      <w:marRight w:val="0"/>
      <w:marTop w:val="0"/>
      <w:marBottom w:val="0"/>
      <w:divBdr>
        <w:top w:val="none" w:sz="0" w:space="0" w:color="auto"/>
        <w:left w:val="none" w:sz="0" w:space="0" w:color="auto"/>
        <w:bottom w:val="none" w:sz="0" w:space="0" w:color="auto"/>
        <w:right w:val="none" w:sz="0" w:space="0" w:color="auto"/>
      </w:divBdr>
    </w:div>
    <w:div w:id="1500659798">
      <w:bodyDiv w:val="1"/>
      <w:marLeft w:val="0"/>
      <w:marRight w:val="0"/>
      <w:marTop w:val="0"/>
      <w:marBottom w:val="0"/>
      <w:divBdr>
        <w:top w:val="none" w:sz="0" w:space="0" w:color="auto"/>
        <w:left w:val="none" w:sz="0" w:space="0" w:color="auto"/>
        <w:bottom w:val="none" w:sz="0" w:space="0" w:color="auto"/>
        <w:right w:val="none" w:sz="0" w:space="0" w:color="auto"/>
      </w:divBdr>
    </w:div>
    <w:div w:id="1519125735">
      <w:bodyDiv w:val="1"/>
      <w:marLeft w:val="0"/>
      <w:marRight w:val="0"/>
      <w:marTop w:val="0"/>
      <w:marBottom w:val="0"/>
      <w:divBdr>
        <w:top w:val="none" w:sz="0" w:space="0" w:color="auto"/>
        <w:left w:val="none" w:sz="0" w:space="0" w:color="auto"/>
        <w:bottom w:val="none" w:sz="0" w:space="0" w:color="auto"/>
        <w:right w:val="none" w:sz="0" w:space="0" w:color="auto"/>
      </w:divBdr>
    </w:div>
    <w:div w:id="1536580397">
      <w:bodyDiv w:val="1"/>
      <w:marLeft w:val="0"/>
      <w:marRight w:val="0"/>
      <w:marTop w:val="0"/>
      <w:marBottom w:val="0"/>
      <w:divBdr>
        <w:top w:val="none" w:sz="0" w:space="0" w:color="auto"/>
        <w:left w:val="none" w:sz="0" w:space="0" w:color="auto"/>
        <w:bottom w:val="none" w:sz="0" w:space="0" w:color="auto"/>
        <w:right w:val="none" w:sz="0" w:space="0" w:color="auto"/>
      </w:divBdr>
    </w:div>
    <w:div w:id="1622615063">
      <w:bodyDiv w:val="1"/>
      <w:marLeft w:val="0"/>
      <w:marRight w:val="0"/>
      <w:marTop w:val="0"/>
      <w:marBottom w:val="0"/>
      <w:divBdr>
        <w:top w:val="none" w:sz="0" w:space="0" w:color="auto"/>
        <w:left w:val="none" w:sz="0" w:space="0" w:color="auto"/>
        <w:bottom w:val="none" w:sz="0" w:space="0" w:color="auto"/>
        <w:right w:val="none" w:sz="0" w:space="0" w:color="auto"/>
      </w:divBdr>
    </w:div>
    <w:div w:id="1694452721">
      <w:bodyDiv w:val="1"/>
      <w:marLeft w:val="0"/>
      <w:marRight w:val="0"/>
      <w:marTop w:val="0"/>
      <w:marBottom w:val="0"/>
      <w:divBdr>
        <w:top w:val="none" w:sz="0" w:space="0" w:color="auto"/>
        <w:left w:val="none" w:sz="0" w:space="0" w:color="auto"/>
        <w:bottom w:val="none" w:sz="0" w:space="0" w:color="auto"/>
        <w:right w:val="none" w:sz="0" w:space="0" w:color="auto"/>
      </w:divBdr>
    </w:div>
    <w:div w:id="202351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emf"/><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nswbusinesschamber.com.au/Issues/Business-Surveys/Business-Cond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_rels/header2.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A1F78A0EFBAF4A80651267B82E9846" ma:contentTypeVersion="2" ma:contentTypeDescription="Create a new document." ma:contentTypeScope="" ma:versionID="ea4da659c73313ed894849d99f34c70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0AEFF-A24B-4C5B-AE26-EC3669F5DD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92C5BB-A91F-4647-AEE6-467D6EE02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83BD13-8BE3-45A8-863B-9CC1532EE3F1}">
  <ds:schemaRefs>
    <ds:schemaRef ds:uri="http://schemas.microsoft.com/sharepoint/v3/contenttype/forms"/>
  </ds:schemaRefs>
</ds:datastoreItem>
</file>

<file path=customXml/itemProps4.xml><?xml version="1.0" encoding="utf-8"?>
<ds:datastoreItem xmlns:ds="http://schemas.openxmlformats.org/officeDocument/2006/customXml" ds:itemID="{E8872FC8-6937-411D-A1AB-53B87D98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20D92C86</Template>
  <TotalTime>0</TotalTime>
  <Pages>38</Pages>
  <Words>11775</Words>
  <Characters>62174</Characters>
  <Application>Microsoft Office Word</Application>
  <DocSecurity>0</DocSecurity>
  <Lines>1413</Lines>
  <Paragraphs>724</Paragraphs>
  <ScaleCrop>false</ScaleCrop>
  <HeadingPairs>
    <vt:vector size="2" baseType="variant">
      <vt:variant>
        <vt:lpstr>Title</vt:lpstr>
      </vt:variant>
      <vt:variant>
        <vt:i4>1</vt:i4>
      </vt:variant>
    </vt:vector>
  </HeadingPairs>
  <TitlesOfParts>
    <vt:vector size="1" baseType="lpstr">
      <vt:lpstr>ANNUAL WAGE REVIEW 2017-18</vt:lpstr>
    </vt:vector>
  </TitlesOfParts>
  <Company>AUSTRALIAN BUSINESS INDUSTRIAL</Company>
  <LinksUpToDate>false</LinksUpToDate>
  <CharactersWithSpaces>73225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WAGE REVIEW 2017-18</dc:title>
  <dc:subject>SUBMISSIONS OF AUSTRALIAN BUSINESS INDUSTRIAL AND THE NSW BUSINESS CHAMBER Ltd</dc:subject>
  <dc:creator>Dick Grozier</dc:creator>
  <cp:lastModifiedBy>Dick Grozier</cp:lastModifiedBy>
  <cp:revision>2</cp:revision>
  <cp:lastPrinted>2018-02-26T00:05:00Z</cp:lastPrinted>
  <dcterms:created xsi:type="dcterms:W3CDTF">2018-03-13T05:29:00Z</dcterms:created>
  <dcterms:modified xsi:type="dcterms:W3CDTF">2018-03-13T05:29:00Z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0x0101004EA1F78A0EFBAF4A80651267B82E9846</vt:lpwstr>
  </property>
</Properties>
</file>