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BC18" w14:textId="1B5A7B0B" w:rsidR="00FB3F51" w:rsidRDefault="00FB3F51" w:rsidP="0052386A">
      <w:pPr>
        <w:rPr>
          <w:b/>
          <w:bCs/>
          <w:sz w:val="28"/>
          <w:szCs w:val="36"/>
          <w:lang w:val="en-US"/>
        </w:rPr>
      </w:pPr>
      <w:bookmarkStart w:id="0" w:name="_Toc36634665"/>
      <w:r w:rsidRPr="0052386A">
        <w:rPr>
          <w:b/>
          <w:bCs/>
          <w:sz w:val="28"/>
          <w:szCs w:val="36"/>
          <w:lang w:val="en-US"/>
        </w:rPr>
        <w:t>Annual Wage Review 2019–20: Questions on notice</w:t>
      </w:r>
      <w:bookmarkEnd w:id="0"/>
    </w:p>
    <w:p w14:paraId="40C44DC9" w14:textId="4B320A22" w:rsidR="00FB3F51" w:rsidRDefault="00FB3F51" w:rsidP="00FB3F51">
      <w:pPr>
        <w:rPr>
          <w:lang w:val="en-US"/>
        </w:rPr>
      </w:pPr>
      <w:r w:rsidRPr="00FB3F51">
        <w:rPr>
          <w:lang w:val="en-US"/>
        </w:rPr>
        <w:t>All interested parties are invited to comment on any question</w:t>
      </w:r>
      <w:r w:rsidR="00EF6B18">
        <w:rPr>
          <w:lang w:val="en-US"/>
        </w:rPr>
        <w:t xml:space="preserve">, </w:t>
      </w:r>
      <w:r w:rsidRPr="00FB3F51">
        <w:rPr>
          <w:lang w:val="en-US"/>
        </w:rPr>
        <w:t>including those that have been addressed to specific parties</w:t>
      </w:r>
      <w:r w:rsidR="0052386A">
        <w:rPr>
          <w:lang w:val="en-US"/>
        </w:rPr>
        <w:t>.</w:t>
      </w:r>
    </w:p>
    <w:p w14:paraId="60777004" w14:textId="77777777" w:rsidR="0052386A" w:rsidRDefault="0052386A" w:rsidP="00FB3F51">
      <w:pPr>
        <w:rPr>
          <w:lang w:val="en-US"/>
        </w:rPr>
      </w:pPr>
    </w:p>
    <w:p w14:paraId="4EF7D850" w14:textId="1D593D0D" w:rsidR="00323FC9" w:rsidRDefault="0052386A">
      <w:pPr>
        <w:pStyle w:val="TOC1"/>
        <w:rPr>
          <w:rFonts w:asciiTheme="minorHAnsi" w:eastAsiaTheme="minorEastAsia" w:hAnsiTheme="minorHAnsi" w:cstheme="minorBidi"/>
          <w:b w:val="0"/>
          <w:noProof/>
          <w:szCs w:val="22"/>
          <w:lang w:val="en-US" w:eastAsia="en-US"/>
        </w:rPr>
      </w:pPr>
      <w:r>
        <w:rPr>
          <w:lang w:val="en-US"/>
        </w:rPr>
        <w:fldChar w:fldCharType="begin"/>
      </w:r>
      <w:r>
        <w:rPr>
          <w:lang w:val="en-US"/>
        </w:rPr>
        <w:instrText xml:space="preserve"> TOC \t "MWR_Heading_1,1,MWR_Heading_2,2,MWR_Heading_3,3" </w:instrText>
      </w:r>
      <w:r>
        <w:rPr>
          <w:lang w:val="en-US"/>
        </w:rPr>
        <w:fldChar w:fldCharType="separate"/>
      </w:r>
      <w:r w:rsidR="00323FC9" w:rsidRPr="004130CD">
        <w:rPr>
          <w:noProof/>
          <w:lang w:val="en-US"/>
        </w:rPr>
        <w:t>1</w:t>
      </w:r>
      <w:r w:rsidR="00323FC9">
        <w:rPr>
          <w:rFonts w:asciiTheme="minorHAnsi" w:eastAsiaTheme="minorEastAsia" w:hAnsiTheme="minorHAnsi" w:cstheme="minorBidi"/>
          <w:b w:val="0"/>
          <w:noProof/>
          <w:szCs w:val="22"/>
          <w:lang w:val="en-US" w:eastAsia="en-US"/>
        </w:rPr>
        <w:tab/>
      </w:r>
      <w:r w:rsidR="00323FC9" w:rsidRPr="004130CD">
        <w:rPr>
          <w:noProof/>
          <w:lang w:val="en-US"/>
        </w:rPr>
        <w:t>Decision making process</w:t>
      </w:r>
      <w:r w:rsidR="00323FC9">
        <w:rPr>
          <w:noProof/>
        </w:rPr>
        <w:tab/>
      </w:r>
      <w:r w:rsidR="00323FC9">
        <w:rPr>
          <w:noProof/>
        </w:rPr>
        <w:fldChar w:fldCharType="begin"/>
      </w:r>
      <w:r w:rsidR="00323FC9">
        <w:rPr>
          <w:noProof/>
        </w:rPr>
        <w:instrText xml:space="preserve"> PAGEREF _Toc37246754 \h </w:instrText>
      </w:r>
      <w:r w:rsidR="00323FC9">
        <w:rPr>
          <w:noProof/>
        </w:rPr>
      </w:r>
      <w:r w:rsidR="00323FC9">
        <w:rPr>
          <w:noProof/>
        </w:rPr>
        <w:fldChar w:fldCharType="separate"/>
      </w:r>
      <w:r w:rsidR="00323FC9">
        <w:rPr>
          <w:noProof/>
        </w:rPr>
        <w:t>2</w:t>
      </w:r>
      <w:r w:rsidR="00323FC9">
        <w:rPr>
          <w:noProof/>
        </w:rPr>
        <w:fldChar w:fldCharType="end"/>
      </w:r>
    </w:p>
    <w:p w14:paraId="1532453D" w14:textId="7F3C9172" w:rsidR="00323FC9" w:rsidRDefault="00323FC9">
      <w:pPr>
        <w:pStyle w:val="TOC2"/>
        <w:rPr>
          <w:rFonts w:asciiTheme="minorHAnsi" w:eastAsiaTheme="minorEastAsia" w:hAnsiTheme="minorHAnsi" w:cstheme="minorBidi"/>
          <w:noProof/>
          <w:sz w:val="22"/>
          <w:szCs w:val="22"/>
          <w:lang w:val="en-US" w:eastAsia="en-US"/>
        </w:rPr>
      </w:pPr>
      <w:r>
        <w:rPr>
          <w:noProof/>
        </w:rPr>
        <w:t>1.1</w:t>
      </w:r>
      <w:r>
        <w:rPr>
          <w:rFonts w:asciiTheme="minorHAnsi" w:eastAsiaTheme="minorEastAsia" w:hAnsiTheme="minorHAnsi" w:cstheme="minorBidi"/>
          <w:noProof/>
          <w:sz w:val="22"/>
          <w:szCs w:val="22"/>
          <w:lang w:val="en-US" w:eastAsia="en-US"/>
        </w:rPr>
        <w:tab/>
      </w:r>
      <w:r>
        <w:rPr>
          <w:noProof/>
        </w:rPr>
        <w:t>Question to all parties</w:t>
      </w:r>
      <w:r>
        <w:rPr>
          <w:noProof/>
        </w:rPr>
        <w:tab/>
      </w:r>
      <w:r>
        <w:rPr>
          <w:noProof/>
        </w:rPr>
        <w:fldChar w:fldCharType="begin"/>
      </w:r>
      <w:r>
        <w:rPr>
          <w:noProof/>
        </w:rPr>
        <w:instrText xml:space="preserve"> PAGEREF _Toc37246755 \h </w:instrText>
      </w:r>
      <w:r>
        <w:rPr>
          <w:noProof/>
        </w:rPr>
      </w:r>
      <w:r>
        <w:rPr>
          <w:noProof/>
        </w:rPr>
        <w:fldChar w:fldCharType="separate"/>
      </w:r>
      <w:r>
        <w:rPr>
          <w:noProof/>
        </w:rPr>
        <w:t>2</w:t>
      </w:r>
      <w:r>
        <w:rPr>
          <w:noProof/>
        </w:rPr>
        <w:fldChar w:fldCharType="end"/>
      </w:r>
    </w:p>
    <w:p w14:paraId="4496F646" w14:textId="49E90C48" w:rsidR="00323FC9" w:rsidRDefault="00323FC9">
      <w:pPr>
        <w:pStyle w:val="TOC2"/>
        <w:rPr>
          <w:rFonts w:asciiTheme="minorHAnsi" w:eastAsiaTheme="minorEastAsia" w:hAnsiTheme="minorHAnsi" w:cstheme="minorBidi"/>
          <w:noProof/>
          <w:sz w:val="22"/>
          <w:szCs w:val="22"/>
          <w:lang w:val="en-US" w:eastAsia="en-US"/>
        </w:rPr>
      </w:pPr>
      <w:r>
        <w:rPr>
          <w:noProof/>
        </w:rPr>
        <w:t>1.2</w:t>
      </w:r>
      <w:r>
        <w:rPr>
          <w:rFonts w:asciiTheme="minorHAnsi" w:eastAsiaTheme="minorEastAsia" w:hAnsiTheme="minorHAnsi" w:cstheme="minorBidi"/>
          <w:noProof/>
          <w:sz w:val="22"/>
          <w:szCs w:val="22"/>
          <w:lang w:val="en-US" w:eastAsia="en-US"/>
        </w:rPr>
        <w:tab/>
      </w:r>
      <w:r>
        <w:rPr>
          <w:noProof/>
        </w:rPr>
        <w:t>Question to all parties</w:t>
      </w:r>
      <w:r>
        <w:rPr>
          <w:noProof/>
        </w:rPr>
        <w:tab/>
      </w:r>
      <w:r>
        <w:rPr>
          <w:noProof/>
        </w:rPr>
        <w:fldChar w:fldCharType="begin"/>
      </w:r>
      <w:r>
        <w:rPr>
          <w:noProof/>
        </w:rPr>
        <w:instrText xml:space="preserve"> PAGEREF _Toc37246757 \h </w:instrText>
      </w:r>
      <w:r>
        <w:rPr>
          <w:noProof/>
        </w:rPr>
      </w:r>
      <w:r>
        <w:rPr>
          <w:noProof/>
        </w:rPr>
        <w:fldChar w:fldCharType="separate"/>
      </w:r>
      <w:r>
        <w:rPr>
          <w:noProof/>
        </w:rPr>
        <w:t>2</w:t>
      </w:r>
      <w:r>
        <w:rPr>
          <w:noProof/>
        </w:rPr>
        <w:fldChar w:fldCharType="end"/>
      </w:r>
    </w:p>
    <w:p w14:paraId="6E72AF59" w14:textId="4268AC21" w:rsidR="00323FC9" w:rsidRDefault="00323FC9">
      <w:pPr>
        <w:pStyle w:val="TOC1"/>
        <w:rPr>
          <w:rFonts w:asciiTheme="minorHAnsi" w:eastAsiaTheme="minorEastAsia" w:hAnsiTheme="minorHAnsi" w:cstheme="minorBidi"/>
          <w:b w:val="0"/>
          <w:noProof/>
          <w:szCs w:val="22"/>
          <w:lang w:val="en-US" w:eastAsia="en-US"/>
        </w:rPr>
      </w:pPr>
      <w:r w:rsidRPr="004130CD">
        <w:rPr>
          <w:noProof/>
          <w:lang w:val="en-US"/>
        </w:rPr>
        <w:t>2</w:t>
      </w:r>
      <w:r>
        <w:rPr>
          <w:rFonts w:asciiTheme="minorHAnsi" w:eastAsiaTheme="minorEastAsia" w:hAnsiTheme="minorHAnsi" w:cstheme="minorBidi"/>
          <w:b w:val="0"/>
          <w:noProof/>
          <w:szCs w:val="22"/>
          <w:lang w:val="en-US" w:eastAsia="en-US"/>
        </w:rPr>
        <w:tab/>
      </w:r>
      <w:r w:rsidRPr="004130CD">
        <w:rPr>
          <w:noProof/>
          <w:lang w:val="en-US"/>
        </w:rPr>
        <w:t>Economic and labour market considerations</w:t>
      </w:r>
      <w:r>
        <w:rPr>
          <w:noProof/>
        </w:rPr>
        <w:tab/>
      </w:r>
      <w:r>
        <w:rPr>
          <w:noProof/>
        </w:rPr>
        <w:fldChar w:fldCharType="begin"/>
      </w:r>
      <w:r>
        <w:rPr>
          <w:noProof/>
        </w:rPr>
        <w:instrText xml:space="preserve"> PAGEREF _Toc37246767 \h </w:instrText>
      </w:r>
      <w:r>
        <w:rPr>
          <w:noProof/>
        </w:rPr>
      </w:r>
      <w:r>
        <w:rPr>
          <w:noProof/>
        </w:rPr>
        <w:fldChar w:fldCharType="separate"/>
      </w:r>
      <w:r>
        <w:rPr>
          <w:noProof/>
        </w:rPr>
        <w:t>2</w:t>
      </w:r>
      <w:r>
        <w:rPr>
          <w:noProof/>
        </w:rPr>
        <w:fldChar w:fldCharType="end"/>
      </w:r>
    </w:p>
    <w:p w14:paraId="40BDD3F5" w14:textId="381CE6A5" w:rsidR="00323FC9" w:rsidRDefault="00323FC9">
      <w:pPr>
        <w:pStyle w:val="TOC2"/>
        <w:rPr>
          <w:rFonts w:asciiTheme="minorHAnsi" w:eastAsiaTheme="minorEastAsia" w:hAnsiTheme="minorHAnsi" w:cstheme="minorBidi"/>
          <w:noProof/>
          <w:sz w:val="22"/>
          <w:szCs w:val="22"/>
          <w:lang w:val="en-US" w:eastAsia="en-US"/>
        </w:rPr>
      </w:pPr>
      <w:r w:rsidRPr="004130CD">
        <w:rPr>
          <w:noProof/>
          <w:lang w:val="en-US"/>
        </w:rPr>
        <w:t>2.1</w:t>
      </w:r>
      <w:r>
        <w:rPr>
          <w:rFonts w:asciiTheme="minorHAnsi" w:eastAsiaTheme="minorEastAsia" w:hAnsiTheme="minorHAnsi" w:cstheme="minorBidi"/>
          <w:noProof/>
          <w:sz w:val="22"/>
          <w:szCs w:val="22"/>
          <w:lang w:val="en-US" w:eastAsia="en-US"/>
        </w:rPr>
        <w:tab/>
      </w:r>
      <w:r w:rsidRPr="004130CD">
        <w:rPr>
          <w:noProof/>
          <w:lang w:val="en-US"/>
        </w:rPr>
        <w:t>Question to ACCI and other parties</w:t>
      </w:r>
      <w:r>
        <w:rPr>
          <w:noProof/>
        </w:rPr>
        <w:tab/>
      </w:r>
      <w:r>
        <w:rPr>
          <w:noProof/>
        </w:rPr>
        <w:fldChar w:fldCharType="begin"/>
      </w:r>
      <w:r>
        <w:rPr>
          <w:noProof/>
        </w:rPr>
        <w:instrText xml:space="preserve"> PAGEREF _Toc37246768 \h </w:instrText>
      </w:r>
      <w:r>
        <w:rPr>
          <w:noProof/>
        </w:rPr>
      </w:r>
      <w:r>
        <w:rPr>
          <w:noProof/>
        </w:rPr>
        <w:fldChar w:fldCharType="separate"/>
      </w:r>
      <w:r>
        <w:rPr>
          <w:noProof/>
        </w:rPr>
        <w:t>2</w:t>
      </w:r>
      <w:r>
        <w:rPr>
          <w:noProof/>
        </w:rPr>
        <w:fldChar w:fldCharType="end"/>
      </w:r>
    </w:p>
    <w:p w14:paraId="4D7923C3" w14:textId="3B2F24CC" w:rsidR="00323FC9" w:rsidRDefault="00323FC9">
      <w:pPr>
        <w:pStyle w:val="TOC2"/>
        <w:rPr>
          <w:rFonts w:asciiTheme="minorHAnsi" w:eastAsiaTheme="minorEastAsia" w:hAnsiTheme="minorHAnsi" w:cstheme="minorBidi"/>
          <w:noProof/>
          <w:sz w:val="22"/>
          <w:szCs w:val="22"/>
          <w:lang w:val="en-US" w:eastAsia="en-US"/>
        </w:rPr>
      </w:pPr>
      <w:r>
        <w:rPr>
          <w:noProof/>
        </w:rPr>
        <w:t>2.2</w:t>
      </w:r>
      <w:r>
        <w:rPr>
          <w:rFonts w:asciiTheme="minorHAnsi" w:eastAsiaTheme="minorEastAsia" w:hAnsiTheme="minorHAnsi" w:cstheme="minorBidi"/>
          <w:noProof/>
          <w:sz w:val="22"/>
          <w:szCs w:val="22"/>
          <w:lang w:val="en-US" w:eastAsia="en-US"/>
        </w:rPr>
        <w:tab/>
      </w:r>
      <w:r>
        <w:rPr>
          <w:noProof/>
        </w:rPr>
        <w:t>Question to the ACTU</w:t>
      </w:r>
      <w:r>
        <w:rPr>
          <w:noProof/>
        </w:rPr>
        <w:tab/>
      </w:r>
      <w:r>
        <w:rPr>
          <w:noProof/>
        </w:rPr>
        <w:fldChar w:fldCharType="begin"/>
      </w:r>
      <w:r>
        <w:rPr>
          <w:noProof/>
        </w:rPr>
        <w:instrText xml:space="preserve"> PAGEREF _Toc37246769 \h </w:instrText>
      </w:r>
      <w:r>
        <w:rPr>
          <w:noProof/>
        </w:rPr>
      </w:r>
      <w:r>
        <w:rPr>
          <w:noProof/>
        </w:rPr>
        <w:fldChar w:fldCharType="separate"/>
      </w:r>
      <w:r>
        <w:rPr>
          <w:noProof/>
        </w:rPr>
        <w:t>4</w:t>
      </w:r>
      <w:r>
        <w:rPr>
          <w:noProof/>
        </w:rPr>
        <w:fldChar w:fldCharType="end"/>
      </w:r>
    </w:p>
    <w:p w14:paraId="3B5DCDCD" w14:textId="0DB55E12" w:rsidR="00323FC9" w:rsidRDefault="00323FC9">
      <w:pPr>
        <w:pStyle w:val="TOC1"/>
        <w:rPr>
          <w:rFonts w:asciiTheme="minorHAnsi" w:eastAsiaTheme="minorEastAsia" w:hAnsiTheme="minorHAnsi" w:cstheme="minorBidi"/>
          <w:b w:val="0"/>
          <w:noProof/>
          <w:szCs w:val="22"/>
          <w:lang w:val="en-US" w:eastAsia="en-US"/>
        </w:rPr>
      </w:pPr>
      <w:r w:rsidRPr="004130CD">
        <w:rPr>
          <w:noProof/>
          <w:lang w:val="en-US"/>
        </w:rPr>
        <w:t>3</w:t>
      </w:r>
      <w:r>
        <w:rPr>
          <w:rFonts w:asciiTheme="minorHAnsi" w:eastAsiaTheme="minorEastAsia" w:hAnsiTheme="minorHAnsi" w:cstheme="minorBidi"/>
          <w:b w:val="0"/>
          <w:noProof/>
          <w:szCs w:val="22"/>
          <w:lang w:val="en-US" w:eastAsia="en-US"/>
        </w:rPr>
        <w:tab/>
      </w:r>
      <w:r w:rsidRPr="004130CD">
        <w:rPr>
          <w:noProof/>
          <w:lang w:val="en-US"/>
        </w:rPr>
        <w:t>Relative living standards and the needs of the low paid</w:t>
      </w:r>
      <w:r>
        <w:rPr>
          <w:noProof/>
        </w:rPr>
        <w:tab/>
      </w:r>
      <w:r>
        <w:rPr>
          <w:noProof/>
        </w:rPr>
        <w:fldChar w:fldCharType="begin"/>
      </w:r>
      <w:r>
        <w:rPr>
          <w:noProof/>
        </w:rPr>
        <w:instrText xml:space="preserve"> PAGEREF _Toc37246775 \h </w:instrText>
      </w:r>
      <w:r>
        <w:rPr>
          <w:noProof/>
        </w:rPr>
      </w:r>
      <w:r>
        <w:rPr>
          <w:noProof/>
        </w:rPr>
        <w:fldChar w:fldCharType="separate"/>
      </w:r>
      <w:r>
        <w:rPr>
          <w:noProof/>
        </w:rPr>
        <w:t>4</w:t>
      </w:r>
      <w:r>
        <w:rPr>
          <w:noProof/>
        </w:rPr>
        <w:fldChar w:fldCharType="end"/>
      </w:r>
    </w:p>
    <w:p w14:paraId="18AD02C6" w14:textId="56EEA901" w:rsidR="00323FC9" w:rsidRDefault="00323FC9">
      <w:pPr>
        <w:pStyle w:val="TOC2"/>
        <w:rPr>
          <w:rFonts w:asciiTheme="minorHAnsi" w:eastAsiaTheme="minorEastAsia" w:hAnsiTheme="minorHAnsi" w:cstheme="minorBidi"/>
          <w:noProof/>
          <w:sz w:val="22"/>
          <w:szCs w:val="22"/>
          <w:lang w:val="en-US" w:eastAsia="en-US"/>
        </w:rPr>
      </w:pPr>
      <w:r>
        <w:rPr>
          <w:noProof/>
        </w:rPr>
        <w:t>3.1</w:t>
      </w:r>
      <w:r>
        <w:rPr>
          <w:rFonts w:asciiTheme="minorHAnsi" w:eastAsiaTheme="minorEastAsia" w:hAnsiTheme="minorHAnsi" w:cstheme="minorBidi"/>
          <w:noProof/>
          <w:sz w:val="22"/>
          <w:szCs w:val="22"/>
          <w:lang w:val="en-US" w:eastAsia="en-US"/>
        </w:rPr>
        <w:tab/>
      </w:r>
      <w:r>
        <w:rPr>
          <w:noProof/>
        </w:rPr>
        <w:t>Question to ACBC</w:t>
      </w:r>
      <w:r>
        <w:rPr>
          <w:noProof/>
        </w:rPr>
        <w:tab/>
      </w:r>
      <w:r>
        <w:rPr>
          <w:noProof/>
        </w:rPr>
        <w:fldChar w:fldCharType="begin"/>
      </w:r>
      <w:r>
        <w:rPr>
          <w:noProof/>
        </w:rPr>
        <w:instrText xml:space="preserve"> PAGEREF _Toc37246776 \h </w:instrText>
      </w:r>
      <w:r>
        <w:rPr>
          <w:noProof/>
        </w:rPr>
      </w:r>
      <w:r>
        <w:rPr>
          <w:noProof/>
        </w:rPr>
        <w:fldChar w:fldCharType="separate"/>
      </w:r>
      <w:r>
        <w:rPr>
          <w:noProof/>
        </w:rPr>
        <w:t>4</w:t>
      </w:r>
      <w:r>
        <w:rPr>
          <w:noProof/>
        </w:rPr>
        <w:fldChar w:fldCharType="end"/>
      </w:r>
    </w:p>
    <w:p w14:paraId="08D58B69" w14:textId="31A62C22" w:rsidR="00FB3F51" w:rsidRDefault="0052386A" w:rsidP="00FB3F51">
      <w:pPr>
        <w:rPr>
          <w:lang w:val="en-US"/>
        </w:rPr>
      </w:pPr>
      <w:r>
        <w:rPr>
          <w:sz w:val="22"/>
          <w:lang w:val="en-US"/>
        </w:rPr>
        <w:fldChar w:fldCharType="end"/>
      </w:r>
    </w:p>
    <w:p w14:paraId="76E35676" w14:textId="0A78D792" w:rsidR="00FB3F51" w:rsidRDefault="00FB3F51" w:rsidP="00FB3F51">
      <w:pPr>
        <w:rPr>
          <w:lang w:val="en-US"/>
        </w:rPr>
      </w:pPr>
    </w:p>
    <w:p w14:paraId="58F2B967" w14:textId="72BF9B8D" w:rsidR="00FB3F51" w:rsidRDefault="00FB3F51">
      <w:pPr>
        <w:spacing w:before="0" w:after="0" w:line="240" w:lineRule="auto"/>
        <w:rPr>
          <w:lang w:val="en-US"/>
        </w:rPr>
      </w:pPr>
      <w:r>
        <w:rPr>
          <w:lang w:val="en-US"/>
        </w:rPr>
        <w:br w:type="page"/>
      </w:r>
    </w:p>
    <w:p w14:paraId="3BBF6915" w14:textId="26D30258" w:rsidR="00FB3F51" w:rsidRDefault="007E6082" w:rsidP="007E6082">
      <w:pPr>
        <w:pStyle w:val="MWRHeading1"/>
        <w:rPr>
          <w:lang w:val="en-US"/>
        </w:rPr>
      </w:pPr>
      <w:bookmarkStart w:id="1" w:name="_Toc36634666"/>
      <w:bookmarkStart w:id="2" w:name="_Toc36993267"/>
      <w:bookmarkStart w:id="3" w:name="_Toc36993446"/>
      <w:bookmarkStart w:id="4" w:name="_Toc37078179"/>
      <w:bookmarkStart w:id="5" w:name="_Toc37170764"/>
      <w:bookmarkStart w:id="6" w:name="_Toc37246754"/>
      <w:r>
        <w:rPr>
          <w:lang w:val="en-US"/>
        </w:rPr>
        <w:lastRenderedPageBreak/>
        <w:t>Decision making process</w:t>
      </w:r>
      <w:bookmarkEnd w:id="1"/>
      <w:bookmarkEnd w:id="2"/>
      <w:bookmarkEnd w:id="3"/>
      <w:bookmarkEnd w:id="4"/>
      <w:bookmarkEnd w:id="5"/>
      <w:bookmarkEnd w:id="6"/>
    </w:p>
    <w:p w14:paraId="2082FAFD" w14:textId="4EBA0702" w:rsidR="0078275C" w:rsidRDefault="0078275C" w:rsidP="0078275C">
      <w:pPr>
        <w:pStyle w:val="MWRHeading2"/>
      </w:pPr>
      <w:bookmarkStart w:id="7" w:name="_Toc36993268"/>
      <w:bookmarkStart w:id="8" w:name="_Toc36993447"/>
      <w:bookmarkStart w:id="9" w:name="_Toc37078180"/>
      <w:bookmarkStart w:id="10" w:name="_Toc37170765"/>
      <w:bookmarkStart w:id="11" w:name="_Toc37246755"/>
      <w:r>
        <w:t xml:space="preserve">Question </w:t>
      </w:r>
      <w:r w:rsidR="003741CD">
        <w:t>to</w:t>
      </w:r>
      <w:r>
        <w:t xml:space="preserve"> all parties</w:t>
      </w:r>
      <w:bookmarkEnd w:id="7"/>
      <w:bookmarkEnd w:id="8"/>
      <w:bookmarkEnd w:id="9"/>
      <w:bookmarkEnd w:id="10"/>
      <w:bookmarkEnd w:id="11"/>
    </w:p>
    <w:p w14:paraId="0D9B0B1B" w14:textId="6C0D9030" w:rsidR="002C09EC" w:rsidRDefault="0078275C" w:rsidP="0078275C">
      <w:r>
        <w:t xml:space="preserve">The </w:t>
      </w:r>
      <w:r w:rsidR="00DB029B">
        <w:t>Federal and State governments</w:t>
      </w:r>
      <w:r>
        <w:t xml:space="preserve"> </w:t>
      </w:r>
      <w:r w:rsidR="002C09EC">
        <w:t>ha</w:t>
      </w:r>
      <w:r w:rsidR="00DB029B">
        <w:t>ve</w:t>
      </w:r>
      <w:r w:rsidR="002C09EC">
        <w:t xml:space="preserve"> </w:t>
      </w:r>
      <w:r>
        <w:t xml:space="preserve">announced </w:t>
      </w:r>
      <w:proofErr w:type="gramStart"/>
      <w:r>
        <w:t>a</w:t>
      </w:r>
      <w:r w:rsidR="002C09EC">
        <w:t xml:space="preserve"> number of</w:t>
      </w:r>
      <w:proofErr w:type="gramEnd"/>
      <w:r w:rsidR="002C09EC">
        <w:t xml:space="preserve"> initiatives to provide support for businesses, individuals and households affected by COVID-19. These are outlined in the Fair Work Commission’s note on </w:t>
      </w:r>
      <w:hyperlink r:id="rId11" w:history="1">
        <w:r w:rsidR="002C09EC">
          <w:rPr>
            <w:rStyle w:val="Hyperlink"/>
          </w:rPr>
          <w:t>G</w:t>
        </w:r>
        <w:r w:rsidR="002C09EC" w:rsidRPr="00147A5E">
          <w:rPr>
            <w:rStyle w:val="Hyperlink"/>
          </w:rPr>
          <w:t>overnment</w:t>
        </w:r>
        <w:r w:rsidR="002C09EC">
          <w:rPr>
            <w:rStyle w:val="Hyperlink"/>
          </w:rPr>
          <w:t xml:space="preserve"> </w:t>
        </w:r>
        <w:r w:rsidR="002C09EC" w:rsidRPr="00147A5E">
          <w:rPr>
            <w:rStyle w:val="Hyperlink"/>
          </w:rPr>
          <w:t>responses</w:t>
        </w:r>
        <w:r w:rsidR="002C09EC">
          <w:rPr>
            <w:rStyle w:val="Hyperlink"/>
          </w:rPr>
          <w:t xml:space="preserve"> to COVID-19 pandemic</w:t>
        </w:r>
      </w:hyperlink>
      <w:r w:rsidR="00914152">
        <w:t xml:space="preserve"> and in the Australian Government submission</w:t>
      </w:r>
      <w:r w:rsidR="002C09EC">
        <w:t>.</w:t>
      </w:r>
      <w:r w:rsidR="00914152">
        <w:rPr>
          <w:rStyle w:val="FootnoteReference"/>
        </w:rPr>
        <w:footnoteReference w:id="1"/>
      </w:r>
    </w:p>
    <w:p w14:paraId="6B294E3F" w14:textId="552800A8" w:rsidR="002C09EC" w:rsidRDefault="002C09EC" w:rsidP="0078275C">
      <w:r>
        <w:t xml:space="preserve">Parties are invited to comment on </w:t>
      </w:r>
      <w:r w:rsidR="00DB029B">
        <w:t xml:space="preserve">the initiatives </w:t>
      </w:r>
      <w:r w:rsidR="00433C06">
        <w:t xml:space="preserve">and discuss how </w:t>
      </w:r>
      <w:r>
        <w:t xml:space="preserve">the </w:t>
      </w:r>
      <w:r w:rsidR="0034591F">
        <w:t xml:space="preserve">Expert </w:t>
      </w:r>
      <w:r>
        <w:t xml:space="preserve">Panel </w:t>
      </w:r>
      <w:r w:rsidR="001028E1">
        <w:t>should</w:t>
      </w:r>
      <w:r>
        <w:t xml:space="preserve"> take </w:t>
      </w:r>
      <w:r w:rsidR="00433C06">
        <w:t xml:space="preserve">these </w:t>
      </w:r>
      <w:r>
        <w:t>into account.</w:t>
      </w:r>
    </w:p>
    <w:p w14:paraId="007968C1" w14:textId="2A1A4C4F" w:rsidR="00E965EC" w:rsidRDefault="00E965EC" w:rsidP="00E965EC">
      <w:pPr>
        <w:pStyle w:val="MWRHeading2"/>
      </w:pPr>
      <w:bookmarkStart w:id="12" w:name="_Toc37246756"/>
      <w:bookmarkStart w:id="13" w:name="_Toc36993269"/>
      <w:bookmarkStart w:id="14" w:name="_Toc36993448"/>
      <w:bookmarkStart w:id="15" w:name="_Toc37078181"/>
      <w:bookmarkStart w:id="16" w:name="_Toc37170766"/>
      <w:bookmarkStart w:id="17" w:name="_Toc37246757"/>
      <w:bookmarkEnd w:id="12"/>
      <w:r>
        <w:t>Question to all parties</w:t>
      </w:r>
      <w:bookmarkEnd w:id="13"/>
      <w:bookmarkEnd w:id="14"/>
      <w:bookmarkEnd w:id="15"/>
      <w:bookmarkEnd w:id="16"/>
      <w:bookmarkEnd w:id="17"/>
    </w:p>
    <w:p w14:paraId="4DEE4DBD" w14:textId="664C8157" w:rsidR="00E965EC" w:rsidRDefault="00452AD8" w:rsidP="00E965EC">
      <w:r>
        <w:t>Since most submiss</w:t>
      </w:r>
      <w:r w:rsidR="00327F00">
        <w:t>i</w:t>
      </w:r>
      <w:r>
        <w:t xml:space="preserve">ons have not </w:t>
      </w:r>
      <w:r w:rsidR="00327F00">
        <w:t xml:space="preserve">had an opportunity to address the effects of </w:t>
      </w:r>
      <w:r>
        <w:t>COVID-19, in</w:t>
      </w:r>
      <w:r w:rsidR="008D533A">
        <w:t xml:space="preserve"> the </w:t>
      </w:r>
      <w:hyperlink r:id="rId12" w:history="1">
        <w:r w:rsidR="008D533A" w:rsidRPr="000733F7">
          <w:rPr>
            <w:rStyle w:val="Hyperlink"/>
          </w:rPr>
          <w:t>Statement</w:t>
        </w:r>
      </w:hyperlink>
      <w:r w:rsidR="008D533A">
        <w:t xml:space="preserve"> published on 6 April 2020</w:t>
      </w:r>
      <w:r w:rsidR="009251BF">
        <w:t xml:space="preserve"> on the </w:t>
      </w:r>
      <w:r w:rsidR="00574A91">
        <w:t>timetable variation,</w:t>
      </w:r>
      <w:r w:rsidR="008D533A">
        <w:t xml:space="preserve"> the Expert Panel </w:t>
      </w:r>
      <w:r w:rsidR="00136577">
        <w:t xml:space="preserve">has </w:t>
      </w:r>
      <w:r w:rsidR="00D9625C">
        <w:t xml:space="preserve">provided a date for </w:t>
      </w:r>
      <w:r w:rsidR="006F3579">
        <w:t xml:space="preserve">submissions and reply submission regarding </w:t>
      </w:r>
      <w:r w:rsidR="0034591F">
        <w:t xml:space="preserve">data from </w:t>
      </w:r>
      <w:r w:rsidR="006F3579">
        <w:t>the Australian Bureau of Statistics</w:t>
      </w:r>
      <w:r w:rsidR="0034591F">
        <w:t>’</w:t>
      </w:r>
      <w:r w:rsidR="00A12F66">
        <w:t xml:space="preserve"> (ABS)</w:t>
      </w:r>
      <w:r w:rsidR="006F3579">
        <w:t>, Australian National Accounts data for the March quarter 2020.</w:t>
      </w:r>
      <w:r w:rsidR="00A12F66">
        <w:t xml:space="preserve"> The Expert Panel </w:t>
      </w:r>
      <w:r w:rsidR="00136577">
        <w:t xml:space="preserve">has </w:t>
      </w:r>
      <w:r w:rsidR="00A12F66">
        <w:t>also noted that the ABS were publishing additional data measuring the impact of COVID-19</w:t>
      </w:r>
      <w:r w:rsidR="00285EA4">
        <w:t xml:space="preserve"> on individuals and businesses and that these products would be </w:t>
      </w:r>
      <w:r w:rsidR="00F3072D">
        <w:t>presented in the Statistical report.</w:t>
      </w:r>
    </w:p>
    <w:p w14:paraId="0BCF4476" w14:textId="6A1938CF" w:rsidR="00F3072D" w:rsidRPr="00E965EC" w:rsidRDefault="00F3072D" w:rsidP="00F91DDB">
      <w:r>
        <w:t>Parties are invited to comment on other sources of data or research that provide more timely information on the effects on COVID-19 to be considered in this Review.</w:t>
      </w:r>
    </w:p>
    <w:p w14:paraId="2AA5DAF9" w14:textId="21748522" w:rsidR="007E6082" w:rsidRPr="00FB3F51" w:rsidRDefault="007E6082" w:rsidP="007E6082">
      <w:pPr>
        <w:pStyle w:val="MWRHeading1"/>
        <w:rPr>
          <w:lang w:val="en-US"/>
        </w:rPr>
      </w:pPr>
      <w:bookmarkStart w:id="18" w:name="_Toc36993015"/>
      <w:bookmarkStart w:id="19" w:name="_Toc36993051"/>
      <w:bookmarkStart w:id="20" w:name="_Toc36993105"/>
      <w:bookmarkStart w:id="21" w:name="_Toc36993270"/>
      <w:bookmarkStart w:id="22" w:name="_Toc36993449"/>
      <w:bookmarkStart w:id="23" w:name="_Toc36993016"/>
      <w:bookmarkStart w:id="24" w:name="_Toc36993052"/>
      <w:bookmarkStart w:id="25" w:name="_Toc36993106"/>
      <w:bookmarkStart w:id="26" w:name="_Toc36993271"/>
      <w:bookmarkStart w:id="27" w:name="_Toc36993450"/>
      <w:bookmarkStart w:id="28" w:name="_Toc37246758"/>
      <w:bookmarkStart w:id="29" w:name="_Toc37246759"/>
      <w:bookmarkStart w:id="30" w:name="_Toc37246760"/>
      <w:bookmarkStart w:id="31" w:name="_Toc37246761"/>
      <w:bookmarkStart w:id="32" w:name="_Toc37246762"/>
      <w:bookmarkStart w:id="33" w:name="_Toc37246763"/>
      <w:bookmarkStart w:id="34" w:name="_Toc37246764"/>
      <w:bookmarkStart w:id="35" w:name="_Toc37246765"/>
      <w:bookmarkStart w:id="36" w:name="_Toc37246766"/>
      <w:bookmarkStart w:id="37" w:name="_Toc36634667"/>
      <w:bookmarkStart w:id="38" w:name="_Toc36993273"/>
      <w:bookmarkStart w:id="39" w:name="_Toc36993452"/>
      <w:bookmarkStart w:id="40" w:name="_Toc37078183"/>
      <w:bookmarkStart w:id="41" w:name="_Toc37170768"/>
      <w:bookmarkStart w:id="42" w:name="_Toc3724676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lang w:val="en-US"/>
        </w:rPr>
        <w:t xml:space="preserve">Economic and </w:t>
      </w:r>
      <w:proofErr w:type="spellStart"/>
      <w:r>
        <w:rPr>
          <w:lang w:val="en-US"/>
        </w:rPr>
        <w:t>labour</w:t>
      </w:r>
      <w:proofErr w:type="spellEnd"/>
      <w:r>
        <w:rPr>
          <w:lang w:val="en-US"/>
        </w:rPr>
        <w:t xml:space="preserve"> market considerations</w:t>
      </w:r>
      <w:bookmarkEnd w:id="37"/>
      <w:bookmarkEnd w:id="38"/>
      <w:bookmarkEnd w:id="39"/>
      <w:bookmarkEnd w:id="40"/>
      <w:bookmarkEnd w:id="41"/>
      <w:bookmarkEnd w:id="42"/>
    </w:p>
    <w:p w14:paraId="6D144B07" w14:textId="67043FEA" w:rsidR="00FC0E5D" w:rsidRDefault="00FC0E5D" w:rsidP="007E6082">
      <w:pPr>
        <w:pStyle w:val="MWRHeading2"/>
        <w:rPr>
          <w:lang w:val="en-US"/>
        </w:rPr>
      </w:pPr>
      <w:bookmarkStart w:id="43" w:name="_Toc36634668"/>
      <w:bookmarkStart w:id="44" w:name="_Toc36993274"/>
      <w:bookmarkStart w:id="45" w:name="_Toc36993453"/>
      <w:bookmarkStart w:id="46" w:name="_Toc37078184"/>
      <w:bookmarkStart w:id="47" w:name="_Toc37170769"/>
      <w:bookmarkStart w:id="48" w:name="_Toc37246768"/>
      <w:r>
        <w:rPr>
          <w:lang w:val="en-US"/>
        </w:rPr>
        <w:t>Question to ACCI and other parties</w:t>
      </w:r>
      <w:bookmarkEnd w:id="43"/>
      <w:bookmarkEnd w:id="44"/>
      <w:bookmarkEnd w:id="45"/>
      <w:bookmarkEnd w:id="46"/>
      <w:bookmarkEnd w:id="47"/>
      <w:bookmarkEnd w:id="48"/>
    </w:p>
    <w:p w14:paraId="4D0D89CE" w14:textId="65101365" w:rsidR="00FC0E5D" w:rsidRDefault="00FC0E5D" w:rsidP="00FC0E5D">
      <w:r>
        <w:rPr>
          <w:lang w:val="en-US"/>
        </w:rPr>
        <w:t xml:space="preserve">In the </w:t>
      </w:r>
      <w:r w:rsidR="00A753C8" w:rsidRPr="005D0671">
        <w:rPr>
          <w:i/>
          <w:iCs/>
          <w:lang w:val="en-US"/>
        </w:rPr>
        <w:t>Annual Wage Review</w:t>
      </w:r>
      <w:r w:rsidR="007E6082" w:rsidRPr="005D0671">
        <w:rPr>
          <w:i/>
          <w:iCs/>
          <w:lang w:val="en-US"/>
        </w:rPr>
        <w:t xml:space="preserve"> 2018–19</w:t>
      </w:r>
      <w:r w:rsidR="00F60FB8">
        <w:rPr>
          <w:lang w:val="en-US"/>
        </w:rPr>
        <w:t xml:space="preserve"> (2018–19 Review)</w:t>
      </w:r>
      <w:r w:rsidR="00A753C8">
        <w:rPr>
          <w:lang w:val="en-US"/>
        </w:rPr>
        <w:t xml:space="preserve">, the Panel commented that </w:t>
      </w:r>
      <w:r w:rsidR="00A70148">
        <w:t>‘[</w:t>
      </w:r>
      <w:proofErr w:type="spellStart"/>
      <w:r w:rsidR="00A70148">
        <w:t>i</w:t>
      </w:r>
      <w:proofErr w:type="spellEnd"/>
      <w:r w:rsidR="00A70148">
        <w:t>]</w:t>
      </w:r>
      <w:r w:rsidR="00A87BEB">
        <w:t>t also remains difficult to explain why industry sectors with the highest levels of award reliance generally have nominal wage growth only at or below average in circumstances where modern award minimum wages were increased by 3.3 per cent in 2017 and 3.5 per cent in 2018.</w:t>
      </w:r>
      <w:r w:rsidR="00A70148">
        <w:t>’</w:t>
      </w:r>
      <w:r w:rsidR="00A70148">
        <w:rPr>
          <w:rStyle w:val="FootnoteReference"/>
        </w:rPr>
        <w:footnoteReference w:id="2"/>
      </w:r>
    </w:p>
    <w:p w14:paraId="2F0A83CD" w14:textId="56FBD0F7" w:rsidR="000833C4" w:rsidRDefault="00050E8E" w:rsidP="00FC0E5D">
      <w:r>
        <w:t xml:space="preserve">In its submission to this Review, </w:t>
      </w:r>
      <w:r w:rsidR="000833C4">
        <w:t>ACCI submi</w:t>
      </w:r>
      <w:r w:rsidR="000160D7">
        <w:t>tted</w:t>
      </w:r>
      <w:r w:rsidR="00BB50F8">
        <w:t>:</w:t>
      </w:r>
    </w:p>
    <w:p w14:paraId="5F79F6AC" w14:textId="77777777" w:rsidR="003343A6" w:rsidRDefault="00BB50F8" w:rsidP="00BB50F8">
      <w:pPr>
        <w:pStyle w:val="CitationQuote"/>
        <w:rPr>
          <w:lang w:val="en-US"/>
        </w:rPr>
      </w:pPr>
      <w:r>
        <w:rPr>
          <w:lang w:val="en-US"/>
        </w:rPr>
        <w:t>‘</w:t>
      </w:r>
      <w:r w:rsidRPr="00BB50F8">
        <w:rPr>
          <w:lang w:val="en-US"/>
        </w:rPr>
        <w:t>An explanation, which the Expert Panel does not appear to have considered, is that the increase in</w:t>
      </w:r>
      <w:r>
        <w:rPr>
          <w:lang w:val="en-US"/>
        </w:rPr>
        <w:t xml:space="preserve"> </w:t>
      </w:r>
      <w:r w:rsidRPr="00BB50F8">
        <w:rPr>
          <w:lang w:val="en-US"/>
        </w:rPr>
        <w:t>NMW and award minimum wages (which are typically applied to younger, inexperienced workers)</w:t>
      </w:r>
      <w:r>
        <w:rPr>
          <w:lang w:val="en-US"/>
        </w:rPr>
        <w:t xml:space="preserve"> </w:t>
      </w:r>
      <w:r w:rsidRPr="00BB50F8">
        <w:rPr>
          <w:lang w:val="en-US"/>
        </w:rPr>
        <w:t>has come at a cost to other (experienced, older, non-award) workers, with employers appearing to</w:t>
      </w:r>
      <w:r>
        <w:rPr>
          <w:lang w:val="en-US"/>
        </w:rPr>
        <w:t xml:space="preserve"> </w:t>
      </w:r>
      <w:r w:rsidRPr="00BB50F8">
        <w:rPr>
          <w:lang w:val="en-US"/>
        </w:rPr>
        <w:t>be holding back increases in the wages of these other employees to provide the mandated increases</w:t>
      </w:r>
      <w:r>
        <w:rPr>
          <w:lang w:val="en-US"/>
        </w:rPr>
        <w:t xml:space="preserve"> </w:t>
      </w:r>
      <w:r w:rsidRPr="00BB50F8">
        <w:rPr>
          <w:lang w:val="en-US"/>
        </w:rPr>
        <w:t>to NMW and award minimum wage reliant employees.</w:t>
      </w:r>
    </w:p>
    <w:p w14:paraId="58872B8A" w14:textId="0F0F3E42" w:rsidR="00BB50F8" w:rsidRDefault="003343A6" w:rsidP="003343A6">
      <w:pPr>
        <w:pStyle w:val="CitationQuote"/>
        <w:rPr>
          <w:lang w:val="en-US"/>
        </w:rPr>
      </w:pPr>
      <w:r w:rsidRPr="003343A6">
        <w:rPr>
          <w:lang w:val="en-US"/>
        </w:rPr>
        <w:t xml:space="preserve">Overall, this is or was narrowing the wage base of employees and failing to </w:t>
      </w:r>
      <w:proofErr w:type="spellStart"/>
      <w:r w:rsidRPr="003343A6">
        <w:rPr>
          <w:lang w:val="en-US"/>
        </w:rPr>
        <w:t>recognise</w:t>
      </w:r>
      <w:proofErr w:type="spellEnd"/>
      <w:r w:rsidRPr="003343A6">
        <w:rPr>
          <w:lang w:val="en-US"/>
        </w:rPr>
        <w:t xml:space="preserve"> the value of</w:t>
      </w:r>
      <w:r>
        <w:rPr>
          <w:lang w:val="en-US"/>
        </w:rPr>
        <w:t xml:space="preserve"> </w:t>
      </w:r>
      <w:r w:rsidRPr="003343A6">
        <w:rPr>
          <w:lang w:val="en-US"/>
        </w:rPr>
        <w:t>loyal higher skilled employees. This will lead to an increase in discouraged workers, as these loyal</w:t>
      </w:r>
      <w:r>
        <w:rPr>
          <w:lang w:val="en-US"/>
        </w:rPr>
        <w:t xml:space="preserve"> </w:t>
      </w:r>
      <w:r w:rsidRPr="003343A6">
        <w:rPr>
          <w:lang w:val="en-US"/>
        </w:rPr>
        <w:t>higher skilled workers have seen their rates of pay fall in real terms, at a time when new</w:t>
      </w:r>
      <w:r>
        <w:rPr>
          <w:lang w:val="en-US"/>
        </w:rPr>
        <w:t xml:space="preserve"> </w:t>
      </w:r>
      <w:r w:rsidRPr="003343A6">
        <w:rPr>
          <w:lang w:val="en-US"/>
        </w:rPr>
        <w:t>inexperienced workers have seen their wages increase by around 10% in nominal terms and 6% in</w:t>
      </w:r>
      <w:r>
        <w:rPr>
          <w:lang w:val="en-US"/>
        </w:rPr>
        <w:t xml:space="preserve"> </w:t>
      </w:r>
      <w:r w:rsidRPr="003343A6">
        <w:rPr>
          <w:lang w:val="en-US"/>
        </w:rPr>
        <w:t>real terms. Again, this appears to have been occurring prior to the pandemic changing everything.</w:t>
      </w:r>
      <w:r w:rsidR="00BB50F8">
        <w:rPr>
          <w:lang w:val="en-US"/>
        </w:rPr>
        <w:t>’</w:t>
      </w:r>
      <w:r w:rsidR="00BB50F8">
        <w:rPr>
          <w:rStyle w:val="FootnoteReference"/>
          <w:lang w:val="en-US"/>
        </w:rPr>
        <w:footnoteReference w:id="3"/>
      </w:r>
    </w:p>
    <w:p w14:paraId="10A92A45" w14:textId="04C5AA94" w:rsidR="00E83D80" w:rsidRDefault="006E7D82" w:rsidP="000160D7">
      <w:pPr>
        <w:rPr>
          <w:lang w:val="en-US"/>
        </w:rPr>
      </w:pPr>
      <w:r>
        <w:rPr>
          <w:lang w:val="en-US"/>
        </w:rPr>
        <w:lastRenderedPageBreak/>
        <w:t xml:space="preserve">In response to </w:t>
      </w:r>
      <w:r w:rsidR="00050E8E">
        <w:rPr>
          <w:lang w:val="en-US"/>
        </w:rPr>
        <w:t xml:space="preserve">a </w:t>
      </w:r>
      <w:r>
        <w:rPr>
          <w:lang w:val="en-US"/>
        </w:rPr>
        <w:t xml:space="preserve">question on notice </w:t>
      </w:r>
      <w:r w:rsidR="00E04338">
        <w:rPr>
          <w:lang w:val="en-US"/>
        </w:rPr>
        <w:t>for</w:t>
      </w:r>
      <w:r w:rsidR="00E0693D">
        <w:rPr>
          <w:lang w:val="en-US"/>
        </w:rPr>
        <w:t xml:space="preserve"> the 2018–19 Review, ACCI</w:t>
      </w:r>
      <w:r w:rsidR="00CF6C29">
        <w:rPr>
          <w:lang w:val="en-US"/>
        </w:rPr>
        <w:t xml:space="preserve"> </w:t>
      </w:r>
      <w:r w:rsidR="009D3AB2">
        <w:rPr>
          <w:lang w:val="en-US"/>
        </w:rPr>
        <w:t xml:space="preserve">provided the following explanation for why </w:t>
      </w:r>
      <w:r w:rsidR="00CF6C29">
        <w:rPr>
          <w:lang w:val="en-US"/>
        </w:rPr>
        <w:t>the WPI increase in Retail trade was much less than the increase in the NMW and modern award minimum wages</w:t>
      </w:r>
      <w:r w:rsidR="009C1A97">
        <w:rPr>
          <w:lang w:val="en-US"/>
        </w:rPr>
        <w:t>:</w:t>
      </w:r>
    </w:p>
    <w:p w14:paraId="554F1483" w14:textId="1428F630" w:rsidR="007819E7" w:rsidRPr="00281430" w:rsidRDefault="007819E7" w:rsidP="00ED06D1">
      <w:pPr>
        <w:pStyle w:val="CitationQuote"/>
        <w:rPr>
          <w:lang w:eastAsia="en-US"/>
        </w:rPr>
      </w:pPr>
      <w:r>
        <w:rPr>
          <w:lang w:eastAsia="en-US"/>
        </w:rPr>
        <w:t>‘</w:t>
      </w:r>
      <w:r w:rsidRPr="00281430">
        <w:rPr>
          <w:lang w:eastAsia="en-US"/>
        </w:rPr>
        <w:t xml:space="preserve">The key explanation for this is that award reliance/minimum wage reliance in these industries is less than 100% – and indeed in the retail industry, award reliance is at only 30.1%, meaning that almost 70% of workers in the retail industry have their pay set by means other than the modern award minimum wage. These are the managers, the professionals, those on enterprise agreements, those paid over-award, etc. </w:t>
      </w:r>
    </w:p>
    <w:p w14:paraId="55D2C0DA" w14:textId="77777777" w:rsidR="007819E7" w:rsidRPr="00281430" w:rsidRDefault="007819E7" w:rsidP="00ED06D1">
      <w:pPr>
        <w:pStyle w:val="CitationQuote"/>
        <w:rPr>
          <w:lang w:eastAsia="en-US"/>
        </w:rPr>
      </w:pPr>
      <w:r w:rsidRPr="00281430">
        <w:rPr>
          <w:lang w:eastAsia="en-US"/>
        </w:rPr>
        <w:t xml:space="preserve">As the Australian Chamber has previously flagged, the only circumstance in which minimum wage decisions could be expected to translate perfectly into aggregate or average wages growth would be one in which the minimum wage bite was 100%, and there was neither any non-minimum wage employer, nor any labour market forces or skills considerations at play that favour higher or lower increases. It seems logical that with </w:t>
      </w:r>
      <w:proofErr w:type="gramStart"/>
      <w:r w:rsidRPr="00281430">
        <w:rPr>
          <w:lang w:eastAsia="en-US"/>
        </w:rPr>
        <w:t>the majority of</w:t>
      </w:r>
      <w:proofErr w:type="gramEnd"/>
      <w:r w:rsidRPr="00281430">
        <w:rPr>
          <w:lang w:eastAsia="en-US"/>
        </w:rPr>
        <w:t xml:space="preserve"> the workforce not having its wages set by the Expert Panel’s decision, that there will always be a lack of strict one-to-one correlation between WPI and the level of increase in a particular industry. </w:t>
      </w:r>
    </w:p>
    <w:p w14:paraId="113D4E2E" w14:textId="77777777" w:rsidR="007819E7" w:rsidRPr="00281430" w:rsidRDefault="007819E7" w:rsidP="00ED06D1">
      <w:pPr>
        <w:pStyle w:val="CitationQuote"/>
        <w:rPr>
          <w:lang w:eastAsia="en-US"/>
        </w:rPr>
      </w:pPr>
      <w:r w:rsidRPr="00281430">
        <w:rPr>
          <w:lang w:eastAsia="en-US"/>
        </w:rPr>
        <w:t xml:space="preserve">It is also logical that the system of 2019 is very different to that of 1979 or 1969. Only in a highly centralised system would there be a high direct correlation between a minimum wage increase and the WPI. </w:t>
      </w:r>
    </w:p>
    <w:p w14:paraId="77ECEC29" w14:textId="77777777" w:rsidR="007819E7" w:rsidRDefault="007819E7" w:rsidP="00ED06D1">
      <w:pPr>
        <w:pStyle w:val="CitationQuote"/>
        <w:rPr>
          <w:lang w:eastAsia="en-US"/>
        </w:rPr>
      </w:pPr>
      <w:r w:rsidRPr="00281430">
        <w:rPr>
          <w:lang w:eastAsia="en-US"/>
        </w:rPr>
        <w:t xml:space="preserve">However, some additional reasons behind the discrepancy between the WPI increase in Retail trade and the increase in the NMW and modern award minimum wages may include the following: </w:t>
      </w:r>
    </w:p>
    <w:p w14:paraId="572CDC9A" w14:textId="77777777" w:rsidR="007819E7" w:rsidRPr="00281430" w:rsidRDefault="007819E7" w:rsidP="00F91DDB">
      <w:pPr>
        <w:pStyle w:val="CitationQuote"/>
        <w:ind w:left="850"/>
        <w:rPr>
          <w:lang w:eastAsia="en-US"/>
        </w:rPr>
      </w:pPr>
      <w:r w:rsidRPr="00281430">
        <w:rPr>
          <w:lang w:eastAsia="en-US"/>
        </w:rPr>
        <w:t xml:space="preserve">a. Very low or no wage increase for some of the non-award agreement jobs in retail industry, reflecting the wider labour market. If for example, a portion of the 69.9% of those in the retail industry whose wages are not set by an award had their wages frozen, or capped only to inflation (1.8%), this would contribute to an aggregate WPI growth level below the last, over-inflation minimum wage increase of 3.5%. </w:t>
      </w:r>
    </w:p>
    <w:p w14:paraId="6F17D596" w14:textId="77777777" w:rsidR="007819E7" w:rsidRPr="00281430" w:rsidRDefault="007819E7" w:rsidP="00F91DDB">
      <w:pPr>
        <w:pStyle w:val="CitationQuote"/>
        <w:ind w:left="850"/>
        <w:rPr>
          <w:lang w:eastAsia="en-US"/>
        </w:rPr>
      </w:pPr>
      <w:r w:rsidRPr="00281430">
        <w:rPr>
          <w:lang w:eastAsia="en-US"/>
        </w:rPr>
        <w:t>b. There may also be scope for some absorption into the above-award remuneration of salaried roles that are nominally award covered (but not</w:t>
      </w:r>
      <w:r>
        <w:rPr>
          <w:lang w:eastAsia="en-US"/>
        </w:rPr>
        <w:t xml:space="preserve"> directly award wage reliant). </w:t>
      </w:r>
    </w:p>
    <w:p w14:paraId="0069CCF0" w14:textId="77777777" w:rsidR="007819E7" w:rsidRPr="00281430" w:rsidRDefault="007819E7" w:rsidP="00F91DDB">
      <w:pPr>
        <w:pStyle w:val="CitationQuote"/>
        <w:ind w:left="850"/>
        <w:rPr>
          <w:sz w:val="16"/>
          <w:szCs w:val="16"/>
          <w:lang w:eastAsia="en-US"/>
        </w:rPr>
      </w:pPr>
      <w:r w:rsidRPr="00281430">
        <w:rPr>
          <w:lang w:eastAsia="en-US"/>
        </w:rPr>
        <w:t xml:space="preserve">c. Average wage increases under agreements are also at comparatively lower </w:t>
      </w:r>
      <w:proofErr w:type="gramStart"/>
      <w:r w:rsidRPr="00281430">
        <w:rPr>
          <w:lang w:eastAsia="en-US"/>
        </w:rPr>
        <w:t>levels, and</w:t>
      </w:r>
      <w:proofErr w:type="gramEnd"/>
      <w:r w:rsidRPr="00281430">
        <w:rPr>
          <w:lang w:eastAsia="en-US"/>
        </w:rPr>
        <w:t xml:space="preserve"> are likely to be another factor weighing to some extent in favour of overall WPI growth at below minimum wage increase levels. The AAWI for Retail Trade agreements current in the December quarter was 2.4%,</w:t>
      </w:r>
      <w:r w:rsidRPr="00281430">
        <w:rPr>
          <w:sz w:val="16"/>
          <w:szCs w:val="16"/>
          <w:lang w:eastAsia="en-US"/>
        </w:rPr>
        <w:t xml:space="preserve"> </w:t>
      </w:r>
      <w:r w:rsidRPr="00281430">
        <w:rPr>
          <w:lang w:eastAsia="en-US"/>
        </w:rPr>
        <w:t>notably less than the 3.5% NMW increase. These agreements applied to 110,200 employees.</w:t>
      </w:r>
    </w:p>
    <w:p w14:paraId="57C8B8EA" w14:textId="6C64D06D" w:rsidR="007819E7" w:rsidRDefault="007819E7" w:rsidP="00F91DDB">
      <w:pPr>
        <w:pStyle w:val="CitationQuote"/>
        <w:rPr>
          <w:lang w:eastAsia="en-US"/>
        </w:rPr>
      </w:pPr>
      <w:r w:rsidRPr="00281430">
        <w:rPr>
          <w:lang w:eastAsia="en-US"/>
        </w:rPr>
        <w:t>Further, and related to the above, there are labour market forces at play which may potentially favour a lower increase for those not on NMW or modern award minimum wages. These may include factors such as contracting profits in the retail sector, decline in the prices of retail goods, and weak consumer and business confidence.</w:t>
      </w:r>
      <w:r w:rsidR="00803083">
        <w:rPr>
          <w:lang w:eastAsia="en-US"/>
        </w:rPr>
        <w:t>’</w:t>
      </w:r>
      <w:r w:rsidR="00E2202F">
        <w:rPr>
          <w:rStyle w:val="FootnoteReference"/>
          <w:lang w:eastAsia="en-US"/>
        </w:rPr>
        <w:footnoteReference w:id="4"/>
      </w:r>
      <w:r w:rsidRPr="00281430">
        <w:rPr>
          <w:lang w:eastAsia="en-US"/>
        </w:rPr>
        <w:t xml:space="preserve"> </w:t>
      </w:r>
    </w:p>
    <w:p w14:paraId="298221F2" w14:textId="1C3C5D2F" w:rsidR="00697550" w:rsidRDefault="0091077C" w:rsidP="00FC35F2">
      <w:pPr>
        <w:rPr>
          <w:lang w:val="en-US"/>
        </w:rPr>
      </w:pPr>
      <w:r>
        <w:rPr>
          <w:lang w:val="en-US"/>
        </w:rPr>
        <w:t>ACCI</w:t>
      </w:r>
      <w:r w:rsidR="00103676">
        <w:rPr>
          <w:lang w:val="en-US"/>
        </w:rPr>
        <w:t>’</w:t>
      </w:r>
      <w:r w:rsidR="00757597">
        <w:rPr>
          <w:lang w:val="en-US"/>
        </w:rPr>
        <w:t>s</w:t>
      </w:r>
      <w:r w:rsidR="005817D1">
        <w:rPr>
          <w:lang w:val="en-US"/>
        </w:rPr>
        <w:t xml:space="preserve"> </w:t>
      </w:r>
      <w:r w:rsidR="006064FA">
        <w:rPr>
          <w:lang w:val="en-US"/>
        </w:rPr>
        <w:t xml:space="preserve">comment that </w:t>
      </w:r>
      <w:r w:rsidR="00CE73F5">
        <w:rPr>
          <w:lang w:val="en-US"/>
        </w:rPr>
        <w:t>the increase in the NMW and award minimum wages ‘has come at a cost to other (experience, older, non-award) workers</w:t>
      </w:r>
      <w:r w:rsidR="00697550">
        <w:rPr>
          <w:lang w:val="en-US"/>
        </w:rPr>
        <w:t xml:space="preserve"> </w:t>
      </w:r>
      <w:r w:rsidR="00697550" w:rsidRPr="00BB50F8">
        <w:rPr>
          <w:lang w:val="en-US"/>
        </w:rPr>
        <w:t>with employers appearing to</w:t>
      </w:r>
      <w:r w:rsidR="00697550">
        <w:rPr>
          <w:lang w:val="en-US"/>
        </w:rPr>
        <w:t xml:space="preserve"> </w:t>
      </w:r>
      <w:r w:rsidR="00697550" w:rsidRPr="00BB50F8">
        <w:rPr>
          <w:lang w:val="en-US"/>
        </w:rPr>
        <w:t>be holding back increases in the wages of these other employees to provide the mandated increases</w:t>
      </w:r>
      <w:r w:rsidR="00697550">
        <w:rPr>
          <w:lang w:val="en-US"/>
        </w:rPr>
        <w:t xml:space="preserve"> </w:t>
      </w:r>
      <w:r w:rsidR="00697550" w:rsidRPr="00BB50F8">
        <w:rPr>
          <w:lang w:val="en-US"/>
        </w:rPr>
        <w:t>to NMW and award minimum wage reliant employees</w:t>
      </w:r>
      <w:r w:rsidR="00F66DC2">
        <w:rPr>
          <w:lang w:val="en-US"/>
        </w:rPr>
        <w:t>’</w:t>
      </w:r>
      <w:r w:rsidR="00CD73D6">
        <w:rPr>
          <w:lang w:val="en-US"/>
        </w:rPr>
        <w:t xml:space="preserve"> </w:t>
      </w:r>
      <w:r w:rsidR="009D62A7">
        <w:rPr>
          <w:lang w:val="en-US"/>
        </w:rPr>
        <w:t>does not appear to be addressed in the response submitted to this question.</w:t>
      </w:r>
    </w:p>
    <w:p w14:paraId="0A77B8C5" w14:textId="1F147B31" w:rsidR="005D0671" w:rsidRDefault="00117D1F" w:rsidP="000160D7">
      <w:pPr>
        <w:rPr>
          <w:lang w:val="en-US"/>
        </w:rPr>
      </w:pPr>
      <w:r>
        <w:rPr>
          <w:lang w:val="en-US"/>
        </w:rPr>
        <w:lastRenderedPageBreak/>
        <w:t xml:space="preserve">ACCI are invited to provide </w:t>
      </w:r>
      <w:r w:rsidR="00CF3911">
        <w:rPr>
          <w:lang w:val="en-US"/>
        </w:rPr>
        <w:t xml:space="preserve">more detail and evidence supporting </w:t>
      </w:r>
      <w:r w:rsidR="003343A6">
        <w:rPr>
          <w:lang w:val="en-US"/>
        </w:rPr>
        <w:t>the proposition</w:t>
      </w:r>
      <w:r w:rsidR="00E9091D">
        <w:rPr>
          <w:lang w:val="en-US"/>
        </w:rPr>
        <w:t xml:space="preserve"> that </w:t>
      </w:r>
      <w:r w:rsidR="00091BE9">
        <w:rPr>
          <w:lang w:val="en-US"/>
        </w:rPr>
        <w:t xml:space="preserve">employers are ‘holding back increases in the wages of these </w:t>
      </w:r>
      <w:r w:rsidR="00A010D6">
        <w:rPr>
          <w:lang w:val="en-US"/>
        </w:rPr>
        <w:t>employees to provide the mandated increases to NMW and award minimum wage reliant employees’</w:t>
      </w:r>
      <w:r w:rsidR="00CF3911">
        <w:rPr>
          <w:lang w:val="en-US"/>
        </w:rPr>
        <w:t xml:space="preserve">. </w:t>
      </w:r>
    </w:p>
    <w:p w14:paraId="2FD06ACC" w14:textId="5F6336C1" w:rsidR="001C1236" w:rsidRDefault="005D0671" w:rsidP="007E6082">
      <w:pPr>
        <w:rPr>
          <w:lang w:val="en-US"/>
        </w:rPr>
      </w:pPr>
      <w:r>
        <w:t>All other parties are invited to provide comments</w:t>
      </w:r>
      <w:r w:rsidR="00CF3911">
        <w:rPr>
          <w:lang w:val="en-US"/>
        </w:rPr>
        <w:t xml:space="preserve">.  </w:t>
      </w:r>
    </w:p>
    <w:p w14:paraId="7B4BAE8F" w14:textId="77777777" w:rsidR="0052386A" w:rsidRDefault="0052386A" w:rsidP="0052386A">
      <w:pPr>
        <w:pStyle w:val="MWRHeading2"/>
      </w:pPr>
      <w:bookmarkStart w:id="49" w:name="_Toc36993020"/>
      <w:bookmarkStart w:id="50" w:name="_Toc36993056"/>
      <w:bookmarkStart w:id="51" w:name="_Toc36993110"/>
      <w:bookmarkStart w:id="52" w:name="_Toc36993275"/>
      <w:bookmarkStart w:id="53" w:name="_Toc36993454"/>
      <w:bookmarkStart w:id="54" w:name="_Toc36993021"/>
      <w:bookmarkStart w:id="55" w:name="_Toc36993057"/>
      <w:bookmarkStart w:id="56" w:name="_Toc36993111"/>
      <w:bookmarkStart w:id="57" w:name="_Toc36993276"/>
      <w:bookmarkStart w:id="58" w:name="_Toc36993455"/>
      <w:bookmarkStart w:id="59" w:name="_Toc36993022"/>
      <w:bookmarkStart w:id="60" w:name="_Toc36993058"/>
      <w:bookmarkStart w:id="61" w:name="_Toc36993112"/>
      <w:bookmarkStart w:id="62" w:name="_Toc36993277"/>
      <w:bookmarkStart w:id="63" w:name="_Toc36993456"/>
      <w:bookmarkStart w:id="64" w:name="_Toc36634673"/>
      <w:bookmarkStart w:id="65" w:name="_Toc36993278"/>
      <w:bookmarkStart w:id="66" w:name="_Toc36993457"/>
      <w:bookmarkStart w:id="67" w:name="_Toc37078185"/>
      <w:bookmarkStart w:id="68" w:name="_Toc37170770"/>
      <w:bookmarkStart w:id="69" w:name="_Toc3724676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Question to the ACTU</w:t>
      </w:r>
      <w:bookmarkEnd w:id="64"/>
      <w:bookmarkEnd w:id="65"/>
      <w:bookmarkEnd w:id="66"/>
      <w:bookmarkEnd w:id="67"/>
      <w:bookmarkEnd w:id="68"/>
      <w:bookmarkEnd w:id="69"/>
    </w:p>
    <w:p w14:paraId="21749ADD" w14:textId="77777777" w:rsidR="0052386A" w:rsidRDefault="0052386A" w:rsidP="0052386A">
      <w:r>
        <w:t xml:space="preserve">The ACTU submitted that: </w:t>
      </w:r>
    </w:p>
    <w:p w14:paraId="1165CDF4" w14:textId="77777777" w:rsidR="0052386A" w:rsidRDefault="0052386A" w:rsidP="0052386A">
      <w:pPr>
        <w:pStyle w:val="CitationQuote"/>
      </w:pPr>
      <w:r>
        <w:t xml:space="preserve">In the ACTU’s view the current situation and the uncertainty surrounding how it progresses should not be a deterrent to an increase in the minimum wage and awards. On the contrary the minimum wage increase would both provide a stimulus and offer some </w:t>
      </w:r>
      <w:proofErr w:type="gramStart"/>
      <w:r>
        <w:t>long term</w:t>
      </w:r>
      <w:proofErr w:type="gramEnd"/>
      <w:r>
        <w:t xml:space="preserve"> certainty in regard to income flows, especially for the low paid. The ACTU notes that the government model of offering stimulus tranches is a recognition that stimulus works. Offering a decent minimum wage increase is particularly efficient in this regard as it both serves the current circumstance and offers better security of income in future. It delivers income particularly to lower paid workers who will spend it all. It improves sales for business. It improves employment.</w:t>
      </w:r>
    </w:p>
    <w:p w14:paraId="099ACFED" w14:textId="465F90A8" w:rsidR="0052386A" w:rsidRDefault="0052386A" w:rsidP="0052386A">
      <w:r>
        <w:t>Given that many businesses have restrictions on opening, particularly businesses within Retail trade and Accommodation and food services (which are also award-reliant industries), how does increasing the minimum wage improve employment in these circumstances?</w:t>
      </w:r>
    </w:p>
    <w:p w14:paraId="2F6BF34B" w14:textId="3D0FEE0B" w:rsidR="00407974" w:rsidRDefault="005D0671" w:rsidP="0052386A">
      <w:r>
        <w:t>All other parties are invited to provide comments</w:t>
      </w:r>
      <w:r w:rsidR="002421DB">
        <w:t>.</w:t>
      </w:r>
    </w:p>
    <w:p w14:paraId="727C8282" w14:textId="3F498455" w:rsidR="0052386A" w:rsidRDefault="0052386A" w:rsidP="0052386A">
      <w:pPr>
        <w:pStyle w:val="MWRHeading1"/>
        <w:rPr>
          <w:lang w:val="en-US"/>
        </w:rPr>
      </w:pPr>
      <w:bookmarkStart w:id="70" w:name="_Toc37246770"/>
      <w:bookmarkStart w:id="71" w:name="_Toc37246771"/>
      <w:bookmarkStart w:id="72" w:name="_Toc37246772"/>
      <w:bookmarkStart w:id="73" w:name="_Toc37246773"/>
      <w:bookmarkStart w:id="74" w:name="_Toc37246774"/>
      <w:bookmarkStart w:id="75" w:name="_Toc36993060"/>
      <w:bookmarkStart w:id="76" w:name="_Toc36993279"/>
      <w:bookmarkStart w:id="77" w:name="_Toc36993458"/>
      <w:bookmarkStart w:id="78" w:name="_Toc37078187"/>
      <w:bookmarkStart w:id="79" w:name="_Toc37170772"/>
      <w:bookmarkStart w:id="80" w:name="_Toc37246775"/>
      <w:bookmarkEnd w:id="70"/>
      <w:bookmarkEnd w:id="71"/>
      <w:bookmarkEnd w:id="72"/>
      <w:bookmarkEnd w:id="73"/>
      <w:bookmarkEnd w:id="74"/>
      <w:r>
        <w:rPr>
          <w:lang w:val="en-US"/>
        </w:rPr>
        <w:t>Relative living standards and the needs of the low paid</w:t>
      </w:r>
      <w:bookmarkEnd w:id="75"/>
      <w:bookmarkEnd w:id="76"/>
      <w:bookmarkEnd w:id="77"/>
      <w:bookmarkEnd w:id="78"/>
      <w:bookmarkEnd w:id="79"/>
      <w:bookmarkEnd w:id="80"/>
    </w:p>
    <w:p w14:paraId="229688EF" w14:textId="3EEC55CF" w:rsidR="00B1335A" w:rsidRDefault="00B1335A" w:rsidP="00B1335A">
      <w:pPr>
        <w:pStyle w:val="MWRHeading2"/>
      </w:pPr>
      <w:bookmarkStart w:id="81" w:name="_Toc36993061"/>
      <w:bookmarkStart w:id="82" w:name="_Toc36993280"/>
      <w:bookmarkStart w:id="83" w:name="_Toc36993459"/>
      <w:bookmarkStart w:id="84" w:name="_Toc37078188"/>
      <w:bookmarkStart w:id="85" w:name="_Toc37170773"/>
      <w:bookmarkStart w:id="86" w:name="_Toc37246776"/>
      <w:r>
        <w:t xml:space="preserve">Question </w:t>
      </w:r>
      <w:r w:rsidR="003741CD">
        <w:t xml:space="preserve">to </w:t>
      </w:r>
      <w:r>
        <w:t>ACBC</w:t>
      </w:r>
      <w:bookmarkEnd w:id="81"/>
      <w:bookmarkEnd w:id="82"/>
      <w:bookmarkEnd w:id="83"/>
      <w:bookmarkEnd w:id="84"/>
      <w:bookmarkEnd w:id="85"/>
      <w:bookmarkEnd w:id="86"/>
    </w:p>
    <w:p w14:paraId="17C4574A" w14:textId="1147CB0F" w:rsidR="00F80AE1" w:rsidRDefault="0052386A" w:rsidP="00FF69CC">
      <w:r w:rsidRPr="00BC7419">
        <w:t>The A</w:t>
      </w:r>
      <w:r>
        <w:t>ustralian Catholic Bishops Conference</w:t>
      </w:r>
      <w:r w:rsidRPr="00BC7419">
        <w:t xml:space="preserve"> </w:t>
      </w:r>
      <w:r>
        <w:t xml:space="preserve">(ACBC) </w:t>
      </w:r>
      <w:r w:rsidRPr="00BC7419">
        <w:t>discusses two ways that the budget standards could be updated from their original 2016 estimations.</w:t>
      </w:r>
      <w:r w:rsidR="0042333D">
        <w:t xml:space="preserve"> ACBC state</w:t>
      </w:r>
      <w:r w:rsidR="00E52958">
        <w:t>d</w:t>
      </w:r>
      <w:r w:rsidR="00F80AE1">
        <w:t>:</w:t>
      </w:r>
    </w:p>
    <w:p w14:paraId="37F118E4" w14:textId="6B6D3F9F" w:rsidR="00F80AE1" w:rsidRDefault="002D4DA3" w:rsidP="00317849">
      <w:pPr>
        <w:pStyle w:val="CitationQuote"/>
      </w:pPr>
      <w:r>
        <w:t>‘</w:t>
      </w:r>
      <w:r w:rsidR="00F80AE1">
        <w:t xml:space="preserve">… this may be </w:t>
      </w:r>
      <w:proofErr w:type="gramStart"/>
      <w:r w:rsidR="00F80AE1">
        <w:t>done:</w:t>
      </w:r>
      <w:proofErr w:type="gramEnd"/>
      <w:r w:rsidR="00F80AE1">
        <w:t xml:space="preserve"> </w:t>
      </w:r>
      <w:r>
        <w:t xml:space="preserve">either by </w:t>
      </w:r>
      <w:r w:rsidR="006D5683">
        <w:t>an increase in the budgets reflecting increases in the CPI or by an amount that reflects changes in household disposable income.</w:t>
      </w:r>
      <w:r w:rsidR="00EC2FBC">
        <w:t xml:space="preserve"> The former reflects the cost of the budget and the latter reflects the setting of the budget in a social context.</w:t>
      </w:r>
      <w:r w:rsidR="006D5683">
        <w:t>’</w:t>
      </w:r>
      <w:r w:rsidR="0052386A">
        <w:rPr>
          <w:rStyle w:val="FootnoteReference"/>
        </w:rPr>
        <w:footnoteReference w:id="5"/>
      </w:r>
      <w:r w:rsidR="0052386A" w:rsidRPr="00BC7419">
        <w:t xml:space="preserve"> </w:t>
      </w:r>
    </w:p>
    <w:p w14:paraId="1F7A0201" w14:textId="61FAE2DE" w:rsidR="00AA5816" w:rsidRDefault="00BD1F39" w:rsidP="00FF69CC">
      <w:r>
        <w:t>The ACBC and all</w:t>
      </w:r>
      <w:r w:rsidR="00AA5816">
        <w:t xml:space="preserve"> parties are invited to provide comments</w:t>
      </w:r>
      <w:r w:rsidR="00362496">
        <w:t xml:space="preserve"> </w:t>
      </w:r>
      <w:r w:rsidR="00047098">
        <w:t xml:space="preserve">on </w:t>
      </w:r>
      <w:r w:rsidR="007F474A">
        <w:t>the</w:t>
      </w:r>
      <w:r w:rsidR="0079686F">
        <w:t xml:space="preserve">ir preferred </w:t>
      </w:r>
      <w:r w:rsidR="007F474A">
        <w:t>approach</w:t>
      </w:r>
      <w:r w:rsidR="0079686F">
        <w:t>.</w:t>
      </w:r>
    </w:p>
    <w:p w14:paraId="70DE5AE0" w14:textId="2191A832" w:rsidR="00850160" w:rsidRDefault="00850160">
      <w:pPr>
        <w:spacing w:before="0" w:after="0" w:line="240" w:lineRule="auto"/>
      </w:pPr>
      <w:bookmarkStart w:id="87" w:name="_GoBack"/>
      <w:bookmarkEnd w:id="87"/>
    </w:p>
    <w:sectPr w:rsidR="00850160" w:rsidSect="007B2D34">
      <w:footerReference w:type="default" r:id="rId13"/>
      <w:pgSz w:w="11906" w:h="16838" w:code="9"/>
      <w:pgMar w:top="1134" w:right="1418" w:bottom="1134" w:left="1418" w:header="1134" w:footer="851"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083A" w14:textId="77777777" w:rsidR="00780152" w:rsidRDefault="00780152">
      <w:r>
        <w:separator/>
      </w:r>
    </w:p>
  </w:endnote>
  <w:endnote w:type="continuationSeparator" w:id="0">
    <w:p w14:paraId="406ABEB0" w14:textId="77777777" w:rsidR="00780152" w:rsidRDefault="0078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134171"/>
      <w:docPartObj>
        <w:docPartGallery w:val="Page Numbers (Bottom of Page)"/>
        <w:docPartUnique/>
      </w:docPartObj>
    </w:sdtPr>
    <w:sdtEndPr>
      <w:rPr>
        <w:noProof/>
      </w:rPr>
    </w:sdtEndPr>
    <w:sdtContent>
      <w:p w14:paraId="2E5097E1" w14:textId="77777777" w:rsidR="00304391" w:rsidRDefault="00304391" w:rsidP="00304391">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CFB4" w14:textId="77777777" w:rsidR="00780152" w:rsidRDefault="00780152">
      <w:r>
        <w:separator/>
      </w:r>
    </w:p>
  </w:footnote>
  <w:footnote w:type="continuationSeparator" w:id="0">
    <w:p w14:paraId="15B48661" w14:textId="77777777" w:rsidR="00780152" w:rsidRDefault="00780152">
      <w:r>
        <w:continuationSeparator/>
      </w:r>
    </w:p>
  </w:footnote>
  <w:footnote w:id="1">
    <w:p w14:paraId="3EC90C7D" w14:textId="441CF673" w:rsidR="00914152" w:rsidRPr="00F91DDB" w:rsidRDefault="00914152">
      <w:pPr>
        <w:pStyle w:val="FootnoteText"/>
        <w:rPr>
          <w:lang w:val="en-GB"/>
        </w:rPr>
      </w:pPr>
      <w:r>
        <w:rPr>
          <w:rStyle w:val="FootnoteReference"/>
        </w:rPr>
        <w:footnoteRef/>
      </w:r>
      <w:r>
        <w:t xml:space="preserve"> </w:t>
      </w:r>
      <w:r w:rsidR="00ED06D1">
        <w:t>Australian Government submission, 3 April 2020 at paras 39–40, 64–65.</w:t>
      </w:r>
    </w:p>
  </w:footnote>
  <w:footnote w:id="2">
    <w:p w14:paraId="433F0160" w14:textId="01A3B863" w:rsidR="00A70148" w:rsidRPr="00A70148" w:rsidRDefault="00A70148">
      <w:pPr>
        <w:pStyle w:val="FootnoteText"/>
        <w:rPr>
          <w:lang w:val="en-US"/>
        </w:rPr>
      </w:pPr>
      <w:r>
        <w:rPr>
          <w:rStyle w:val="FootnoteReference"/>
        </w:rPr>
        <w:footnoteRef/>
      </w:r>
      <w:r>
        <w:t xml:space="preserve"> </w:t>
      </w:r>
      <w:r w:rsidR="000833C4">
        <w:t xml:space="preserve">[2019] FWCFB 3500 at [87]. </w:t>
      </w:r>
    </w:p>
  </w:footnote>
  <w:footnote w:id="3">
    <w:p w14:paraId="54A81907" w14:textId="1B1B9867" w:rsidR="00BB50F8" w:rsidRPr="00BB50F8" w:rsidRDefault="00BB50F8">
      <w:pPr>
        <w:pStyle w:val="FootnoteText"/>
        <w:rPr>
          <w:lang w:val="en-US"/>
        </w:rPr>
      </w:pPr>
      <w:r>
        <w:rPr>
          <w:rStyle w:val="FootnoteReference"/>
        </w:rPr>
        <w:footnoteRef/>
      </w:r>
      <w:r>
        <w:t xml:space="preserve"> </w:t>
      </w:r>
      <w:r w:rsidR="00117D1F">
        <w:rPr>
          <w:lang w:val="en-US"/>
        </w:rPr>
        <w:t>ACCI submission, 29 March 2020, at para</w:t>
      </w:r>
      <w:r w:rsidR="003343A6">
        <w:rPr>
          <w:lang w:val="en-US"/>
        </w:rPr>
        <w:t>s</w:t>
      </w:r>
      <w:r w:rsidR="00117D1F">
        <w:rPr>
          <w:lang w:val="en-US"/>
        </w:rPr>
        <w:t xml:space="preserve"> 224</w:t>
      </w:r>
      <w:r w:rsidR="002D43C5">
        <w:rPr>
          <w:lang w:val="en-US"/>
        </w:rPr>
        <w:t>–</w:t>
      </w:r>
      <w:r w:rsidR="003343A6">
        <w:rPr>
          <w:lang w:val="en-US"/>
        </w:rPr>
        <w:t>225</w:t>
      </w:r>
      <w:r w:rsidR="00117D1F">
        <w:rPr>
          <w:lang w:val="en-US"/>
        </w:rPr>
        <w:t>.</w:t>
      </w:r>
    </w:p>
  </w:footnote>
  <w:footnote w:id="4">
    <w:p w14:paraId="729CDB88" w14:textId="68FB77AE" w:rsidR="00E2202F" w:rsidRDefault="00E2202F">
      <w:pPr>
        <w:pStyle w:val="FootnoteText"/>
      </w:pPr>
      <w:r>
        <w:rPr>
          <w:rStyle w:val="FootnoteReference"/>
        </w:rPr>
        <w:footnoteRef/>
      </w:r>
      <w:r>
        <w:t xml:space="preserve"> </w:t>
      </w:r>
      <w:r w:rsidR="00850160">
        <w:t>ACCI supplementary submission, 12 April 2019 at paras. 9</w:t>
      </w:r>
      <w:r w:rsidR="00C44BE6">
        <w:t>9</w:t>
      </w:r>
      <w:r w:rsidR="00850160">
        <w:t>–10</w:t>
      </w:r>
      <w:r w:rsidR="00C44BE6">
        <w:t>3</w:t>
      </w:r>
      <w:r w:rsidR="00850160">
        <w:t>.</w:t>
      </w:r>
    </w:p>
  </w:footnote>
  <w:footnote w:id="5">
    <w:p w14:paraId="437CB30B" w14:textId="74EBFDC0" w:rsidR="0052386A" w:rsidRPr="0052386A" w:rsidRDefault="0052386A">
      <w:pPr>
        <w:pStyle w:val="FootnoteText"/>
        <w:rPr>
          <w:lang w:val="en-GB"/>
        </w:rPr>
      </w:pPr>
      <w:r>
        <w:rPr>
          <w:rStyle w:val="FootnoteReference"/>
        </w:rPr>
        <w:footnoteRef/>
      </w:r>
      <w:r>
        <w:t xml:space="preserve"> </w:t>
      </w:r>
      <w:r>
        <w:rPr>
          <w:lang w:val="en-GB"/>
        </w:rPr>
        <w:t xml:space="preserve">ACBC submission, </w:t>
      </w:r>
      <w:r w:rsidR="002D43C5">
        <w:rPr>
          <w:lang w:val="en-GB"/>
        </w:rPr>
        <w:t>19</w:t>
      </w:r>
      <w:r>
        <w:rPr>
          <w:lang w:val="en-GB"/>
        </w:rPr>
        <w:t xml:space="preserve"> March 2020 at para.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667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5015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5A4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AC62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EB5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C03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D06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A9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2E2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4A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32765452"/>
    <w:lvl w:ilvl="0">
      <w:start w:val="1"/>
      <w:numFmt w:val="decimal"/>
      <w:pStyle w:val="NumberedPara"/>
      <w:lvlText w:val="[%1]"/>
      <w:lvlJc w:val="left"/>
      <w:pPr>
        <w:tabs>
          <w:tab w:val="num" w:pos="4423"/>
        </w:tabs>
        <w:ind w:left="3686" w:firstLine="0"/>
      </w:pPr>
      <w:rPr>
        <w:rFonts w:hint="default"/>
        <w:b/>
        <w:i w:val="0"/>
        <w:strike w:val="0"/>
        <w:sz w:val="24"/>
      </w:rPr>
    </w:lvl>
  </w:abstractNum>
  <w:abstractNum w:abstractNumId="11" w15:restartNumberingAfterBreak="0">
    <w:nsid w:val="08887C63"/>
    <w:multiLevelType w:val="hybridMultilevel"/>
    <w:tmpl w:val="659C793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15:restartNumberingAfterBreak="0">
    <w:nsid w:val="2400524E"/>
    <w:multiLevelType w:val="multilevel"/>
    <w:tmpl w:val="8CA2BB76"/>
    <w:lvl w:ilvl="0">
      <w:start w:val="1"/>
      <w:numFmt w:val="decimal"/>
      <w:lvlText w:val="%1"/>
      <w:lvlJc w:val="left"/>
      <w:pPr>
        <w:tabs>
          <w:tab w:val="num" w:pos="425"/>
        </w:tabs>
        <w:ind w:left="425" w:hanging="425"/>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701"/>
        </w:tabs>
        <w:ind w:left="1701" w:hanging="170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E882EC2"/>
    <w:multiLevelType w:val="hybridMultilevel"/>
    <w:tmpl w:val="8B2447B0"/>
    <w:lvl w:ilvl="0" w:tplc="048016A8">
      <w:start w:val="1"/>
      <w:numFmt w:val="bullet"/>
      <w:pStyle w:val="MWRBullet1"/>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25FEF"/>
    <w:multiLevelType w:val="hybridMultilevel"/>
    <w:tmpl w:val="F4C49488"/>
    <w:lvl w:ilvl="0" w:tplc="E43C4E56">
      <w:start w:val="1"/>
      <w:numFmt w:val="bullet"/>
      <w:pStyle w:val="MWRBullet3"/>
      <w:lvlText w:val="o"/>
      <w:lvlJc w:val="left"/>
      <w:pPr>
        <w:tabs>
          <w:tab w:val="num" w:pos="1276"/>
        </w:tabs>
        <w:ind w:left="1276" w:hanging="425"/>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3233F"/>
    <w:multiLevelType w:val="hybridMultilevel"/>
    <w:tmpl w:val="C212BD6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F00E9A"/>
    <w:multiLevelType w:val="hybridMultilevel"/>
    <w:tmpl w:val="4A34FEA8"/>
    <w:lvl w:ilvl="0" w:tplc="D9089394">
      <w:start w:val="1"/>
      <w:numFmt w:val="bullet"/>
      <w:pStyle w:val="MWRBullet2"/>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20916"/>
    <w:multiLevelType w:val="multilevel"/>
    <w:tmpl w:val="DF901930"/>
    <w:lvl w:ilvl="0">
      <w:start w:val="1"/>
      <w:numFmt w:val="decimal"/>
      <w:pStyle w:val="MWRHeading1"/>
      <w:lvlText w:val="%1"/>
      <w:lvlJc w:val="left"/>
      <w:pPr>
        <w:tabs>
          <w:tab w:val="num" w:pos="425"/>
        </w:tabs>
        <w:ind w:left="425" w:hanging="425"/>
      </w:pPr>
      <w:rPr>
        <w:rFonts w:hint="default"/>
      </w:rPr>
    </w:lvl>
    <w:lvl w:ilvl="1">
      <w:start w:val="1"/>
      <w:numFmt w:val="decimal"/>
      <w:pStyle w:val="MWRHeading2"/>
      <w:lvlText w:val="%1.%2"/>
      <w:lvlJc w:val="left"/>
      <w:pPr>
        <w:tabs>
          <w:tab w:val="num" w:pos="851"/>
        </w:tabs>
        <w:ind w:left="851" w:hanging="851"/>
      </w:pPr>
      <w:rPr>
        <w:rFonts w:hint="default"/>
      </w:rPr>
    </w:lvl>
    <w:lvl w:ilvl="2">
      <w:start w:val="1"/>
      <w:numFmt w:val="decimal"/>
      <w:pStyle w:val="MWRHeading3"/>
      <w:lvlText w:val="%1.%2.%3"/>
      <w:lvlJc w:val="left"/>
      <w:pPr>
        <w:tabs>
          <w:tab w:val="num" w:pos="1276"/>
        </w:tabs>
        <w:ind w:left="1276" w:hanging="1276"/>
      </w:pPr>
      <w:rPr>
        <w:rFonts w:hint="default"/>
      </w:rPr>
    </w:lvl>
    <w:lvl w:ilvl="3">
      <w:start w:val="1"/>
      <w:numFmt w:val="decimal"/>
      <w:pStyle w:val="MWRHeading4"/>
      <w:lvlText w:val="%1.%2.%3.%4"/>
      <w:lvlJc w:val="left"/>
      <w:pPr>
        <w:tabs>
          <w:tab w:val="num" w:pos="1701"/>
        </w:tabs>
        <w:ind w:left="1701" w:hanging="1701"/>
      </w:pPr>
      <w:rPr>
        <w:rFonts w:hint="default"/>
      </w:rPr>
    </w:lvl>
    <w:lvl w:ilvl="4">
      <w:start w:val="1"/>
      <w:numFmt w:val="decimal"/>
      <w:pStyle w:val="MWRHeading5"/>
      <w:lvlText w:val="%1.%2.%3.%4.%5"/>
      <w:lvlJc w:val="left"/>
      <w:pPr>
        <w:tabs>
          <w:tab w:val="num" w:pos="1701"/>
        </w:tabs>
        <w:ind w:left="1701" w:hanging="1701"/>
      </w:pPr>
      <w:rPr>
        <w:rFonts w:hint="default"/>
      </w:rPr>
    </w:lvl>
    <w:lvl w:ilvl="5">
      <w:start w:val="1"/>
      <w:numFmt w:val="decimal"/>
      <w:pStyle w:val="MWRHeading6"/>
      <w:lvlText w:val="%1.%2.%3.%4.%5.%6"/>
      <w:lvlJc w:val="left"/>
      <w:pPr>
        <w:tabs>
          <w:tab w:val="num" w:pos="1701"/>
        </w:tabs>
        <w:ind w:left="1701" w:hanging="1701"/>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2"/>
  </w:num>
  <w:num w:numId="2">
    <w:abstractNumId w:val="13"/>
  </w:num>
  <w:num w:numId="3">
    <w:abstractNumId w:val="16"/>
  </w:num>
  <w:num w:numId="4">
    <w:abstractNumId w:val="14"/>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51"/>
    <w:rsid w:val="000132EA"/>
    <w:rsid w:val="000160D7"/>
    <w:rsid w:val="00023A70"/>
    <w:rsid w:val="00025851"/>
    <w:rsid w:val="00034769"/>
    <w:rsid w:val="0004545D"/>
    <w:rsid w:val="00047098"/>
    <w:rsid w:val="00050E8E"/>
    <w:rsid w:val="00051621"/>
    <w:rsid w:val="000555FB"/>
    <w:rsid w:val="00056A24"/>
    <w:rsid w:val="00056C64"/>
    <w:rsid w:val="0006233E"/>
    <w:rsid w:val="000634E7"/>
    <w:rsid w:val="0006492A"/>
    <w:rsid w:val="000649F6"/>
    <w:rsid w:val="00065F92"/>
    <w:rsid w:val="00066B04"/>
    <w:rsid w:val="00067286"/>
    <w:rsid w:val="000675B5"/>
    <w:rsid w:val="00072783"/>
    <w:rsid w:val="000733F7"/>
    <w:rsid w:val="000810E3"/>
    <w:rsid w:val="000833C4"/>
    <w:rsid w:val="00083E04"/>
    <w:rsid w:val="00086410"/>
    <w:rsid w:val="00086FB7"/>
    <w:rsid w:val="00091BE9"/>
    <w:rsid w:val="00096407"/>
    <w:rsid w:val="000A1D22"/>
    <w:rsid w:val="000B21F6"/>
    <w:rsid w:val="000C30B5"/>
    <w:rsid w:val="000C6AEC"/>
    <w:rsid w:val="000F15CD"/>
    <w:rsid w:val="000F1B6A"/>
    <w:rsid w:val="000F5177"/>
    <w:rsid w:val="001011D7"/>
    <w:rsid w:val="001028E1"/>
    <w:rsid w:val="00103676"/>
    <w:rsid w:val="00110180"/>
    <w:rsid w:val="00117D1F"/>
    <w:rsid w:val="00117D4E"/>
    <w:rsid w:val="0012280B"/>
    <w:rsid w:val="00123271"/>
    <w:rsid w:val="001270FD"/>
    <w:rsid w:val="00130744"/>
    <w:rsid w:val="00133AD9"/>
    <w:rsid w:val="00136577"/>
    <w:rsid w:val="00137F7E"/>
    <w:rsid w:val="00141EF8"/>
    <w:rsid w:val="0014572D"/>
    <w:rsid w:val="001507CD"/>
    <w:rsid w:val="001524A9"/>
    <w:rsid w:val="00154801"/>
    <w:rsid w:val="00155A18"/>
    <w:rsid w:val="00155BB2"/>
    <w:rsid w:val="00160E8E"/>
    <w:rsid w:val="00166105"/>
    <w:rsid w:val="00166451"/>
    <w:rsid w:val="001679A3"/>
    <w:rsid w:val="0017749F"/>
    <w:rsid w:val="00185AAF"/>
    <w:rsid w:val="001912B8"/>
    <w:rsid w:val="001958EF"/>
    <w:rsid w:val="001A4BD5"/>
    <w:rsid w:val="001A5466"/>
    <w:rsid w:val="001C1236"/>
    <w:rsid w:val="001D2410"/>
    <w:rsid w:val="001D5525"/>
    <w:rsid w:val="001E1F39"/>
    <w:rsid w:val="001E2798"/>
    <w:rsid w:val="001E3BF4"/>
    <w:rsid w:val="001E6090"/>
    <w:rsid w:val="001F2BDB"/>
    <w:rsid w:val="001F46C3"/>
    <w:rsid w:val="001F4B05"/>
    <w:rsid w:val="0020051B"/>
    <w:rsid w:val="00202A46"/>
    <w:rsid w:val="002032ED"/>
    <w:rsid w:val="00210255"/>
    <w:rsid w:val="00211CE2"/>
    <w:rsid w:val="00212969"/>
    <w:rsid w:val="00215F5C"/>
    <w:rsid w:val="002179AC"/>
    <w:rsid w:val="00217BB1"/>
    <w:rsid w:val="002200BD"/>
    <w:rsid w:val="00220AE9"/>
    <w:rsid w:val="0023039B"/>
    <w:rsid w:val="0023077B"/>
    <w:rsid w:val="00230C33"/>
    <w:rsid w:val="00237730"/>
    <w:rsid w:val="002378B2"/>
    <w:rsid w:val="002421DB"/>
    <w:rsid w:val="00245F50"/>
    <w:rsid w:val="00246000"/>
    <w:rsid w:val="00247964"/>
    <w:rsid w:val="002530B0"/>
    <w:rsid w:val="00263DDE"/>
    <w:rsid w:val="00270299"/>
    <w:rsid w:val="00271109"/>
    <w:rsid w:val="00272461"/>
    <w:rsid w:val="00280C76"/>
    <w:rsid w:val="00282412"/>
    <w:rsid w:val="00285EA4"/>
    <w:rsid w:val="002910E6"/>
    <w:rsid w:val="002A07BF"/>
    <w:rsid w:val="002A23D1"/>
    <w:rsid w:val="002B1439"/>
    <w:rsid w:val="002B2F0A"/>
    <w:rsid w:val="002C09EC"/>
    <w:rsid w:val="002D02E3"/>
    <w:rsid w:val="002D43C5"/>
    <w:rsid w:val="002D4DA3"/>
    <w:rsid w:val="002E1782"/>
    <w:rsid w:val="002E5BB8"/>
    <w:rsid w:val="002F10F8"/>
    <w:rsid w:val="002F2053"/>
    <w:rsid w:val="002F4448"/>
    <w:rsid w:val="00304391"/>
    <w:rsid w:val="003149DF"/>
    <w:rsid w:val="0031681C"/>
    <w:rsid w:val="00317849"/>
    <w:rsid w:val="00320E9B"/>
    <w:rsid w:val="00323FC9"/>
    <w:rsid w:val="0032763A"/>
    <w:rsid w:val="00327F00"/>
    <w:rsid w:val="0033367A"/>
    <w:rsid w:val="003343A6"/>
    <w:rsid w:val="0034591F"/>
    <w:rsid w:val="00356286"/>
    <w:rsid w:val="003567E4"/>
    <w:rsid w:val="003578B1"/>
    <w:rsid w:val="0036231E"/>
    <w:rsid w:val="00362496"/>
    <w:rsid w:val="00363A2F"/>
    <w:rsid w:val="0036798C"/>
    <w:rsid w:val="003723AF"/>
    <w:rsid w:val="003741CD"/>
    <w:rsid w:val="00374546"/>
    <w:rsid w:val="00380889"/>
    <w:rsid w:val="0038108E"/>
    <w:rsid w:val="003909F4"/>
    <w:rsid w:val="00394712"/>
    <w:rsid w:val="00394E0C"/>
    <w:rsid w:val="00397612"/>
    <w:rsid w:val="003A01AA"/>
    <w:rsid w:val="003A55B5"/>
    <w:rsid w:val="003A7D71"/>
    <w:rsid w:val="003B1B49"/>
    <w:rsid w:val="003B1BAC"/>
    <w:rsid w:val="003B348F"/>
    <w:rsid w:val="003B719E"/>
    <w:rsid w:val="003C2B27"/>
    <w:rsid w:val="003C4B02"/>
    <w:rsid w:val="003D0220"/>
    <w:rsid w:val="003D2402"/>
    <w:rsid w:val="003D77FE"/>
    <w:rsid w:val="003F605E"/>
    <w:rsid w:val="003F6E4F"/>
    <w:rsid w:val="003F79D0"/>
    <w:rsid w:val="00403DAA"/>
    <w:rsid w:val="00403E56"/>
    <w:rsid w:val="00404361"/>
    <w:rsid w:val="0040528C"/>
    <w:rsid w:val="004061F4"/>
    <w:rsid w:val="00407974"/>
    <w:rsid w:val="00415ACA"/>
    <w:rsid w:val="0042333D"/>
    <w:rsid w:val="0042341D"/>
    <w:rsid w:val="004318C0"/>
    <w:rsid w:val="004327E2"/>
    <w:rsid w:val="00433C06"/>
    <w:rsid w:val="004363E4"/>
    <w:rsid w:val="004375AE"/>
    <w:rsid w:val="004401AC"/>
    <w:rsid w:val="00440DA9"/>
    <w:rsid w:val="00441552"/>
    <w:rsid w:val="00442F8E"/>
    <w:rsid w:val="004457DA"/>
    <w:rsid w:val="00452AD8"/>
    <w:rsid w:val="00460132"/>
    <w:rsid w:val="00462905"/>
    <w:rsid w:val="00462DA6"/>
    <w:rsid w:val="00462E0E"/>
    <w:rsid w:val="00477862"/>
    <w:rsid w:val="00487FEC"/>
    <w:rsid w:val="00496CA4"/>
    <w:rsid w:val="004A2937"/>
    <w:rsid w:val="004A2EBD"/>
    <w:rsid w:val="004B25AA"/>
    <w:rsid w:val="004B42C6"/>
    <w:rsid w:val="004B717F"/>
    <w:rsid w:val="004B7EF1"/>
    <w:rsid w:val="004C4E14"/>
    <w:rsid w:val="004D471B"/>
    <w:rsid w:val="004E2887"/>
    <w:rsid w:val="004E7901"/>
    <w:rsid w:val="004E7D8F"/>
    <w:rsid w:val="004F2BCE"/>
    <w:rsid w:val="004F7D34"/>
    <w:rsid w:val="0050014D"/>
    <w:rsid w:val="00506B85"/>
    <w:rsid w:val="005228E2"/>
    <w:rsid w:val="0052386A"/>
    <w:rsid w:val="00525666"/>
    <w:rsid w:val="0052795E"/>
    <w:rsid w:val="005312CF"/>
    <w:rsid w:val="0053464F"/>
    <w:rsid w:val="00536320"/>
    <w:rsid w:val="005411E8"/>
    <w:rsid w:val="005431AC"/>
    <w:rsid w:val="0054412A"/>
    <w:rsid w:val="005512C7"/>
    <w:rsid w:val="00564E33"/>
    <w:rsid w:val="00565D22"/>
    <w:rsid w:val="00566BCD"/>
    <w:rsid w:val="00574146"/>
    <w:rsid w:val="00574A91"/>
    <w:rsid w:val="005817D1"/>
    <w:rsid w:val="00582CB8"/>
    <w:rsid w:val="005842DF"/>
    <w:rsid w:val="00584AEF"/>
    <w:rsid w:val="005874A7"/>
    <w:rsid w:val="005A507E"/>
    <w:rsid w:val="005B05FA"/>
    <w:rsid w:val="005B14B9"/>
    <w:rsid w:val="005B21A0"/>
    <w:rsid w:val="005C1EB4"/>
    <w:rsid w:val="005C24B2"/>
    <w:rsid w:val="005C4C13"/>
    <w:rsid w:val="005D0671"/>
    <w:rsid w:val="005D18F3"/>
    <w:rsid w:val="005D42C4"/>
    <w:rsid w:val="005D7AB1"/>
    <w:rsid w:val="005E5434"/>
    <w:rsid w:val="005E5841"/>
    <w:rsid w:val="005F192F"/>
    <w:rsid w:val="005F260B"/>
    <w:rsid w:val="005F7644"/>
    <w:rsid w:val="006064FA"/>
    <w:rsid w:val="0061591F"/>
    <w:rsid w:val="00617A22"/>
    <w:rsid w:val="006210D7"/>
    <w:rsid w:val="006213A1"/>
    <w:rsid w:val="0062354A"/>
    <w:rsid w:val="00631828"/>
    <w:rsid w:val="00632BF8"/>
    <w:rsid w:val="00640BFB"/>
    <w:rsid w:val="00640FA8"/>
    <w:rsid w:val="00642AFF"/>
    <w:rsid w:val="006438BE"/>
    <w:rsid w:val="00644F74"/>
    <w:rsid w:val="00646A01"/>
    <w:rsid w:val="00657025"/>
    <w:rsid w:val="006610D0"/>
    <w:rsid w:val="00662EDF"/>
    <w:rsid w:val="00665B53"/>
    <w:rsid w:val="00666BEE"/>
    <w:rsid w:val="00672403"/>
    <w:rsid w:val="006730E3"/>
    <w:rsid w:val="00675549"/>
    <w:rsid w:val="00682778"/>
    <w:rsid w:val="00684447"/>
    <w:rsid w:val="00686F45"/>
    <w:rsid w:val="00690487"/>
    <w:rsid w:val="00690F6A"/>
    <w:rsid w:val="00696454"/>
    <w:rsid w:val="00697202"/>
    <w:rsid w:val="00697550"/>
    <w:rsid w:val="006A7732"/>
    <w:rsid w:val="006C7A7D"/>
    <w:rsid w:val="006D2E99"/>
    <w:rsid w:val="006D5683"/>
    <w:rsid w:val="006E012D"/>
    <w:rsid w:val="006E09C5"/>
    <w:rsid w:val="006E0D71"/>
    <w:rsid w:val="006E7D82"/>
    <w:rsid w:val="006F228D"/>
    <w:rsid w:val="006F2751"/>
    <w:rsid w:val="006F3579"/>
    <w:rsid w:val="006F4B9C"/>
    <w:rsid w:val="007021A9"/>
    <w:rsid w:val="00705874"/>
    <w:rsid w:val="007069B1"/>
    <w:rsid w:val="0070713C"/>
    <w:rsid w:val="007100A7"/>
    <w:rsid w:val="0071232E"/>
    <w:rsid w:val="0071358D"/>
    <w:rsid w:val="007216CB"/>
    <w:rsid w:val="00721801"/>
    <w:rsid w:val="007259F8"/>
    <w:rsid w:val="007261CD"/>
    <w:rsid w:val="00727572"/>
    <w:rsid w:val="00733A1E"/>
    <w:rsid w:val="00740EAB"/>
    <w:rsid w:val="0074760B"/>
    <w:rsid w:val="007523C2"/>
    <w:rsid w:val="007564A6"/>
    <w:rsid w:val="00757597"/>
    <w:rsid w:val="007609EA"/>
    <w:rsid w:val="00765C07"/>
    <w:rsid w:val="007666B0"/>
    <w:rsid w:val="00771368"/>
    <w:rsid w:val="007737EA"/>
    <w:rsid w:val="00777485"/>
    <w:rsid w:val="00780071"/>
    <w:rsid w:val="00780152"/>
    <w:rsid w:val="007819E7"/>
    <w:rsid w:val="00781F67"/>
    <w:rsid w:val="007824DE"/>
    <w:rsid w:val="0078275C"/>
    <w:rsid w:val="0079686F"/>
    <w:rsid w:val="00797E5E"/>
    <w:rsid w:val="007A03B3"/>
    <w:rsid w:val="007A1EC0"/>
    <w:rsid w:val="007A7624"/>
    <w:rsid w:val="007B11C8"/>
    <w:rsid w:val="007B2D34"/>
    <w:rsid w:val="007B2E9F"/>
    <w:rsid w:val="007B4760"/>
    <w:rsid w:val="007B696B"/>
    <w:rsid w:val="007C1C56"/>
    <w:rsid w:val="007C5A38"/>
    <w:rsid w:val="007C6142"/>
    <w:rsid w:val="007D09B9"/>
    <w:rsid w:val="007D16EB"/>
    <w:rsid w:val="007D27E9"/>
    <w:rsid w:val="007D6E51"/>
    <w:rsid w:val="007E4646"/>
    <w:rsid w:val="007E6082"/>
    <w:rsid w:val="007F0B37"/>
    <w:rsid w:val="007F474A"/>
    <w:rsid w:val="007F785E"/>
    <w:rsid w:val="00800D85"/>
    <w:rsid w:val="00803083"/>
    <w:rsid w:val="008048EE"/>
    <w:rsid w:val="00805F22"/>
    <w:rsid w:val="00806FF1"/>
    <w:rsid w:val="00813DF0"/>
    <w:rsid w:val="008140FB"/>
    <w:rsid w:val="0081458D"/>
    <w:rsid w:val="008205BC"/>
    <w:rsid w:val="00821313"/>
    <w:rsid w:val="008264BB"/>
    <w:rsid w:val="0083123D"/>
    <w:rsid w:val="00840B98"/>
    <w:rsid w:val="0084162C"/>
    <w:rsid w:val="00841C4E"/>
    <w:rsid w:val="00847E17"/>
    <w:rsid w:val="00850160"/>
    <w:rsid w:val="00855416"/>
    <w:rsid w:val="0086238E"/>
    <w:rsid w:val="00873435"/>
    <w:rsid w:val="00875B6B"/>
    <w:rsid w:val="00877460"/>
    <w:rsid w:val="008875AB"/>
    <w:rsid w:val="00892009"/>
    <w:rsid w:val="008925A8"/>
    <w:rsid w:val="00893D9E"/>
    <w:rsid w:val="00896671"/>
    <w:rsid w:val="008A5D6D"/>
    <w:rsid w:val="008B268A"/>
    <w:rsid w:val="008B2812"/>
    <w:rsid w:val="008B4A01"/>
    <w:rsid w:val="008C4CC6"/>
    <w:rsid w:val="008C68BB"/>
    <w:rsid w:val="008D0056"/>
    <w:rsid w:val="008D533A"/>
    <w:rsid w:val="008D5387"/>
    <w:rsid w:val="008D63EA"/>
    <w:rsid w:val="008D70C7"/>
    <w:rsid w:val="008D72D7"/>
    <w:rsid w:val="008D788B"/>
    <w:rsid w:val="008E2559"/>
    <w:rsid w:val="008F07BD"/>
    <w:rsid w:val="008F14EA"/>
    <w:rsid w:val="008F7034"/>
    <w:rsid w:val="008F7501"/>
    <w:rsid w:val="00907475"/>
    <w:rsid w:val="0091077C"/>
    <w:rsid w:val="00911A6A"/>
    <w:rsid w:val="00914152"/>
    <w:rsid w:val="009144A7"/>
    <w:rsid w:val="0091555B"/>
    <w:rsid w:val="00915F29"/>
    <w:rsid w:val="00922452"/>
    <w:rsid w:val="009251BF"/>
    <w:rsid w:val="009300CA"/>
    <w:rsid w:val="00940F67"/>
    <w:rsid w:val="00942F77"/>
    <w:rsid w:val="00944B0F"/>
    <w:rsid w:val="00950175"/>
    <w:rsid w:val="009529A1"/>
    <w:rsid w:val="00954626"/>
    <w:rsid w:val="009565E7"/>
    <w:rsid w:val="00956C41"/>
    <w:rsid w:val="00961F27"/>
    <w:rsid w:val="00962CFB"/>
    <w:rsid w:val="00971E8A"/>
    <w:rsid w:val="00972C64"/>
    <w:rsid w:val="009739B2"/>
    <w:rsid w:val="00983FF4"/>
    <w:rsid w:val="00985ECF"/>
    <w:rsid w:val="0099065E"/>
    <w:rsid w:val="00992158"/>
    <w:rsid w:val="00992EAE"/>
    <w:rsid w:val="00995570"/>
    <w:rsid w:val="009A5C0D"/>
    <w:rsid w:val="009B0B3A"/>
    <w:rsid w:val="009B19A9"/>
    <w:rsid w:val="009B2575"/>
    <w:rsid w:val="009C1A97"/>
    <w:rsid w:val="009C43B8"/>
    <w:rsid w:val="009D2FA4"/>
    <w:rsid w:val="009D3AB2"/>
    <w:rsid w:val="009D43F1"/>
    <w:rsid w:val="009D62A7"/>
    <w:rsid w:val="009F3B4E"/>
    <w:rsid w:val="009F7FE3"/>
    <w:rsid w:val="00A010D6"/>
    <w:rsid w:val="00A12F66"/>
    <w:rsid w:val="00A13866"/>
    <w:rsid w:val="00A158A9"/>
    <w:rsid w:val="00A20BF0"/>
    <w:rsid w:val="00A22244"/>
    <w:rsid w:val="00A31B0E"/>
    <w:rsid w:val="00A33844"/>
    <w:rsid w:val="00A360EA"/>
    <w:rsid w:val="00A45273"/>
    <w:rsid w:val="00A46375"/>
    <w:rsid w:val="00A52C42"/>
    <w:rsid w:val="00A52FF3"/>
    <w:rsid w:val="00A57B64"/>
    <w:rsid w:val="00A6594B"/>
    <w:rsid w:val="00A70148"/>
    <w:rsid w:val="00A70CAC"/>
    <w:rsid w:val="00A70E14"/>
    <w:rsid w:val="00A73155"/>
    <w:rsid w:val="00A753C8"/>
    <w:rsid w:val="00A87BEB"/>
    <w:rsid w:val="00AA38BE"/>
    <w:rsid w:val="00AA51B2"/>
    <w:rsid w:val="00AA5816"/>
    <w:rsid w:val="00AB1014"/>
    <w:rsid w:val="00AB1497"/>
    <w:rsid w:val="00AB4B29"/>
    <w:rsid w:val="00AC0092"/>
    <w:rsid w:val="00AC2795"/>
    <w:rsid w:val="00AC7D84"/>
    <w:rsid w:val="00AD3FD5"/>
    <w:rsid w:val="00AD6E12"/>
    <w:rsid w:val="00AE42A2"/>
    <w:rsid w:val="00AE5498"/>
    <w:rsid w:val="00AF3079"/>
    <w:rsid w:val="00AF514E"/>
    <w:rsid w:val="00AF6C1C"/>
    <w:rsid w:val="00B02DFD"/>
    <w:rsid w:val="00B04319"/>
    <w:rsid w:val="00B1335A"/>
    <w:rsid w:val="00B13B63"/>
    <w:rsid w:val="00B153FC"/>
    <w:rsid w:val="00B15686"/>
    <w:rsid w:val="00B17B1D"/>
    <w:rsid w:val="00B26351"/>
    <w:rsid w:val="00B32643"/>
    <w:rsid w:val="00B33244"/>
    <w:rsid w:val="00B35D40"/>
    <w:rsid w:val="00B45007"/>
    <w:rsid w:val="00B4601C"/>
    <w:rsid w:val="00B5169C"/>
    <w:rsid w:val="00B603E6"/>
    <w:rsid w:val="00B63049"/>
    <w:rsid w:val="00B73B44"/>
    <w:rsid w:val="00B7454F"/>
    <w:rsid w:val="00B7585A"/>
    <w:rsid w:val="00B77B37"/>
    <w:rsid w:val="00B81180"/>
    <w:rsid w:val="00B8504D"/>
    <w:rsid w:val="00B85B62"/>
    <w:rsid w:val="00B92BB5"/>
    <w:rsid w:val="00B950BF"/>
    <w:rsid w:val="00B95200"/>
    <w:rsid w:val="00BB50F8"/>
    <w:rsid w:val="00BD1F39"/>
    <w:rsid w:val="00BD27C3"/>
    <w:rsid w:val="00BD66AC"/>
    <w:rsid w:val="00BD7255"/>
    <w:rsid w:val="00BE0263"/>
    <w:rsid w:val="00BE4234"/>
    <w:rsid w:val="00BE5416"/>
    <w:rsid w:val="00BE5BB1"/>
    <w:rsid w:val="00BE68E6"/>
    <w:rsid w:val="00BE7981"/>
    <w:rsid w:val="00BF1F92"/>
    <w:rsid w:val="00BF3032"/>
    <w:rsid w:val="00BF3AB9"/>
    <w:rsid w:val="00C017B5"/>
    <w:rsid w:val="00C02234"/>
    <w:rsid w:val="00C07760"/>
    <w:rsid w:val="00C07E7F"/>
    <w:rsid w:val="00C100F2"/>
    <w:rsid w:val="00C12546"/>
    <w:rsid w:val="00C150C5"/>
    <w:rsid w:val="00C209EB"/>
    <w:rsid w:val="00C331E5"/>
    <w:rsid w:val="00C3360D"/>
    <w:rsid w:val="00C35338"/>
    <w:rsid w:val="00C416BF"/>
    <w:rsid w:val="00C44BE6"/>
    <w:rsid w:val="00C50F3A"/>
    <w:rsid w:val="00C65310"/>
    <w:rsid w:val="00C76F0A"/>
    <w:rsid w:val="00C8114C"/>
    <w:rsid w:val="00C8448B"/>
    <w:rsid w:val="00C929C1"/>
    <w:rsid w:val="00CA2B79"/>
    <w:rsid w:val="00CA5D8F"/>
    <w:rsid w:val="00CA7F04"/>
    <w:rsid w:val="00CB0007"/>
    <w:rsid w:val="00CB1416"/>
    <w:rsid w:val="00CC44D1"/>
    <w:rsid w:val="00CD22B6"/>
    <w:rsid w:val="00CD73D6"/>
    <w:rsid w:val="00CE4FB4"/>
    <w:rsid w:val="00CE54B1"/>
    <w:rsid w:val="00CE5EA2"/>
    <w:rsid w:val="00CE5FB7"/>
    <w:rsid w:val="00CE60E8"/>
    <w:rsid w:val="00CE7263"/>
    <w:rsid w:val="00CE73F5"/>
    <w:rsid w:val="00CF1295"/>
    <w:rsid w:val="00CF2401"/>
    <w:rsid w:val="00CF3911"/>
    <w:rsid w:val="00CF6C29"/>
    <w:rsid w:val="00D019B5"/>
    <w:rsid w:val="00D033DD"/>
    <w:rsid w:val="00D052DC"/>
    <w:rsid w:val="00D122AE"/>
    <w:rsid w:val="00D1412F"/>
    <w:rsid w:val="00D141B1"/>
    <w:rsid w:val="00D14E27"/>
    <w:rsid w:val="00D20B1F"/>
    <w:rsid w:val="00D23054"/>
    <w:rsid w:val="00D2390F"/>
    <w:rsid w:val="00D27619"/>
    <w:rsid w:val="00D374EB"/>
    <w:rsid w:val="00D41057"/>
    <w:rsid w:val="00D42BFF"/>
    <w:rsid w:val="00D45024"/>
    <w:rsid w:val="00D45E3F"/>
    <w:rsid w:val="00D55B8B"/>
    <w:rsid w:val="00D67046"/>
    <w:rsid w:val="00D67164"/>
    <w:rsid w:val="00D71E54"/>
    <w:rsid w:val="00D720E7"/>
    <w:rsid w:val="00D85D02"/>
    <w:rsid w:val="00D93C58"/>
    <w:rsid w:val="00D9625C"/>
    <w:rsid w:val="00DA4C9A"/>
    <w:rsid w:val="00DA529E"/>
    <w:rsid w:val="00DA5D66"/>
    <w:rsid w:val="00DA7D81"/>
    <w:rsid w:val="00DB029B"/>
    <w:rsid w:val="00DC2B46"/>
    <w:rsid w:val="00DC5DBA"/>
    <w:rsid w:val="00DD1DC9"/>
    <w:rsid w:val="00DD339C"/>
    <w:rsid w:val="00DF05D6"/>
    <w:rsid w:val="00DF58A0"/>
    <w:rsid w:val="00E04338"/>
    <w:rsid w:val="00E0693D"/>
    <w:rsid w:val="00E125CE"/>
    <w:rsid w:val="00E14394"/>
    <w:rsid w:val="00E173B7"/>
    <w:rsid w:val="00E20B01"/>
    <w:rsid w:val="00E2202F"/>
    <w:rsid w:val="00E30129"/>
    <w:rsid w:val="00E44238"/>
    <w:rsid w:val="00E46ED9"/>
    <w:rsid w:val="00E52958"/>
    <w:rsid w:val="00E53BCF"/>
    <w:rsid w:val="00E5749F"/>
    <w:rsid w:val="00E578EE"/>
    <w:rsid w:val="00E61238"/>
    <w:rsid w:val="00E6314B"/>
    <w:rsid w:val="00E65BC5"/>
    <w:rsid w:val="00E70627"/>
    <w:rsid w:val="00E71EB1"/>
    <w:rsid w:val="00E74BFC"/>
    <w:rsid w:val="00E75E3A"/>
    <w:rsid w:val="00E82AC4"/>
    <w:rsid w:val="00E83D80"/>
    <w:rsid w:val="00E872E1"/>
    <w:rsid w:val="00E9091D"/>
    <w:rsid w:val="00E9141A"/>
    <w:rsid w:val="00E95EFD"/>
    <w:rsid w:val="00E965EC"/>
    <w:rsid w:val="00EA07DA"/>
    <w:rsid w:val="00EB16AC"/>
    <w:rsid w:val="00EB3DE3"/>
    <w:rsid w:val="00EB6A05"/>
    <w:rsid w:val="00EB7E5F"/>
    <w:rsid w:val="00EC0146"/>
    <w:rsid w:val="00EC05CC"/>
    <w:rsid w:val="00EC2FBC"/>
    <w:rsid w:val="00EC3F97"/>
    <w:rsid w:val="00ED06D1"/>
    <w:rsid w:val="00ED6898"/>
    <w:rsid w:val="00EE287B"/>
    <w:rsid w:val="00EE328E"/>
    <w:rsid w:val="00EE4834"/>
    <w:rsid w:val="00EE762E"/>
    <w:rsid w:val="00EE79B2"/>
    <w:rsid w:val="00EF0F4B"/>
    <w:rsid w:val="00EF5118"/>
    <w:rsid w:val="00EF6B18"/>
    <w:rsid w:val="00F01AE7"/>
    <w:rsid w:val="00F01C84"/>
    <w:rsid w:val="00F02CD8"/>
    <w:rsid w:val="00F02D1D"/>
    <w:rsid w:val="00F06D40"/>
    <w:rsid w:val="00F133F6"/>
    <w:rsid w:val="00F2378A"/>
    <w:rsid w:val="00F3072D"/>
    <w:rsid w:val="00F316B4"/>
    <w:rsid w:val="00F36C2A"/>
    <w:rsid w:val="00F4205C"/>
    <w:rsid w:val="00F4729E"/>
    <w:rsid w:val="00F53183"/>
    <w:rsid w:val="00F603E9"/>
    <w:rsid w:val="00F60FB8"/>
    <w:rsid w:val="00F66DC2"/>
    <w:rsid w:val="00F731B7"/>
    <w:rsid w:val="00F74156"/>
    <w:rsid w:val="00F765A1"/>
    <w:rsid w:val="00F80382"/>
    <w:rsid w:val="00F80AE1"/>
    <w:rsid w:val="00F8147E"/>
    <w:rsid w:val="00F86B61"/>
    <w:rsid w:val="00F91A66"/>
    <w:rsid w:val="00F91DDB"/>
    <w:rsid w:val="00FB3F51"/>
    <w:rsid w:val="00FC0E5D"/>
    <w:rsid w:val="00FC35F2"/>
    <w:rsid w:val="00FC3EFF"/>
    <w:rsid w:val="00FD1672"/>
    <w:rsid w:val="00FE449C"/>
    <w:rsid w:val="00FF65EB"/>
    <w:rsid w:val="00FF69CC"/>
    <w:rsid w:val="00FF7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64E036"/>
  <w15:docId w15:val="{4F202731-FCB1-4253-986C-550F9347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6BEE"/>
    <w:pPr>
      <w:spacing w:before="80" w:after="160" w:line="280" w:lineRule="exact"/>
    </w:pPr>
    <w:rPr>
      <w:rFonts w:ascii="Arial" w:hAnsi="Arial"/>
      <w:szCs w:val="24"/>
      <w:lang w:val="en-AU" w:eastAsia="en-AU"/>
    </w:rPr>
  </w:style>
  <w:style w:type="paragraph" w:styleId="Heading1">
    <w:name w:val="heading 1"/>
    <w:basedOn w:val="Normal"/>
    <w:next w:val="Normal"/>
    <w:qFormat/>
    <w:rsid w:val="0004545D"/>
    <w:pPr>
      <w:keepNext/>
      <w:spacing w:before="240" w:after="60"/>
      <w:outlineLvl w:val="0"/>
    </w:pPr>
    <w:rPr>
      <w:rFonts w:cs="Arial"/>
      <w:b/>
      <w:bCs/>
      <w:color w:val="182B49"/>
      <w:kern w:val="32"/>
      <w:sz w:val="32"/>
      <w:szCs w:val="32"/>
    </w:rPr>
  </w:style>
  <w:style w:type="paragraph" w:styleId="Heading2">
    <w:name w:val="heading 2"/>
    <w:basedOn w:val="Normal"/>
    <w:next w:val="Normal"/>
    <w:qFormat/>
    <w:rsid w:val="00672403"/>
    <w:pPr>
      <w:keepNext/>
      <w:numPr>
        <w:ilvl w:val="1"/>
        <w:numId w:val="1"/>
      </w:numPr>
      <w:spacing w:before="240" w:after="60"/>
      <w:outlineLvl w:val="1"/>
    </w:pPr>
    <w:rPr>
      <w:rFonts w:cs="Arial"/>
      <w:b/>
      <w:bCs/>
      <w:iCs/>
      <w:color w:val="182B49"/>
      <w:sz w:val="28"/>
      <w:szCs w:val="28"/>
    </w:rPr>
  </w:style>
  <w:style w:type="paragraph" w:styleId="Heading3">
    <w:name w:val="heading 3"/>
    <w:basedOn w:val="Normal"/>
    <w:next w:val="Normal"/>
    <w:qFormat/>
    <w:rsid w:val="00672403"/>
    <w:pPr>
      <w:keepNext/>
      <w:numPr>
        <w:ilvl w:val="2"/>
        <w:numId w:val="1"/>
      </w:numPr>
      <w:spacing w:before="240" w:after="60"/>
      <w:outlineLvl w:val="2"/>
    </w:pPr>
    <w:rPr>
      <w:rFonts w:cs="Arial"/>
      <w:b/>
      <w:bCs/>
      <w:color w:val="182B49"/>
      <w:sz w:val="24"/>
      <w:szCs w:val="26"/>
    </w:rPr>
  </w:style>
  <w:style w:type="paragraph" w:styleId="Heading4">
    <w:name w:val="heading 4"/>
    <w:basedOn w:val="Normal"/>
    <w:next w:val="Normal"/>
    <w:qFormat/>
    <w:rsid w:val="00672403"/>
    <w:pPr>
      <w:keepNext/>
      <w:numPr>
        <w:ilvl w:val="3"/>
        <w:numId w:val="1"/>
      </w:numPr>
      <w:spacing w:before="240" w:after="60"/>
      <w:outlineLvl w:val="3"/>
    </w:pPr>
    <w:rPr>
      <w:b/>
      <w:bCs/>
      <w:color w:val="182B49"/>
      <w:sz w:val="22"/>
      <w:szCs w:val="28"/>
    </w:rPr>
  </w:style>
  <w:style w:type="paragraph" w:styleId="Heading5">
    <w:name w:val="heading 5"/>
    <w:basedOn w:val="Normal"/>
    <w:next w:val="Normal"/>
    <w:qFormat/>
    <w:rsid w:val="00672403"/>
    <w:pPr>
      <w:numPr>
        <w:ilvl w:val="4"/>
        <w:numId w:val="1"/>
      </w:numPr>
      <w:spacing w:before="240" w:after="60"/>
      <w:outlineLvl w:val="4"/>
    </w:pPr>
    <w:rPr>
      <w:b/>
      <w:bCs/>
      <w:i/>
      <w:iCs/>
      <w:color w:val="182B49"/>
      <w:szCs w:val="26"/>
    </w:rPr>
  </w:style>
  <w:style w:type="paragraph" w:styleId="Heading6">
    <w:name w:val="heading 6"/>
    <w:basedOn w:val="Normal"/>
    <w:next w:val="Normal"/>
    <w:qFormat/>
    <w:rsid w:val="00672403"/>
    <w:pPr>
      <w:spacing w:before="240" w:after="60"/>
      <w:outlineLvl w:val="5"/>
    </w:pPr>
    <w:rPr>
      <w:b/>
      <w:bCs/>
      <w:szCs w:val="22"/>
    </w:rPr>
  </w:style>
  <w:style w:type="paragraph" w:styleId="Heading7">
    <w:name w:val="heading 7"/>
    <w:basedOn w:val="Normal"/>
    <w:next w:val="Normal"/>
    <w:qFormat/>
    <w:rsid w:val="00672403"/>
    <w:pPr>
      <w:numPr>
        <w:ilvl w:val="6"/>
        <w:numId w:val="1"/>
      </w:numPr>
      <w:spacing w:before="240" w:after="60"/>
      <w:outlineLvl w:val="6"/>
    </w:pPr>
    <w:rPr>
      <w:color w:val="182B49"/>
    </w:rPr>
  </w:style>
  <w:style w:type="paragraph" w:styleId="Heading8">
    <w:name w:val="heading 8"/>
    <w:basedOn w:val="Normal"/>
    <w:next w:val="Normal"/>
    <w:qFormat/>
    <w:rsid w:val="00672403"/>
    <w:pPr>
      <w:numPr>
        <w:ilvl w:val="7"/>
        <w:numId w:val="1"/>
      </w:numPr>
      <w:spacing w:before="240" w:after="60"/>
      <w:outlineLvl w:val="7"/>
    </w:pPr>
    <w:rPr>
      <w:i/>
      <w:iCs/>
      <w:color w:val="182B49"/>
      <w:sz w:val="24"/>
    </w:rPr>
  </w:style>
  <w:style w:type="paragraph" w:styleId="Heading9">
    <w:name w:val="heading 9"/>
    <w:basedOn w:val="Normal"/>
    <w:next w:val="Normal"/>
    <w:qFormat/>
    <w:rsid w:val="00672403"/>
    <w:pPr>
      <w:numPr>
        <w:ilvl w:val="8"/>
        <w:numId w:val="1"/>
      </w:numPr>
      <w:spacing w:before="240" w:after="60"/>
      <w:outlineLvl w:val="8"/>
    </w:pPr>
    <w:rPr>
      <w:rFonts w:cs="Arial"/>
      <w:color w:val="182B4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RHeading1">
    <w:name w:val="MWR_Heading_1"/>
    <w:basedOn w:val="Normal"/>
    <w:rsid w:val="00A70CAC"/>
    <w:pPr>
      <w:keepNext/>
      <w:numPr>
        <w:numId w:val="5"/>
      </w:numPr>
      <w:tabs>
        <w:tab w:val="clear" w:pos="425"/>
        <w:tab w:val="num" w:pos="360"/>
      </w:tabs>
      <w:spacing w:before="240" w:after="120"/>
      <w:ind w:left="0" w:firstLine="0"/>
      <w:outlineLvl w:val="0"/>
    </w:pPr>
    <w:rPr>
      <w:sz w:val="28"/>
    </w:rPr>
  </w:style>
  <w:style w:type="paragraph" w:customStyle="1" w:styleId="MWRHeading2">
    <w:name w:val="MWR_Heading_2"/>
    <w:basedOn w:val="Normal"/>
    <w:next w:val="Normal"/>
    <w:rsid w:val="00AA38BE"/>
    <w:pPr>
      <w:keepNext/>
      <w:numPr>
        <w:ilvl w:val="1"/>
        <w:numId w:val="5"/>
      </w:numPr>
      <w:tabs>
        <w:tab w:val="clear" w:pos="851"/>
      </w:tabs>
      <w:spacing w:before="240" w:after="120"/>
      <w:outlineLvl w:val="1"/>
    </w:pPr>
    <w:rPr>
      <w:b/>
      <w:sz w:val="24"/>
    </w:rPr>
  </w:style>
  <w:style w:type="paragraph" w:customStyle="1" w:styleId="MWRHeading3">
    <w:name w:val="MWR_Heading_3"/>
    <w:basedOn w:val="Normal"/>
    <w:next w:val="Normal"/>
    <w:rsid w:val="00A70CAC"/>
    <w:pPr>
      <w:keepNext/>
      <w:numPr>
        <w:ilvl w:val="2"/>
        <w:numId w:val="5"/>
      </w:numPr>
      <w:tabs>
        <w:tab w:val="clear" w:pos="1276"/>
        <w:tab w:val="num" w:pos="360"/>
        <w:tab w:val="left" w:pos="992"/>
      </w:tabs>
      <w:spacing w:before="240" w:after="120"/>
      <w:ind w:left="0" w:firstLine="0"/>
      <w:outlineLvl w:val="2"/>
    </w:pPr>
    <w:rPr>
      <w:b/>
      <w:sz w:val="22"/>
    </w:rPr>
  </w:style>
  <w:style w:type="paragraph" w:customStyle="1" w:styleId="MWRHeading4">
    <w:name w:val="MWR_Heading_4"/>
    <w:basedOn w:val="Normal"/>
    <w:next w:val="Normal"/>
    <w:rsid w:val="00AA38BE"/>
    <w:pPr>
      <w:keepNext/>
      <w:numPr>
        <w:ilvl w:val="3"/>
        <w:numId w:val="5"/>
      </w:numPr>
      <w:tabs>
        <w:tab w:val="clear" w:pos="1701"/>
        <w:tab w:val="num" w:pos="360"/>
        <w:tab w:val="left" w:pos="1276"/>
      </w:tabs>
      <w:spacing w:before="240" w:after="120"/>
      <w:ind w:left="1276" w:hanging="1276"/>
    </w:pPr>
    <w:rPr>
      <w:b/>
    </w:rPr>
  </w:style>
  <w:style w:type="paragraph" w:customStyle="1" w:styleId="MWRHeading5">
    <w:name w:val="MWR_Heading_5"/>
    <w:basedOn w:val="Normal"/>
    <w:rsid w:val="00AA38BE"/>
    <w:pPr>
      <w:keepNext/>
      <w:numPr>
        <w:ilvl w:val="4"/>
        <w:numId w:val="5"/>
      </w:numPr>
      <w:tabs>
        <w:tab w:val="clear" w:pos="1701"/>
        <w:tab w:val="num" w:pos="360"/>
        <w:tab w:val="left" w:pos="1559"/>
      </w:tabs>
      <w:spacing w:before="240" w:after="120"/>
      <w:ind w:left="1560" w:hanging="1560"/>
    </w:pPr>
    <w:rPr>
      <w:b/>
    </w:rPr>
  </w:style>
  <w:style w:type="paragraph" w:customStyle="1" w:styleId="MWRHeading6">
    <w:name w:val="MWR_Heading_6"/>
    <w:basedOn w:val="Normal"/>
    <w:next w:val="Normal"/>
    <w:rsid w:val="00AA38BE"/>
    <w:pPr>
      <w:keepNext/>
      <w:numPr>
        <w:ilvl w:val="5"/>
        <w:numId w:val="5"/>
      </w:numPr>
      <w:tabs>
        <w:tab w:val="clear" w:pos="1701"/>
      </w:tabs>
      <w:spacing w:before="240" w:after="120"/>
    </w:pPr>
    <w:rPr>
      <w:b/>
    </w:rPr>
  </w:style>
  <w:style w:type="paragraph" w:customStyle="1" w:styleId="MWRBullet1">
    <w:name w:val="MWR_Bullet_1"/>
    <w:basedOn w:val="Normal"/>
    <w:next w:val="Normal"/>
    <w:rsid w:val="00A70CAC"/>
    <w:pPr>
      <w:numPr>
        <w:numId w:val="2"/>
      </w:numPr>
      <w:spacing w:before="120" w:after="120"/>
    </w:pPr>
  </w:style>
  <w:style w:type="paragraph" w:customStyle="1" w:styleId="MWRBullet2">
    <w:name w:val="MWR_Bullet_2"/>
    <w:basedOn w:val="Normal"/>
    <w:next w:val="Normal"/>
    <w:rsid w:val="00A70CAC"/>
    <w:pPr>
      <w:numPr>
        <w:numId w:val="3"/>
      </w:numPr>
      <w:spacing w:before="120" w:after="120"/>
    </w:pPr>
  </w:style>
  <w:style w:type="paragraph" w:customStyle="1" w:styleId="MWRBullet3">
    <w:name w:val="MWR_Bullet_3"/>
    <w:basedOn w:val="Normal"/>
    <w:next w:val="Normal"/>
    <w:rsid w:val="00A70CAC"/>
    <w:pPr>
      <w:numPr>
        <w:numId w:val="4"/>
      </w:numPr>
    </w:pPr>
  </w:style>
  <w:style w:type="paragraph" w:styleId="TOC2">
    <w:name w:val="toc 2"/>
    <w:basedOn w:val="Normal"/>
    <w:next w:val="Normal"/>
    <w:uiPriority w:val="39"/>
    <w:rsid w:val="00A70CAC"/>
    <w:pPr>
      <w:tabs>
        <w:tab w:val="left" w:leader="dot" w:pos="851"/>
        <w:tab w:val="right" w:leader="dot" w:pos="9356"/>
      </w:tabs>
      <w:spacing w:before="120" w:after="120"/>
      <w:ind w:left="850" w:hanging="425"/>
    </w:pPr>
  </w:style>
  <w:style w:type="paragraph" w:styleId="TOC1">
    <w:name w:val="toc 1"/>
    <w:basedOn w:val="Normal"/>
    <w:next w:val="Normal"/>
    <w:uiPriority w:val="39"/>
    <w:rsid w:val="00A70CAC"/>
    <w:pPr>
      <w:tabs>
        <w:tab w:val="left" w:pos="425"/>
        <w:tab w:val="left" w:pos="480"/>
        <w:tab w:val="right" w:leader="dot" w:pos="9356"/>
      </w:tabs>
      <w:spacing w:before="120" w:after="120"/>
      <w:ind w:left="425" w:hanging="425"/>
    </w:pPr>
    <w:rPr>
      <w:b/>
      <w:sz w:val="22"/>
    </w:rPr>
  </w:style>
  <w:style w:type="paragraph" w:styleId="TOC3">
    <w:name w:val="toc 3"/>
    <w:basedOn w:val="Normal"/>
    <w:next w:val="Normal"/>
    <w:uiPriority w:val="39"/>
    <w:rsid w:val="00A70CAC"/>
    <w:pPr>
      <w:tabs>
        <w:tab w:val="right" w:leader="dot" w:pos="851"/>
        <w:tab w:val="right" w:leader="dot" w:pos="9356"/>
      </w:tabs>
      <w:spacing w:after="80"/>
      <w:ind w:left="1702" w:hanging="851"/>
    </w:pPr>
  </w:style>
  <w:style w:type="character" w:styleId="Hyperlink">
    <w:name w:val="Hyperlink"/>
    <w:basedOn w:val="DefaultParagraphFont"/>
    <w:uiPriority w:val="99"/>
    <w:rsid w:val="00A70CAC"/>
    <w:rPr>
      <w:color w:val="0000FF"/>
      <w:u w:val="single"/>
    </w:rPr>
  </w:style>
  <w:style w:type="paragraph" w:customStyle="1" w:styleId="CitationQuote">
    <w:name w:val="Citation/Quote"/>
    <w:basedOn w:val="Normal"/>
    <w:next w:val="Normal"/>
    <w:rsid w:val="00A70CAC"/>
    <w:pPr>
      <w:ind w:left="425"/>
    </w:pPr>
    <w:rPr>
      <w:sz w:val="18"/>
    </w:rPr>
  </w:style>
  <w:style w:type="paragraph" w:styleId="FootnoteText">
    <w:name w:val="footnote text"/>
    <w:basedOn w:val="Normal"/>
    <w:link w:val="FootnoteTextChar"/>
    <w:rsid w:val="002E1782"/>
    <w:pPr>
      <w:tabs>
        <w:tab w:val="left" w:pos="425"/>
      </w:tabs>
      <w:spacing w:after="120" w:line="240" w:lineRule="auto"/>
      <w:ind w:left="142" w:hanging="142"/>
    </w:pPr>
    <w:rPr>
      <w:sz w:val="16"/>
      <w:szCs w:val="20"/>
    </w:rPr>
  </w:style>
  <w:style w:type="character" w:styleId="FootnoteReference">
    <w:name w:val="footnote reference"/>
    <w:basedOn w:val="DefaultParagraphFont"/>
    <w:rsid w:val="00A70CAC"/>
    <w:rPr>
      <w:rFonts w:ascii="Arial" w:hAnsi="Arial"/>
      <w:sz w:val="20"/>
      <w:vertAlign w:val="superscript"/>
    </w:rPr>
  </w:style>
  <w:style w:type="character" w:customStyle="1" w:styleId="FootnoteTextChar">
    <w:name w:val="Footnote Text Char"/>
    <w:basedOn w:val="DefaultParagraphFont"/>
    <w:link w:val="FootnoteText"/>
    <w:rsid w:val="002E1782"/>
    <w:rPr>
      <w:rFonts w:ascii="Arial" w:hAnsi="Arial"/>
      <w:sz w:val="16"/>
      <w:lang w:val="en-AU" w:eastAsia="en-AU"/>
    </w:rPr>
  </w:style>
  <w:style w:type="paragraph" w:customStyle="1" w:styleId="ChartGraphTitle">
    <w:name w:val="Chart/Graph_Title"/>
    <w:basedOn w:val="Normal"/>
    <w:next w:val="Normal"/>
    <w:rsid w:val="00A70CAC"/>
    <w:pPr>
      <w:keepNext/>
      <w:spacing w:before="200" w:after="120"/>
    </w:pPr>
    <w:rPr>
      <w:b/>
    </w:rPr>
  </w:style>
  <w:style w:type="paragraph" w:customStyle="1" w:styleId="ChartGraphCaption">
    <w:name w:val="Chart/Graph_Caption"/>
    <w:basedOn w:val="Normal"/>
    <w:next w:val="Normal"/>
    <w:rsid w:val="00A70CAC"/>
    <w:rPr>
      <w:sz w:val="16"/>
    </w:rPr>
  </w:style>
  <w:style w:type="paragraph" w:styleId="Header">
    <w:name w:val="header"/>
    <w:basedOn w:val="Normal"/>
    <w:rsid w:val="00A70CAC"/>
    <w:pPr>
      <w:tabs>
        <w:tab w:val="center" w:pos="4153"/>
        <w:tab w:val="right" w:pos="8306"/>
      </w:tabs>
    </w:pPr>
  </w:style>
  <w:style w:type="paragraph" w:styleId="Footer">
    <w:name w:val="footer"/>
    <w:basedOn w:val="Normal"/>
    <w:link w:val="FooterChar"/>
    <w:uiPriority w:val="99"/>
    <w:rsid w:val="00A70CAC"/>
    <w:pPr>
      <w:tabs>
        <w:tab w:val="center" w:pos="4153"/>
        <w:tab w:val="right" w:pos="8306"/>
      </w:tabs>
    </w:pPr>
  </w:style>
  <w:style w:type="character" w:styleId="PageNumber">
    <w:name w:val="page number"/>
    <w:basedOn w:val="DefaultParagraphFont"/>
    <w:rsid w:val="00A70CAC"/>
  </w:style>
  <w:style w:type="paragraph" w:customStyle="1" w:styleId="TableTitle">
    <w:name w:val="Table_Title"/>
    <w:basedOn w:val="Normal"/>
    <w:rsid w:val="00873435"/>
    <w:pPr>
      <w:keepNext/>
      <w:spacing w:before="200" w:after="120"/>
    </w:pPr>
    <w:rPr>
      <w:b/>
    </w:rPr>
  </w:style>
  <w:style w:type="paragraph" w:styleId="TableofFigures">
    <w:name w:val="table of figures"/>
    <w:basedOn w:val="Normal"/>
    <w:next w:val="Normal"/>
    <w:uiPriority w:val="99"/>
    <w:rsid w:val="00086FB7"/>
    <w:pPr>
      <w:tabs>
        <w:tab w:val="left" w:pos="425"/>
        <w:tab w:val="right" w:leader="dot" w:pos="9356"/>
      </w:tabs>
    </w:pPr>
    <w:rPr>
      <w:rFonts w:cs="Arial"/>
    </w:rPr>
  </w:style>
  <w:style w:type="paragraph" w:customStyle="1" w:styleId="Author">
    <w:name w:val="Author"/>
    <w:basedOn w:val="Normal"/>
    <w:next w:val="Normal"/>
    <w:rsid w:val="00A70CAC"/>
    <w:pPr>
      <w:spacing w:before="1440"/>
    </w:pPr>
  </w:style>
  <w:style w:type="paragraph" w:styleId="BodyText">
    <w:name w:val="Body Text"/>
    <w:basedOn w:val="Normal"/>
    <w:link w:val="BodyTextChar"/>
    <w:rsid w:val="00A70CAC"/>
    <w:pPr>
      <w:spacing w:after="120"/>
    </w:pPr>
  </w:style>
  <w:style w:type="character" w:customStyle="1" w:styleId="BodyTextChar">
    <w:name w:val="Body Text Char"/>
    <w:basedOn w:val="DefaultParagraphFont"/>
    <w:link w:val="BodyText"/>
    <w:rsid w:val="00A70CAC"/>
    <w:rPr>
      <w:rFonts w:ascii="Arial" w:hAnsi="Arial"/>
      <w:szCs w:val="24"/>
      <w:lang w:val="en-AU" w:eastAsia="en-AU"/>
    </w:rPr>
  </w:style>
  <w:style w:type="paragraph" w:styleId="Caption">
    <w:name w:val="caption"/>
    <w:basedOn w:val="Normal"/>
    <w:next w:val="Normal"/>
    <w:qFormat/>
    <w:rsid w:val="00A70CAC"/>
    <w:rPr>
      <w:b/>
      <w:bCs/>
      <w:szCs w:val="20"/>
    </w:rPr>
  </w:style>
  <w:style w:type="paragraph" w:customStyle="1" w:styleId="Copyright">
    <w:name w:val="Copyright"/>
    <w:basedOn w:val="Normal"/>
    <w:next w:val="Normal"/>
    <w:rsid w:val="00A70CAC"/>
  </w:style>
  <w:style w:type="paragraph" w:customStyle="1" w:styleId="DocTitle">
    <w:name w:val="Doc Title"/>
    <w:basedOn w:val="Normal"/>
    <w:rsid w:val="00A70CAC"/>
    <w:pPr>
      <w:spacing w:before="1680" w:line="440" w:lineRule="atLeast"/>
    </w:pPr>
    <w:rPr>
      <w:b/>
      <w:sz w:val="36"/>
      <w:szCs w:val="20"/>
    </w:rPr>
  </w:style>
  <w:style w:type="paragraph" w:customStyle="1" w:styleId="Draftingnote">
    <w:name w:val="Drafting note"/>
    <w:basedOn w:val="Normal"/>
    <w:next w:val="Normal"/>
    <w:rsid w:val="00A70CAC"/>
    <w:rPr>
      <w:b/>
      <w:color w:val="FF0000"/>
      <w:sz w:val="24"/>
    </w:rPr>
  </w:style>
  <w:style w:type="paragraph" w:customStyle="1" w:styleId="FigureTitle">
    <w:name w:val="Figure Title"/>
    <w:basedOn w:val="Copyright"/>
    <w:next w:val="DocTitle"/>
    <w:rsid w:val="00A70CAC"/>
    <w:pPr>
      <w:keepNext/>
      <w:keepLines/>
      <w:spacing w:before="200" w:after="120"/>
    </w:pPr>
    <w:rPr>
      <w:b/>
      <w:szCs w:val="20"/>
      <w:lang w:eastAsia="en-US"/>
    </w:rPr>
  </w:style>
  <w:style w:type="paragraph" w:styleId="Subtitle">
    <w:name w:val="Subtitle"/>
    <w:basedOn w:val="Normal"/>
    <w:link w:val="SubtitleChar"/>
    <w:qFormat/>
    <w:rsid w:val="00A70CAC"/>
    <w:pPr>
      <w:spacing w:after="60"/>
      <w:jc w:val="center"/>
      <w:outlineLvl w:val="1"/>
    </w:pPr>
    <w:rPr>
      <w:rFonts w:cs="Arial"/>
      <w:sz w:val="24"/>
    </w:rPr>
  </w:style>
  <w:style w:type="character" w:customStyle="1" w:styleId="SubtitleChar">
    <w:name w:val="Subtitle Char"/>
    <w:basedOn w:val="DefaultParagraphFont"/>
    <w:link w:val="Subtitle"/>
    <w:rsid w:val="00A70CAC"/>
    <w:rPr>
      <w:rFonts w:ascii="Arial" w:hAnsi="Arial" w:cs="Arial"/>
      <w:sz w:val="24"/>
      <w:szCs w:val="24"/>
      <w:lang w:val="en-AU" w:eastAsia="en-AU"/>
    </w:rPr>
  </w:style>
  <w:style w:type="paragraph" w:customStyle="1" w:styleId="MainTitle">
    <w:name w:val="Main Title"/>
    <w:basedOn w:val="Normal"/>
    <w:rsid w:val="00A70CAC"/>
    <w:pPr>
      <w:spacing w:before="1560" w:after="240" w:line="440" w:lineRule="atLeast"/>
    </w:pPr>
    <w:rPr>
      <w:rFonts w:ascii="Frutiger 45 Light" w:hAnsi="Frutiger 45 Light"/>
      <w:b/>
      <w:color w:val="872434"/>
      <w:sz w:val="40"/>
      <w:szCs w:val="20"/>
    </w:rPr>
  </w:style>
  <w:style w:type="paragraph" w:customStyle="1" w:styleId="Note">
    <w:name w:val="Note"/>
    <w:basedOn w:val="BodyText"/>
    <w:next w:val="Normal"/>
    <w:rsid w:val="00A70CAC"/>
    <w:pPr>
      <w:keepLines/>
      <w:widowControl w:val="0"/>
      <w:spacing w:before="120" w:after="240"/>
      <w:jc w:val="both"/>
    </w:pPr>
    <w:rPr>
      <w:color w:val="000000"/>
      <w:sz w:val="16"/>
      <w:szCs w:val="20"/>
      <w:lang w:eastAsia="en-US"/>
    </w:rPr>
  </w:style>
  <w:style w:type="paragraph" w:customStyle="1" w:styleId="Paperreference">
    <w:name w:val="Paper reference"/>
    <w:basedOn w:val="Normal"/>
    <w:next w:val="Normal"/>
    <w:rsid w:val="00A70CAC"/>
    <w:pPr>
      <w:spacing w:before="0" w:after="40" w:line="240" w:lineRule="auto"/>
    </w:pPr>
    <w:rPr>
      <w:b/>
      <w:color w:val="872434"/>
      <w:sz w:val="40"/>
      <w:szCs w:val="36"/>
    </w:rPr>
  </w:style>
  <w:style w:type="paragraph" w:customStyle="1" w:styleId="Papertitle">
    <w:name w:val="Paper title"/>
    <w:basedOn w:val="Normal"/>
    <w:next w:val="Normal"/>
    <w:rsid w:val="00A70CAC"/>
    <w:pPr>
      <w:spacing w:before="480"/>
    </w:pPr>
    <w:rPr>
      <w:color w:val="872434"/>
      <w:sz w:val="28"/>
    </w:rPr>
  </w:style>
  <w:style w:type="paragraph" w:customStyle="1" w:styleId="Source">
    <w:name w:val="Source"/>
    <w:basedOn w:val="Normal"/>
    <w:next w:val="Normal"/>
    <w:rsid w:val="00A70CAC"/>
    <w:pPr>
      <w:keepLines/>
      <w:widowControl w:val="0"/>
      <w:spacing w:before="120" w:after="240"/>
      <w:jc w:val="both"/>
    </w:pPr>
    <w:rPr>
      <w:color w:val="000000"/>
      <w:sz w:val="16"/>
      <w:szCs w:val="20"/>
      <w:lang w:eastAsia="en-US"/>
    </w:rPr>
  </w:style>
  <w:style w:type="paragraph" w:customStyle="1" w:styleId="StyleCopyrightBefore582pt">
    <w:name w:val="Style Copyright + Before:  582 pt"/>
    <w:basedOn w:val="Copyright"/>
    <w:autoRedefine/>
    <w:rsid w:val="00FE449C"/>
    <w:pPr>
      <w:spacing w:before="0"/>
    </w:pPr>
    <w:rPr>
      <w:szCs w:val="20"/>
    </w:rPr>
  </w:style>
  <w:style w:type="table" w:customStyle="1" w:styleId="TableBodyText">
    <w:name w:val="Table Body Text"/>
    <w:basedOn w:val="TableNormal"/>
    <w:rsid w:val="00A70CAC"/>
    <w:rPr>
      <w:lang w:val="en-AU" w:eastAsia="en-AU"/>
    </w:rPr>
    <w:tblPr/>
  </w:style>
  <w:style w:type="table" w:customStyle="1" w:styleId="TableStyle1">
    <w:name w:val="TableStyle 1"/>
    <w:basedOn w:val="TableNormal"/>
    <w:rsid w:val="00A70CAC"/>
    <w:rPr>
      <w:lang w:val="en-AU" w:eastAsia="en-AU"/>
    </w:rPr>
    <w:tblPr>
      <w:tblBorders>
        <w:bottom w:val="single" w:sz="4" w:space="0" w:color="auto"/>
        <w:insideH w:val="single" w:sz="4" w:space="0" w:color="auto"/>
      </w:tblBorders>
    </w:tblPr>
    <w:tblStylePr w:type="firstRow">
      <w:rPr>
        <w:b/>
      </w:rPr>
    </w:tblStylePr>
  </w:style>
  <w:style w:type="paragraph" w:customStyle="1" w:styleId="MWRfootnote">
    <w:name w:val="MWR footnote"/>
    <w:basedOn w:val="FootnoteText"/>
    <w:qFormat/>
    <w:rsid w:val="00A52FF3"/>
    <w:pPr>
      <w:tabs>
        <w:tab w:val="clear" w:pos="425"/>
      </w:tabs>
      <w:ind w:left="255" w:hanging="255"/>
    </w:pPr>
    <w:rPr>
      <w:szCs w:val="40"/>
    </w:rPr>
  </w:style>
  <w:style w:type="paragraph" w:styleId="BalloonText">
    <w:name w:val="Balloon Text"/>
    <w:basedOn w:val="Normal"/>
    <w:link w:val="BalloonTextChar"/>
    <w:rsid w:val="004415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1552"/>
    <w:rPr>
      <w:rFonts w:ascii="Tahoma" w:hAnsi="Tahoma" w:cs="Tahoma"/>
      <w:sz w:val="16"/>
      <w:szCs w:val="16"/>
      <w:lang w:val="en-AU" w:eastAsia="en-AU"/>
    </w:rPr>
  </w:style>
  <w:style w:type="paragraph" w:customStyle="1" w:styleId="FWC">
    <w:name w:val="FWC"/>
    <w:basedOn w:val="Normal"/>
    <w:qFormat/>
    <w:rsid w:val="00506B85"/>
    <w:pPr>
      <w:spacing w:line="240" w:lineRule="auto"/>
    </w:pPr>
    <w:rPr>
      <w:color w:val="182B49"/>
      <w:sz w:val="48"/>
    </w:rPr>
  </w:style>
  <w:style w:type="character" w:customStyle="1" w:styleId="FooterChar">
    <w:name w:val="Footer Char"/>
    <w:basedOn w:val="DefaultParagraphFont"/>
    <w:link w:val="Footer"/>
    <w:uiPriority w:val="99"/>
    <w:rsid w:val="00DC5DBA"/>
    <w:rPr>
      <w:rFonts w:ascii="Arial" w:hAnsi="Arial"/>
      <w:szCs w:val="24"/>
      <w:lang w:val="en-AU" w:eastAsia="en-AU"/>
    </w:rPr>
  </w:style>
  <w:style w:type="character" w:styleId="CommentReference">
    <w:name w:val="annotation reference"/>
    <w:basedOn w:val="DefaultParagraphFont"/>
    <w:uiPriority w:val="99"/>
    <w:rsid w:val="00666BEE"/>
    <w:rPr>
      <w:sz w:val="16"/>
      <w:szCs w:val="16"/>
    </w:rPr>
  </w:style>
  <w:style w:type="paragraph" w:styleId="CommentText">
    <w:name w:val="annotation text"/>
    <w:basedOn w:val="Normal"/>
    <w:link w:val="CommentTextChar"/>
    <w:uiPriority w:val="99"/>
    <w:rsid w:val="00666BEE"/>
    <w:pPr>
      <w:spacing w:line="240" w:lineRule="auto"/>
    </w:pPr>
    <w:rPr>
      <w:szCs w:val="20"/>
    </w:rPr>
  </w:style>
  <w:style w:type="character" w:customStyle="1" w:styleId="CommentTextChar">
    <w:name w:val="Comment Text Char"/>
    <w:basedOn w:val="DefaultParagraphFont"/>
    <w:link w:val="CommentText"/>
    <w:uiPriority w:val="99"/>
    <w:rsid w:val="00666BEE"/>
    <w:rPr>
      <w:rFonts w:ascii="Arial" w:hAnsi="Arial"/>
      <w:lang w:val="en-AU" w:eastAsia="en-AU"/>
    </w:rPr>
  </w:style>
  <w:style w:type="table" w:styleId="TableGrid">
    <w:name w:val="Table Grid"/>
    <w:basedOn w:val="TableNormal"/>
    <w:rsid w:val="008C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C5A38"/>
    <w:rPr>
      <w:color w:val="FDEADA" w:themeColor="followedHyperlink"/>
      <w:u w:val="single"/>
    </w:rPr>
  </w:style>
  <w:style w:type="paragraph" w:customStyle="1" w:styleId="Default">
    <w:name w:val="Default"/>
    <w:rsid w:val="00403DAA"/>
    <w:pPr>
      <w:autoSpaceDE w:val="0"/>
      <w:autoSpaceDN w:val="0"/>
      <w:adjustRightInd w:val="0"/>
    </w:pPr>
    <w:rPr>
      <w:color w:val="000000"/>
      <w:sz w:val="24"/>
      <w:szCs w:val="24"/>
      <w:lang w:val="en-AU"/>
    </w:rPr>
  </w:style>
  <w:style w:type="paragraph" w:customStyle="1" w:styleId="NumberedPara">
    <w:name w:val="Numbered Para"/>
    <w:basedOn w:val="Normal"/>
    <w:next w:val="Normal"/>
    <w:link w:val="NumberedParaCharChar"/>
    <w:uiPriority w:val="99"/>
    <w:rsid w:val="00995570"/>
    <w:pPr>
      <w:numPr>
        <w:numId w:val="39"/>
      </w:numPr>
      <w:tabs>
        <w:tab w:val="left" w:pos="709"/>
      </w:tabs>
      <w:spacing w:before="0" w:after="0" w:line="240" w:lineRule="auto"/>
      <w:ind w:left="0"/>
    </w:pPr>
    <w:rPr>
      <w:rFonts w:ascii="Times New Roman" w:hAnsi="Times New Roman"/>
      <w:sz w:val="24"/>
      <w:lang w:eastAsia="en-GB"/>
    </w:rPr>
  </w:style>
  <w:style w:type="character" w:customStyle="1" w:styleId="NumberedParaCharChar">
    <w:name w:val="Numbered Para Char Char"/>
    <w:basedOn w:val="DefaultParagraphFont"/>
    <w:link w:val="NumberedPara"/>
    <w:uiPriority w:val="99"/>
    <w:locked/>
    <w:rsid w:val="00995570"/>
    <w:rPr>
      <w:sz w:val="24"/>
      <w:szCs w:val="24"/>
      <w:lang w:val="en-AU" w:eastAsia="en-GB"/>
    </w:rPr>
  </w:style>
  <w:style w:type="character" w:styleId="UnresolvedMention">
    <w:name w:val="Unresolved Mention"/>
    <w:basedOn w:val="DefaultParagraphFont"/>
    <w:uiPriority w:val="99"/>
    <w:semiHidden/>
    <w:unhideWhenUsed/>
    <w:rsid w:val="00F60FB8"/>
    <w:rPr>
      <w:color w:val="605E5C"/>
      <w:shd w:val="clear" w:color="auto" w:fill="E1DFDD"/>
    </w:rPr>
  </w:style>
  <w:style w:type="paragraph" w:styleId="CommentSubject">
    <w:name w:val="annotation subject"/>
    <w:basedOn w:val="CommentText"/>
    <w:next w:val="CommentText"/>
    <w:link w:val="CommentSubjectChar"/>
    <w:semiHidden/>
    <w:unhideWhenUsed/>
    <w:rsid w:val="00950175"/>
    <w:rPr>
      <w:b/>
      <w:bCs/>
    </w:rPr>
  </w:style>
  <w:style w:type="character" w:customStyle="1" w:styleId="CommentSubjectChar">
    <w:name w:val="Comment Subject Char"/>
    <w:basedOn w:val="CommentTextChar"/>
    <w:link w:val="CommentSubject"/>
    <w:semiHidden/>
    <w:rsid w:val="00950175"/>
    <w:rPr>
      <w:rFonts w:ascii="Arial" w:hAnsi="Arial"/>
      <w:b/>
      <w:bCs/>
      <w:lang w:val="en-AU" w:eastAsia="en-AU"/>
    </w:rPr>
  </w:style>
  <w:style w:type="paragraph" w:styleId="ListParagraph">
    <w:name w:val="List Paragraph"/>
    <w:basedOn w:val="Normal"/>
    <w:uiPriority w:val="34"/>
    <w:qFormat/>
    <w:rsid w:val="00847E17"/>
    <w:pPr>
      <w:spacing w:before="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rsid w:val="007819E7"/>
    <w:pPr>
      <w:spacing w:before="0" w:after="0" w:line="240" w:lineRule="auto"/>
    </w:pPr>
    <w:rPr>
      <w:szCs w:val="20"/>
    </w:rPr>
  </w:style>
  <w:style w:type="character" w:customStyle="1" w:styleId="EndnoteTextChar">
    <w:name w:val="Endnote Text Char"/>
    <w:basedOn w:val="DefaultParagraphFont"/>
    <w:link w:val="EndnoteText"/>
    <w:rsid w:val="007819E7"/>
    <w:rPr>
      <w:rFonts w:ascii="Arial" w:hAnsi="Arial"/>
      <w:lang w:val="en-AU" w:eastAsia="en-AU"/>
    </w:rPr>
  </w:style>
  <w:style w:type="character" w:styleId="EndnoteReference">
    <w:name w:val="endnote reference"/>
    <w:basedOn w:val="DefaultParagraphFont"/>
    <w:rsid w:val="00781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9157">
      <w:bodyDiv w:val="1"/>
      <w:marLeft w:val="0"/>
      <w:marRight w:val="0"/>
      <w:marTop w:val="0"/>
      <w:marBottom w:val="0"/>
      <w:divBdr>
        <w:top w:val="none" w:sz="0" w:space="0" w:color="auto"/>
        <w:left w:val="none" w:sz="0" w:space="0" w:color="auto"/>
        <w:bottom w:val="none" w:sz="0" w:space="0" w:color="auto"/>
        <w:right w:val="none" w:sz="0" w:space="0" w:color="auto"/>
      </w:divBdr>
    </w:div>
    <w:div w:id="355276544">
      <w:bodyDiv w:val="1"/>
      <w:marLeft w:val="0"/>
      <w:marRight w:val="0"/>
      <w:marTop w:val="0"/>
      <w:marBottom w:val="0"/>
      <w:divBdr>
        <w:top w:val="none" w:sz="0" w:space="0" w:color="auto"/>
        <w:left w:val="none" w:sz="0" w:space="0" w:color="auto"/>
        <w:bottom w:val="none" w:sz="0" w:space="0" w:color="auto"/>
        <w:right w:val="none" w:sz="0" w:space="0" w:color="auto"/>
      </w:divBdr>
    </w:div>
    <w:div w:id="489489388">
      <w:bodyDiv w:val="1"/>
      <w:marLeft w:val="0"/>
      <w:marRight w:val="0"/>
      <w:marTop w:val="0"/>
      <w:marBottom w:val="0"/>
      <w:divBdr>
        <w:top w:val="none" w:sz="0" w:space="0" w:color="auto"/>
        <w:left w:val="none" w:sz="0" w:space="0" w:color="auto"/>
        <w:bottom w:val="none" w:sz="0" w:space="0" w:color="auto"/>
        <w:right w:val="none" w:sz="0" w:space="0" w:color="auto"/>
      </w:divBdr>
    </w:div>
    <w:div w:id="530609711">
      <w:bodyDiv w:val="1"/>
      <w:marLeft w:val="0"/>
      <w:marRight w:val="0"/>
      <w:marTop w:val="0"/>
      <w:marBottom w:val="0"/>
      <w:divBdr>
        <w:top w:val="none" w:sz="0" w:space="0" w:color="auto"/>
        <w:left w:val="none" w:sz="0" w:space="0" w:color="auto"/>
        <w:bottom w:val="none" w:sz="0" w:space="0" w:color="auto"/>
        <w:right w:val="none" w:sz="0" w:space="0" w:color="auto"/>
      </w:divBdr>
    </w:div>
    <w:div w:id="733624257">
      <w:bodyDiv w:val="1"/>
      <w:marLeft w:val="0"/>
      <w:marRight w:val="0"/>
      <w:marTop w:val="0"/>
      <w:marBottom w:val="0"/>
      <w:divBdr>
        <w:top w:val="none" w:sz="0" w:space="0" w:color="auto"/>
        <w:left w:val="none" w:sz="0" w:space="0" w:color="auto"/>
        <w:bottom w:val="none" w:sz="0" w:space="0" w:color="auto"/>
        <w:right w:val="none" w:sz="0" w:space="0" w:color="auto"/>
      </w:divBdr>
    </w:div>
    <w:div w:id="824006835">
      <w:bodyDiv w:val="1"/>
      <w:marLeft w:val="0"/>
      <w:marRight w:val="0"/>
      <w:marTop w:val="0"/>
      <w:marBottom w:val="0"/>
      <w:divBdr>
        <w:top w:val="none" w:sz="0" w:space="0" w:color="auto"/>
        <w:left w:val="none" w:sz="0" w:space="0" w:color="auto"/>
        <w:bottom w:val="none" w:sz="0" w:space="0" w:color="auto"/>
        <w:right w:val="none" w:sz="0" w:space="0" w:color="auto"/>
      </w:divBdr>
    </w:div>
    <w:div w:id="1012032346">
      <w:bodyDiv w:val="1"/>
      <w:marLeft w:val="0"/>
      <w:marRight w:val="0"/>
      <w:marTop w:val="0"/>
      <w:marBottom w:val="0"/>
      <w:divBdr>
        <w:top w:val="none" w:sz="0" w:space="0" w:color="auto"/>
        <w:left w:val="none" w:sz="0" w:space="0" w:color="auto"/>
        <w:bottom w:val="none" w:sz="0" w:space="0" w:color="auto"/>
        <w:right w:val="none" w:sz="0" w:space="0" w:color="auto"/>
      </w:divBdr>
    </w:div>
    <w:div w:id="1212227288">
      <w:bodyDiv w:val="1"/>
      <w:marLeft w:val="0"/>
      <w:marRight w:val="0"/>
      <w:marTop w:val="0"/>
      <w:marBottom w:val="0"/>
      <w:divBdr>
        <w:top w:val="none" w:sz="0" w:space="0" w:color="auto"/>
        <w:left w:val="none" w:sz="0" w:space="0" w:color="auto"/>
        <w:bottom w:val="none" w:sz="0" w:space="0" w:color="auto"/>
        <w:right w:val="none" w:sz="0" w:space="0" w:color="auto"/>
      </w:divBdr>
    </w:div>
    <w:div w:id="1287353023">
      <w:bodyDiv w:val="1"/>
      <w:marLeft w:val="0"/>
      <w:marRight w:val="0"/>
      <w:marTop w:val="0"/>
      <w:marBottom w:val="0"/>
      <w:divBdr>
        <w:top w:val="none" w:sz="0" w:space="0" w:color="auto"/>
        <w:left w:val="none" w:sz="0" w:space="0" w:color="auto"/>
        <w:bottom w:val="none" w:sz="0" w:space="0" w:color="auto"/>
        <w:right w:val="none" w:sz="0" w:space="0" w:color="auto"/>
      </w:divBdr>
    </w:div>
    <w:div w:id="1333988255">
      <w:bodyDiv w:val="1"/>
      <w:marLeft w:val="0"/>
      <w:marRight w:val="0"/>
      <w:marTop w:val="0"/>
      <w:marBottom w:val="0"/>
      <w:divBdr>
        <w:top w:val="none" w:sz="0" w:space="0" w:color="auto"/>
        <w:left w:val="none" w:sz="0" w:space="0" w:color="auto"/>
        <w:bottom w:val="none" w:sz="0" w:space="0" w:color="auto"/>
        <w:right w:val="none" w:sz="0" w:space="0" w:color="auto"/>
      </w:divBdr>
    </w:div>
    <w:div w:id="1507479490">
      <w:bodyDiv w:val="1"/>
      <w:marLeft w:val="0"/>
      <w:marRight w:val="0"/>
      <w:marTop w:val="0"/>
      <w:marBottom w:val="0"/>
      <w:divBdr>
        <w:top w:val="none" w:sz="0" w:space="0" w:color="auto"/>
        <w:left w:val="none" w:sz="0" w:space="0" w:color="auto"/>
        <w:bottom w:val="none" w:sz="0" w:space="0" w:color="auto"/>
        <w:right w:val="none" w:sz="0" w:space="0" w:color="auto"/>
      </w:divBdr>
    </w:div>
    <w:div w:id="1675567723">
      <w:bodyDiv w:val="1"/>
      <w:marLeft w:val="0"/>
      <w:marRight w:val="0"/>
      <w:marTop w:val="0"/>
      <w:marBottom w:val="0"/>
      <w:divBdr>
        <w:top w:val="none" w:sz="0" w:space="0" w:color="auto"/>
        <w:left w:val="none" w:sz="0" w:space="0" w:color="auto"/>
        <w:bottom w:val="none" w:sz="0" w:space="0" w:color="auto"/>
        <w:right w:val="none" w:sz="0" w:space="0" w:color="auto"/>
      </w:divBdr>
    </w:div>
    <w:div w:id="1854030420">
      <w:bodyDiv w:val="1"/>
      <w:marLeft w:val="0"/>
      <w:marRight w:val="0"/>
      <w:marTop w:val="0"/>
      <w:marBottom w:val="0"/>
      <w:divBdr>
        <w:top w:val="none" w:sz="0" w:space="0" w:color="auto"/>
        <w:left w:val="none" w:sz="0" w:space="0" w:color="auto"/>
        <w:bottom w:val="none" w:sz="0" w:space="0" w:color="auto"/>
        <w:right w:val="none" w:sz="0" w:space="0" w:color="auto"/>
      </w:divBdr>
    </w:div>
    <w:div w:id="1860384545">
      <w:bodyDiv w:val="1"/>
      <w:marLeft w:val="0"/>
      <w:marRight w:val="0"/>
      <w:marTop w:val="0"/>
      <w:marBottom w:val="0"/>
      <w:divBdr>
        <w:top w:val="none" w:sz="0" w:space="0" w:color="auto"/>
        <w:left w:val="none" w:sz="0" w:space="0" w:color="auto"/>
        <w:bottom w:val="none" w:sz="0" w:space="0" w:color="auto"/>
        <w:right w:val="none" w:sz="0" w:space="0" w:color="auto"/>
      </w:divBdr>
    </w:div>
    <w:div w:id="21039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wc.gov.au/documents/wage-reviews/2019-20/decisions/2020-fwcfb-180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documents/documents/resources/covid-19-information/information-note-government-responses-2020-04-0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MW_Research_new.dotm" TargetMode="External"/></Relationships>
</file>

<file path=word/theme/theme1.xml><?xml version="1.0" encoding="utf-8"?>
<a:theme xmlns:a="http://schemas.openxmlformats.org/drawingml/2006/main" name="FWC Standard">
  <a:themeElements>
    <a:clrScheme name="FWC Standard">
      <a:dk1>
        <a:sysClr val="windowText" lastClr="000000"/>
      </a:dk1>
      <a:lt1>
        <a:sysClr val="window" lastClr="FFFFFF"/>
      </a:lt1>
      <a:dk2>
        <a:srgbClr val="182B49"/>
      </a:dk2>
      <a:lt2>
        <a:srgbClr val="B3B2B1"/>
      </a:lt2>
      <a:accent1>
        <a:srgbClr val="182B49"/>
      </a:accent1>
      <a:accent2>
        <a:srgbClr val="FF7900"/>
      </a:accent2>
      <a:accent3>
        <a:srgbClr val="4D4F53"/>
      </a:accent3>
      <a:accent4>
        <a:srgbClr val="B3B2B1"/>
      </a:accent4>
      <a:accent5>
        <a:srgbClr val="95F100"/>
      </a:accent5>
      <a:accent6>
        <a:srgbClr val="4AB2E2"/>
      </a:accent6>
      <a:hlink>
        <a:srgbClr val="DBEEF3"/>
      </a:hlink>
      <a:folHlink>
        <a:srgbClr val="FDEADA"/>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8A1AD9297BE49B26637106495EB51" ma:contentTypeVersion="11" ma:contentTypeDescription="Create a new document." ma:contentTypeScope="" ma:versionID="253fe342ee9c7ec68848e351f8a55fcf">
  <xsd:schema xmlns:xsd="http://www.w3.org/2001/XMLSchema" xmlns:xs="http://www.w3.org/2001/XMLSchema" xmlns:p="http://schemas.microsoft.com/office/2006/metadata/properties" xmlns:ns3="05270b33-8eb8-4567-9be5-196246a1203c" xmlns:ns4="360ea6e1-f8bb-4330-b0b1-dbca62f4c28c" targetNamespace="http://schemas.microsoft.com/office/2006/metadata/properties" ma:root="true" ma:fieldsID="722146cc00c563eca093571a6027f827" ns3:_="" ns4:_="">
    <xsd:import namespace="05270b33-8eb8-4567-9be5-196246a1203c"/>
    <xsd:import namespace="360ea6e1-f8bb-4330-b0b1-dbca62f4c2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70b33-8eb8-4567-9be5-196246a12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a6e1-f8bb-4330-b0b1-dbca62f4c2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5C5A-4529-4B4F-9677-F554A10D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70b33-8eb8-4567-9be5-196246a1203c"/>
    <ds:schemaRef ds:uri="360ea6e1-f8bb-4330-b0b1-dbca62f4c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81C55-845B-4FA2-AB06-F5B0B805732B}">
  <ds:schemaRefs>
    <ds:schemaRef ds:uri="http://schemas.microsoft.com/sharepoint/v3/contenttype/forms"/>
  </ds:schemaRefs>
</ds:datastoreItem>
</file>

<file path=customXml/itemProps3.xml><?xml version="1.0" encoding="utf-8"?>
<ds:datastoreItem xmlns:ds="http://schemas.openxmlformats.org/officeDocument/2006/customXml" ds:itemID="{C5224ADE-BF77-4F13-8615-4AAA69DE8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8EE3E-74BA-46DC-BD89-595DDF82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MW_Research_new.dotm</Template>
  <TotalTime>1</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Industrial Registry</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dc:creator>
  <cp:keywords/>
  <cp:lastModifiedBy>FARMAKIS-GAMBONI, Samantha</cp:lastModifiedBy>
  <cp:revision>2</cp:revision>
  <cp:lastPrinted>2019-10-01T23:13:00Z</cp:lastPrinted>
  <dcterms:created xsi:type="dcterms:W3CDTF">2020-04-08T05:06:00Z</dcterms:created>
  <dcterms:modified xsi:type="dcterms:W3CDTF">2020-04-08T05:06:00Z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0x010100A618A1AD9297BE49B26637106495EB51</vt:lpwstr>
  </property>
</Properties>
</file>